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35" w:rsidRDefault="00600C35" w:rsidP="00600C35">
      <w:pPr>
        <w:spacing w:line="360" w:lineRule="auto"/>
        <w:ind w:rightChars="-73" w:right="-153"/>
        <w:jc w:val="center"/>
        <w:rPr>
          <w:rFonts w:ascii="黑体" w:hAnsi="宋体"/>
          <w:b/>
          <w:bCs/>
          <w:color w:val="FF0000"/>
          <w:sz w:val="32"/>
        </w:rPr>
      </w:pPr>
      <w:r>
        <w:rPr>
          <w:rFonts w:ascii="宋体" w:hAnsi="宋体" w:cs="宋体" w:hint="eastAsia"/>
          <w:color w:val="000000"/>
          <w:kern w:val="0"/>
          <w:sz w:val="24"/>
        </w:rPr>
        <w:t xml:space="preserve">证券代码：600200         证券简称：江苏吴中     公告编号：临2022-020 </w:t>
      </w:r>
    </w:p>
    <w:p w:rsidR="00600C35" w:rsidRDefault="00600C35" w:rsidP="00600C35">
      <w:pPr>
        <w:spacing w:line="360" w:lineRule="auto"/>
        <w:ind w:rightChars="-73" w:right="-153"/>
        <w:jc w:val="center"/>
        <w:rPr>
          <w:rFonts w:ascii="黑体" w:eastAsia="黑体" w:hAnsi="宋体"/>
          <w:b/>
          <w:bCs/>
          <w:color w:val="FF0000"/>
          <w:sz w:val="32"/>
        </w:rPr>
      </w:pPr>
    </w:p>
    <w:p w:rsidR="00600C35" w:rsidRDefault="00600C35" w:rsidP="00600C35">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600C35" w:rsidRDefault="00600C35" w:rsidP="00600C35">
      <w:pPr>
        <w:spacing w:line="360" w:lineRule="auto"/>
        <w:ind w:rightChars="-73" w:right="-153"/>
        <w:jc w:val="center"/>
        <w:rPr>
          <w:rFonts w:ascii="黑体" w:eastAsia="黑体" w:hAnsi="宋体"/>
          <w:b/>
          <w:bCs/>
          <w:color w:val="FF0000"/>
          <w:sz w:val="32"/>
        </w:rPr>
      </w:pPr>
      <w:r w:rsidRPr="00600C35">
        <w:rPr>
          <w:rFonts w:ascii="黑体" w:eastAsia="黑体" w:hAnsi="宋体" w:hint="eastAsia"/>
          <w:b/>
          <w:bCs/>
          <w:color w:val="FF0000"/>
          <w:sz w:val="32"/>
        </w:rPr>
        <w:t>2021年限制性股票激励计划首次授予结果的公告</w:t>
      </w:r>
    </w:p>
    <w:p w:rsidR="00600C35" w:rsidRDefault="00600C35" w:rsidP="00600C35">
      <w:pPr>
        <w:autoSpaceDE w:val="0"/>
        <w:autoSpaceDN w:val="0"/>
        <w:adjustRightInd w:val="0"/>
        <w:spacing w:line="360" w:lineRule="auto"/>
        <w:ind w:firstLineChars="200" w:firstLine="482"/>
        <w:rPr>
          <w:rFonts w:ascii="ˎ̥" w:hAnsi="ˎ̥" w:hint="eastAsia"/>
          <w:b/>
          <w:sz w:val="24"/>
        </w:rPr>
      </w:pPr>
    </w:p>
    <w:p w:rsidR="00600C35" w:rsidRDefault="00600C35" w:rsidP="00600C35">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600C35" w:rsidRDefault="00600C35" w:rsidP="00600C35">
      <w:pPr>
        <w:pStyle w:val="Default"/>
        <w:spacing w:line="360" w:lineRule="auto"/>
      </w:pPr>
    </w:p>
    <w:p w:rsidR="00600C35" w:rsidRPr="009B261C" w:rsidRDefault="00600C35" w:rsidP="00600C35">
      <w:pPr>
        <w:tabs>
          <w:tab w:val="left" w:pos="540"/>
          <w:tab w:val="left" w:pos="900"/>
        </w:tabs>
        <w:adjustRightInd w:val="0"/>
        <w:snapToGrid w:val="0"/>
        <w:spacing w:line="360" w:lineRule="auto"/>
        <w:ind w:firstLineChars="200" w:firstLine="480"/>
        <w:rPr>
          <w:rFonts w:ascii="宋体" w:hAnsi="宋体"/>
          <w:bCs/>
          <w:sz w:val="24"/>
        </w:rPr>
      </w:pPr>
      <w:r w:rsidRPr="009B261C">
        <w:rPr>
          <w:rFonts w:ascii="宋体" w:hAnsi="宋体" w:hint="eastAsia"/>
          <w:bCs/>
          <w:sz w:val="24"/>
        </w:rPr>
        <w:t>重要内容提示：</w:t>
      </w:r>
    </w:p>
    <w:p w:rsidR="00600C35" w:rsidRPr="009B261C" w:rsidRDefault="00600C35" w:rsidP="00600C35">
      <w:pPr>
        <w:numPr>
          <w:ilvl w:val="0"/>
          <w:numId w:val="1"/>
        </w:numPr>
        <w:adjustRightInd w:val="0"/>
        <w:snapToGrid w:val="0"/>
        <w:spacing w:line="360" w:lineRule="auto"/>
        <w:rPr>
          <w:rFonts w:ascii="宋体" w:hAnsi="宋体"/>
          <w:bCs/>
          <w:sz w:val="24"/>
        </w:rPr>
      </w:pPr>
      <w:r w:rsidRPr="009B261C">
        <w:rPr>
          <w:rFonts w:ascii="宋体" w:hAnsi="宋体" w:hint="eastAsia"/>
          <w:bCs/>
          <w:sz w:val="24"/>
        </w:rPr>
        <w:t>限制性股票登记日：</w:t>
      </w:r>
      <w:r w:rsidRPr="009B261C">
        <w:rPr>
          <w:rFonts w:ascii="宋体" w:hAnsi="宋体"/>
          <w:bCs/>
          <w:sz w:val="24"/>
        </w:rPr>
        <w:t>2022年</w:t>
      </w:r>
      <w:r w:rsidRPr="009B261C">
        <w:rPr>
          <w:rFonts w:ascii="宋体" w:hAnsi="宋体" w:hint="eastAsia"/>
          <w:bCs/>
          <w:sz w:val="24"/>
        </w:rPr>
        <w:t>3</w:t>
      </w:r>
      <w:r w:rsidRPr="009B261C">
        <w:rPr>
          <w:rFonts w:ascii="宋体" w:hAnsi="宋体"/>
          <w:bCs/>
          <w:sz w:val="24"/>
        </w:rPr>
        <w:t>月</w:t>
      </w:r>
      <w:r w:rsidRPr="009B261C">
        <w:rPr>
          <w:rFonts w:ascii="宋体" w:hAnsi="宋体" w:hint="eastAsia"/>
          <w:bCs/>
          <w:sz w:val="24"/>
        </w:rPr>
        <w:t>14</w:t>
      </w:r>
      <w:r w:rsidRPr="009B261C">
        <w:rPr>
          <w:rFonts w:ascii="宋体" w:hAnsi="宋体"/>
          <w:bCs/>
          <w:sz w:val="24"/>
        </w:rPr>
        <w:t>日</w:t>
      </w:r>
    </w:p>
    <w:p w:rsidR="00600C35" w:rsidRPr="009B261C" w:rsidRDefault="00600C35" w:rsidP="00600C35">
      <w:pPr>
        <w:numPr>
          <w:ilvl w:val="0"/>
          <w:numId w:val="1"/>
        </w:numPr>
        <w:adjustRightInd w:val="0"/>
        <w:snapToGrid w:val="0"/>
        <w:spacing w:line="360" w:lineRule="auto"/>
        <w:rPr>
          <w:rFonts w:ascii="宋体" w:hAnsi="宋体"/>
          <w:bCs/>
          <w:sz w:val="24"/>
        </w:rPr>
      </w:pPr>
      <w:r w:rsidRPr="009B261C">
        <w:rPr>
          <w:rFonts w:ascii="宋体" w:hAnsi="宋体" w:hint="eastAsia"/>
          <w:bCs/>
          <w:sz w:val="24"/>
        </w:rPr>
        <w:t>限制性股票登记数量：330.4000万股</w:t>
      </w:r>
    </w:p>
    <w:p w:rsidR="005712CB" w:rsidRPr="009B261C" w:rsidRDefault="005712CB"/>
    <w:p w:rsidR="00600C35" w:rsidRPr="009B261C" w:rsidRDefault="00600C35" w:rsidP="00600C35">
      <w:pPr>
        <w:spacing w:line="360" w:lineRule="auto"/>
        <w:ind w:firstLineChars="200" w:firstLine="480"/>
        <w:rPr>
          <w:rFonts w:ascii="宋体" w:hAnsi="宋体"/>
          <w:sz w:val="24"/>
        </w:rPr>
      </w:pPr>
      <w:r w:rsidRPr="009B261C">
        <w:rPr>
          <w:rFonts w:ascii="宋体" w:hAnsi="宋体" w:hint="eastAsia"/>
          <w:sz w:val="24"/>
        </w:rPr>
        <w:t>江苏吴中医药发展股份有限公司（以下简称“公司”）根据《上市公司股权激励管理办法》（以下简称“《管理办法》”）、《江苏吴中医药发展股份有限公司2021年限制性股票激励计划》（以下简称“本激励计划”、“本次激励计划”或“《激励计划》”）的相关规定以及公司2022年第一次临时股东大会对董事会的授权，于2022年2月16日召开第十届董事会2022年第二次临时会议（通讯表决），审议通过了《关于向公司2021年限制性股票激励计划激励对象首次授予限制性股票的议案》。公司已于2022年3月14日在中国证券登记结算有限责任公司上海分公司办理完成公司2021年限制性股票激励计划的首次授予登记工作，现将有关事项说明如下：</w:t>
      </w:r>
    </w:p>
    <w:p w:rsidR="00600C35" w:rsidRPr="009B261C" w:rsidRDefault="00600C35" w:rsidP="00600C35">
      <w:pPr>
        <w:spacing w:line="360" w:lineRule="auto"/>
        <w:ind w:firstLineChars="200" w:firstLine="482"/>
        <w:rPr>
          <w:rFonts w:ascii="宋体" w:hAnsi="宋体"/>
          <w:sz w:val="24"/>
        </w:rPr>
      </w:pPr>
      <w:r w:rsidRPr="009B261C">
        <w:rPr>
          <w:rFonts w:ascii="宋体" w:hAnsi="宋体" w:hint="eastAsia"/>
          <w:b/>
          <w:bCs/>
          <w:sz w:val="24"/>
        </w:rPr>
        <w:t>一、限制性股票首次实际授予情况：</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1、限制性股票首次授予日：2022年2月16日</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sz w:val="24"/>
        </w:rPr>
        <w:t>2、首次授予数量：</w:t>
      </w:r>
      <w:r w:rsidRPr="009B261C">
        <w:rPr>
          <w:rFonts w:asciiTheme="minorEastAsia" w:eastAsiaTheme="minorEastAsia" w:hAnsiTheme="minorEastAsia" w:hint="eastAsia"/>
          <w:sz w:val="24"/>
        </w:rPr>
        <w:t>330.4000</w:t>
      </w:r>
      <w:r w:rsidRPr="009B261C">
        <w:rPr>
          <w:rFonts w:asciiTheme="minorEastAsia" w:eastAsiaTheme="minorEastAsia" w:hAnsiTheme="minorEastAsia"/>
          <w:sz w:val="24"/>
        </w:rPr>
        <w:t>万股</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sz w:val="24"/>
        </w:rPr>
        <w:t>3、首次授予人数：</w:t>
      </w:r>
      <w:r w:rsidRPr="009B261C">
        <w:rPr>
          <w:rFonts w:asciiTheme="minorEastAsia" w:eastAsiaTheme="minorEastAsia" w:hAnsiTheme="minorEastAsia" w:hint="eastAsia"/>
          <w:sz w:val="24"/>
        </w:rPr>
        <w:t>109</w:t>
      </w:r>
      <w:r w:rsidRPr="009B261C">
        <w:rPr>
          <w:rFonts w:asciiTheme="minorEastAsia" w:eastAsiaTheme="minorEastAsia" w:hAnsiTheme="minorEastAsia"/>
          <w:sz w:val="24"/>
        </w:rPr>
        <w:t>名</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sz w:val="24"/>
        </w:rPr>
        <w:t>4、授予价格：</w:t>
      </w:r>
      <w:r w:rsidRPr="009B261C">
        <w:rPr>
          <w:rFonts w:asciiTheme="minorEastAsia" w:eastAsiaTheme="minorEastAsia" w:hAnsiTheme="minorEastAsia" w:hint="eastAsia"/>
          <w:sz w:val="24"/>
        </w:rPr>
        <w:t>3.68</w:t>
      </w:r>
      <w:r w:rsidRPr="009B261C">
        <w:rPr>
          <w:rFonts w:asciiTheme="minorEastAsia" w:eastAsiaTheme="minorEastAsia" w:hAnsiTheme="minorEastAsia"/>
          <w:sz w:val="24"/>
        </w:rPr>
        <w:t>元/股</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sz w:val="24"/>
        </w:rPr>
        <w:t>5、股票来源：公司从二级市场回购的本公司人民币A股普通股股票。</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sz w:val="24"/>
        </w:rPr>
        <w:lastRenderedPageBreak/>
        <w:t>6、实际授予数量与拟授予数量的差异说明：</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sz w:val="24"/>
        </w:rPr>
        <w:t>在确定授予日后的授予登记过程中</w:t>
      </w:r>
      <w:r w:rsidRPr="009B261C">
        <w:rPr>
          <w:rFonts w:asciiTheme="minorEastAsia" w:eastAsiaTheme="minorEastAsia" w:hAnsiTheme="minorEastAsia" w:hint="eastAsia"/>
          <w:sz w:val="24"/>
        </w:rPr>
        <w:t>，1名激励对象因个人原因自愿放弃认购拟授予其的全部限制性股票，合计放弃认购15,000股。</w:t>
      </w:r>
      <w:r w:rsidRPr="009B261C">
        <w:rPr>
          <w:rFonts w:asciiTheme="minorEastAsia" w:eastAsiaTheme="minorEastAsia" w:hAnsiTheme="minorEastAsia"/>
          <w:sz w:val="24"/>
        </w:rPr>
        <w:t>因此，公司本次激励计划首次实际授予的激励对象人数由</w:t>
      </w:r>
      <w:r w:rsidRPr="009B261C">
        <w:rPr>
          <w:rFonts w:asciiTheme="minorEastAsia" w:eastAsiaTheme="minorEastAsia" w:hAnsiTheme="minorEastAsia" w:hint="eastAsia"/>
          <w:sz w:val="24"/>
        </w:rPr>
        <w:t>110</w:t>
      </w:r>
      <w:r w:rsidRPr="009B261C">
        <w:rPr>
          <w:rFonts w:asciiTheme="minorEastAsia" w:eastAsiaTheme="minorEastAsia" w:hAnsiTheme="minorEastAsia"/>
          <w:sz w:val="24"/>
        </w:rPr>
        <w:t>人调整为</w:t>
      </w:r>
      <w:r w:rsidRPr="009B261C">
        <w:rPr>
          <w:rFonts w:asciiTheme="minorEastAsia" w:eastAsiaTheme="minorEastAsia" w:hAnsiTheme="minorEastAsia" w:hint="eastAsia"/>
          <w:sz w:val="24"/>
        </w:rPr>
        <w:t>109</w:t>
      </w:r>
      <w:r w:rsidRPr="009B261C">
        <w:rPr>
          <w:rFonts w:asciiTheme="minorEastAsia" w:eastAsiaTheme="minorEastAsia" w:hAnsiTheme="minorEastAsia"/>
          <w:sz w:val="24"/>
        </w:rPr>
        <w:t>人，本次激励计划首次实际授予的限制性股票由</w:t>
      </w:r>
      <w:r w:rsidRPr="009B261C">
        <w:rPr>
          <w:rFonts w:asciiTheme="minorEastAsia" w:eastAsiaTheme="minorEastAsia" w:hAnsiTheme="minorEastAsia" w:hint="eastAsia"/>
          <w:sz w:val="24"/>
        </w:rPr>
        <w:t>331.9000</w:t>
      </w:r>
      <w:r w:rsidRPr="009B261C">
        <w:rPr>
          <w:rFonts w:asciiTheme="minorEastAsia" w:eastAsiaTheme="minorEastAsia" w:hAnsiTheme="minorEastAsia"/>
          <w:sz w:val="24"/>
        </w:rPr>
        <w:t>万股调整为</w:t>
      </w:r>
      <w:r w:rsidRPr="009B261C">
        <w:rPr>
          <w:rFonts w:asciiTheme="minorEastAsia" w:eastAsiaTheme="minorEastAsia" w:hAnsiTheme="minorEastAsia" w:hint="eastAsia"/>
          <w:sz w:val="24"/>
        </w:rPr>
        <w:t>330.4000</w:t>
      </w:r>
      <w:r w:rsidRPr="009B261C">
        <w:rPr>
          <w:rFonts w:asciiTheme="minorEastAsia" w:eastAsiaTheme="minorEastAsia" w:hAnsiTheme="minorEastAsia"/>
          <w:sz w:val="24"/>
        </w:rPr>
        <w:t>万股。</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sz w:val="24"/>
        </w:rPr>
        <w:t>除上述情况外，公司本次限制性股票授予事项与已披露的限制性股票激励计划授予情况不存在差异。</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sz w:val="24"/>
        </w:rPr>
        <w:t>7、限制性股票首次授予登记对象名单及实际授予情况：</w:t>
      </w:r>
    </w:p>
    <w:tbl>
      <w:tblP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456"/>
        <w:gridCol w:w="1856"/>
        <w:gridCol w:w="1705"/>
      </w:tblGrid>
      <w:tr w:rsidR="00600C35" w:rsidRPr="009B261C" w:rsidTr="00CA0E27">
        <w:trPr>
          <w:trHeight w:val="810"/>
          <w:jc w:val="center"/>
        </w:trPr>
        <w:tc>
          <w:tcPr>
            <w:tcW w:w="2217" w:type="dxa"/>
            <w:vAlign w:val="center"/>
          </w:tcPr>
          <w:p w:rsidR="00600C35" w:rsidRPr="009B261C" w:rsidRDefault="00600C35" w:rsidP="00CA0E27">
            <w:pPr>
              <w:snapToGrid w:val="0"/>
              <w:jc w:val="center"/>
              <w:rPr>
                <w:rFonts w:ascii="宋体" w:hAnsi="宋体"/>
                <w:b/>
                <w:bCs/>
                <w:kern w:val="0"/>
              </w:rPr>
            </w:pPr>
            <w:r w:rsidRPr="009B261C">
              <w:rPr>
                <w:rFonts w:ascii="宋体" w:hAnsi="宋体" w:hint="eastAsia"/>
                <w:b/>
                <w:bCs/>
                <w:kern w:val="0"/>
              </w:rPr>
              <w:t>职务</w:t>
            </w:r>
          </w:p>
        </w:tc>
        <w:tc>
          <w:tcPr>
            <w:tcW w:w="2456" w:type="dxa"/>
            <w:vAlign w:val="center"/>
          </w:tcPr>
          <w:p w:rsidR="00600C35" w:rsidRPr="009B261C" w:rsidRDefault="00600C35" w:rsidP="00CA0E27">
            <w:pPr>
              <w:snapToGrid w:val="0"/>
              <w:jc w:val="center"/>
              <w:rPr>
                <w:rFonts w:ascii="宋体" w:hAnsi="宋体"/>
                <w:b/>
                <w:bCs/>
                <w:kern w:val="0"/>
              </w:rPr>
            </w:pPr>
            <w:r w:rsidRPr="009B261C">
              <w:rPr>
                <w:rFonts w:ascii="宋体" w:hAnsi="宋体" w:hint="eastAsia"/>
                <w:b/>
                <w:bCs/>
                <w:kern w:val="0"/>
              </w:rPr>
              <w:t>获授的限制性股票数量（万股）</w:t>
            </w:r>
          </w:p>
        </w:tc>
        <w:tc>
          <w:tcPr>
            <w:tcW w:w="1856" w:type="dxa"/>
            <w:vAlign w:val="center"/>
          </w:tcPr>
          <w:p w:rsidR="00600C35" w:rsidRPr="009B261C" w:rsidRDefault="00600C35" w:rsidP="00CA0E27">
            <w:pPr>
              <w:snapToGrid w:val="0"/>
              <w:jc w:val="center"/>
              <w:rPr>
                <w:rFonts w:ascii="宋体" w:hAnsi="宋体"/>
                <w:b/>
                <w:bCs/>
                <w:kern w:val="0"/>
              </w:rPr>
            </w:pPr>
            <w:r w:rsidRPr="009B261C">
              <w:rPr>
                <w:rFonts w:ascii="宋体" w:hAnsi="宋体" w:hint="eastAsia"/>
                <w:b/>
                <w:bCs/>
                <w:kern w:val="0"/>
              </w:rPr>
              <w:t>占本次股权激励计划</w:t>
            </w:r>
            <w:proofErr w:type="gramStart"/>
            <w:r w:rsidRPr="009B261C">
              <w:rPr>
                <w:rFonts w:ascii="宋体" w:hAnsi="宋体" w:hint="eastAsia"/>
                <w:b/>
                <w:bCs/>
                <w:kern w:val="0"/>
              </w:rPr>
              <w:t>实际授出总量</w:t>
            </w:r>
            <w:proofErr w:type="gramEnd"/>
            <w:r w:rsidRPr="009B261C">
              <w:rPr>
                <w:rFonts w:ascii="宋体" w:hAnsi="宋体" w:hint="eastAsia"/>
                <w:b/>
                <w:bCs/>
                <w:kern w:val="0"/>
              </w:rPr>
              <w:t>的比例</w:t>
            </w:r>
          </w:p>
        </w:tc>
        <w:tc>
          <w:tcPr>
            <w:tcW w:w="1705" w:type="dxa"/>
            <w:vAlign w:val="center"/>
          </w:tcPr>
          <w:p w:rsidR="00600C35" w:rsidRPr="009B261C" w:rsidRDefault="00600C35" w:rsidP="00CA0E27">
            <w:pPr>
              <w:snapToGrid w:val="0"/>
              <w:jc w:val="center"/>
              <w:rPr>
                <w:rFonts w:ascii="宋体" w:hAnsi="宋体"/>
                <w:b/>
                <w:bCs/>
                <w:kern w:val="0"/>
              </w:rPr>
            </w:pPr>
            <w:r w:rsidRPr="009B261C">
              <w:rPr>
                <w:rFonts w:ascii="宋体" w:hAnsi="宋体" w:hint="eastAsia"/>
                <w:b/>
                <w:bCs/>
                <w:kern w:val="0"/>
              </w:rPr>
              <w:t>占授予时总股本的比例</w:t>
            </w:r>
          </w:p>
        </w:tc>
      </w:tr>
      <w:tr w:rsidR="00600C35" w:rsidRPr="009B261C" w:rsidTr="00CA0E27">
        <w:trPr>
          <w:jc w:val="center"/>
        </w:trPr>
        <w:tc>
          <w:tcPr>
            <w:tcW w:w="2217" w:type="dxa"/>
            <w:vAlign w:val="center"/>
          </w:tcPr>
          <w:p w:rsidR="00600C35" w:rsidRPr="009B261C" w:rsidRDefault="00600C35" w:rsidP="00CA0E27">
            <w:pPr>
              <w:jc w:val="center"/>
              <w:rPr>
                <w:rFonts w:ascii="宋体" w:hAnsi="宋体"/>
                <w:kern w:val="0"/>
              </w:rPr>
            </w:pPr>
            <w:r w:rsidRPr="009B261C">
              <w:rPr>
                <w:rFonts w:hint="eastAsia"/>
                <w:szCs w:val="21"/>
              </w:rPr>
              <w:t>核心技术人员</w:t>
            </w:r>
            <w:r w:rsidRPr="009B261C">
              <w:rPr>
                <w:szCs w:val="21"/>
              </w:rPr>
              <w:t>及</w:t>
            </w:r>
            <w:r w:rsidRPr="009B261C">
              <w:rPr>
                <w:rFonts w:hint="eastAsia"/>
                <w:szCs w:val="21"/>
              </w:rPr>
              <w:t>核心业务人员（</w:t>
            </w:r>
            <w:r w:rsidRPr="009B261C">
              <w:rPr>
                <w:szCs w:val="21"/>
              </w:rPr>
              <w:t>1</w:t>
            </w:r>
            <w:r w:rsidRPr="009B261C">
              <w:rPr>
                <w:rFonts w:hint="eastAsia"/>
                <w:szCs w:val="21"/>
              </w:rPr>
              <w:t>09</w:t>
            </w:r>
            <w:r w:rsidRPr="009B261C">
              <w:rPr>
                <w:rFonts w:hint="eastAsia"/>
                <w:szCs w:val="21"/>
              </w:rPr>
              <w:t>人）</w:t>
            </w:r>
          </w:p>
        </w:tc>
        <w:tc>
          <w:tcPr>
            <w:tcW w:w="2456" w:type="dxa"/>
            <w:vAlign w:val="center"/>
          </w:tcPr>
          <w:p w:rsidR="00600C35" w:rsidRPr="009B261C" w:rsidRDefault="00600C35" w:rsidP="00CA0E27">
            <w:pPr>
              <w:spacing w:line="360" w:lineRule="auto"/>
              <w:jc w:val="center"/>
              <w:rPr>
                <w:rFonts w:ascii="宋体" w:hAnsi="宋体"/>
                <w:kern w:val="0"/>
              </w:rPr>
            </w:pPr>
            <w:r w:rsidRPr="009B261C">
              <w:rPr>
                <w:szCs w:val="21"/>
              </w:rPr>
              <w:t>33</w:t>
            </w:r>
            <w:r w:rsidRPr="009B261C">
              <w:rPr>
                <w:rFonts w:hint="eastAsia"/>
                <w:szCs w:val="21"/>
              </w:rPr>
              <w:t>0.4000</w:t>
            </w:r>
          </w:p>
        </w:tc>
        <w:tc>
          <w:tcPr>
            <w:tcW w:w="1856" w:type="dxa"/>
            <w:vAlign w:val="center"/>
          </w:tcPr>
          <w:p w:rsidR="00600C35" w:rsidRPr="009B261C" w:rsidRDefault="00600C35" w:rsidP="00CA0E27">
            <w:pPr>
              <w:spacing w:line="360" w:lineRule="auto"/>
              <w:jc w:val="center"/>
              <w:rPr>
                <w:rFonts w:ascii="宋体" w:hAnsi="宋体"/>
                <w:kern w:val="0"/>
              </w:rPr>
            </w:pPr>
            <w:r w:rsidRPr="009B261C">
              <w:rPr>
                <w:szCs w:val="21"/>
              </w:rPr>
              <w:t>80.40%</w:t>
            </w:r>
          </w:p>
        </w:tc>
        <w:tc>
          <w:tcPr>
            <w:tcW w:w="1705" w:type="dxa"/>
            <w:vAlign w:val="center"/>
          </w:tcPr>
          <w:p w:rsidR="00600C35" w:rsidRPr="009B261C" w:rsidRDefault="00600C35" w:rsidP="00CA0E27">
            <w:pPr>
              <w:spacing w:line="360" w:lineRule="auto"/>
              <w:jc w:val="center"/>
              <w:rPr>
                <w:rFonts w:ascii="宋体" w:hAnsi="宋体"/>
                <w:kern w:val="0"/>
              </w:rPr>
            </w:pPr>
            <w:r w:rsidRPr="009B261C">
              <w:rPr>
                <w:szCs w:val="21"/>
              </w:rPr>
              <w:t>0.4</w:t>
            </w:r>
            <w:r w:rsidRPr="009B261C">
              <w:rPr>
                <w:rFonts w:hint="eastAsia"/>
                <w:szCs w:val="21"/>
              </w:rPr>
              <w:t>6</w:t>
            </w:r>
            <w:r w:rsidRPr="009B261C">
              <w:rPr>
                <w:szCs w:val="21"/>
              </w:rPr>
              <w:t>%</w:t>
            </w:r>
          </w:p>
        </w:tc>
      </w:tr>
      <w:tr w:rsidR="00600C35" w:rsidRPr="009B261C" w:rsidTr="00CA0E27">
        <w:trPr>
          <w:jc w:val="center"/>
        </w:trPr>
        <w:tc>
          <w:tcPr>
            <w:tcW w:w="2217" w:type="dxa"/>
            <w:vAlign w:val="center"/>
          </w:tcPr>
          <w:p w:rsidR="00600C35" w:rsidRPr="009B261C" w:rsidRDefault="00600C35" w:rsidP="00CA0E27">
            <w:pPr>
              <w:snapToGrid w:val="0"/>
              <w:jc w:val="center"/>
              <w:rPr>
                <w:rFonts w:ascii="宋体" w:hAnsi="宋体"/>
                <w:kern w:val="0"/>
              </w:rPr>
            </w:pPr>
            <w:r w:rsidRPr="009B261C">
              <w:rPr>
                <w:rFonts w:ascii="宋体" w:hAnsi="宋体" w:hint="eastAsia"/>
                <w:kern w:val="0"/>
              </w:rPr>
              <w:t>预留部分</w:t>
            </w:r>
          </w:p>
        </w:tc>
        <w:tc>
          <w:tcPr>
            <w:tcW w:w="2456" w:type="dxa"/>
            <w:vAlign w:val="center"/>
          </w:tcPr>
          <w:p w:rsidR="00600C35" w:rsidRPr="009B261C" w:rsidRDefault="00600C35" w:rsidP="00CA0E27">
            <w:pPr>
              <w:spacing w:line="360" w:lineRule="auto"/>
              <w:jc w:val="center"/>
              <w:rPr>
                <w:rFonts w:ascii="宋体" w:hAnsi="宋体"/>
                <w:kern w:val="0"/>
              </w:rPr>
            </w:pPr>
            <w:r w:rsidRPr="009B261C">
              <w:rPr>
                <w:szCs w:val="21"/>
              </w:rPr>
              <w:t>80.5303</w:t>
            </w:r>
          </w:p>
        </w:tc>
        <w:tc>
          <w:tcPr>
            <w:tcW w:w="1856" w:type="dxa"/>
            <w:vAlign w:val="center"/>
          </w:tcPr>
          <w:p w:rsidR="00600C35" w:rsidRPr="009B261C" w:rsidRDefault="00600C35" w:rsidP="00CA0E27">
            <w:pPr>
              <w:spacing w:line="360" w:lineRule="auto"/>
              <w:jc w:val="center"/>
              <w:rPr>
                <w:rFonts w:ascii="宋体" w:hAnsi="宋体"/>
                <w:kern w:val="0"/>
              </w:rPr>
            </w:pPr>
            <w:r w:rsidRPr="009B261C">
              <w:rPr>
                <w:szCs w:val="21"/>
              </w:rPr>
              <w:t>19.60%</w:t>
            </w:r>
          </w:p>
        </w:tc>
        <w:tc>
          <w:tcPr>
            <w:tcW w:w="1705" w:type="dxa"/>
            <w:vAlign w:val="center"/>
          </w:tcPr>
          <w:p w:rsidR="00600C35" w:rsidRPr="009B261C" w:rsidRDefault="00600C35" w:rsidP="00CA0E27">
            <w:pPr>
              <w:spacing w:line="360" w:lineRule="auto"/>
              <w:jc w:val="center"/>
              <w:rPr>
                <w:rFonts w:ascii="宋体" w:hAnsi="宋体"/>
                <w:kern w:val="0"/>
              </w:rPr>
            </w:pPr>
            <w:r w:rsidRPr="009B261C">
              <w:rPr>
                <w:szCs w:val="21"/>
              </w:rPr>
              <w:t>0.11%</w:t>
            </w:r>
          </w:p>
        </w:tc>
      </w:tr>
      <w:tr w:rsidR="00600C35" w:rsidRPr="009B261C" w:rsidTr="00CA0E27">
        <w:trPr>
          <w:jc w:val="center"/>
        </w:trPr>
        <w:tc>
          <w:tcPr>
            <w:tcW w:w="2217" w:type="dxa"/>
            <w:vAlign w:val="center"/>
          </w:tcPr>
          <w:p w:rsidR="00600C35" w:rsidRPr="009B261C" w:rsidRDefault="00600C35" w:rsidP="00CA0E27">
            <w:pPr>
              <w:snapToGrid w:val="0"/>
              <w:jc w:val="center"/>
              <w:rPr>
                <w:rFonts w:ascii="宋体" w:hAnsi="宋体"/>
                <w:kern w:val="0"/>
              </w:rPr>
            </w:pPr>
            <w:r w:rsidRPr="009B261C">
              <w:rPr>
                <w:rFonts w:ascii="宋体" w:hAnsi="宋体" w:hint="eastAsia"/>
                <w:kern w:val="0"/>
              </w:rPr>
              <w:t>合计</w:t>
            </w:r>
          </w:p>
        </w:tc>
        <w:tc>
          <w:tcPr>
            <w:tcW w:w="2456" w:type="dxa"/>
            <w:vAlign w:val="center"/>
          </w:tcPr>
          <w:p w:rsidR="00600C35" w:rsidRPr="009B261C" w:rsidRDefault="00600C35" w:rsidP="00CA0E27">
            <w:pPr>
              <w:spacing w:line="360" w:lineRule="auto"/>
              <w:jc w:val="center"/>
              <w:rPr>
                <w:rFonts w:ascii="宋体" w:hAnsi="宋体"/>
                <w:kern w:val="0"/>
              </w:rPr>
            </w:pPr>
            <w:r w:rsidRPr="009B261C">
              <w:rPr>
                <w:szCs w:val="21"/>
              </w:rPr>
              <w:t>410.9303</w:t>
            </w:r>
          </w:p>
        </w:tc>
        <w:tc>
          <w:tcPr>
            <w:tcW w:w="1856" w:type="dxa"/>
            <w:vAlign w:val="center"/>
          </w:tcPr>
          <w:p w:rsidR="00600C35" w:rsidRPr="009B261C" w:rsidRDefault="00600C35" w:rsidP="00CA0E27">
            <w:pPr>
              <w:spacing w:line="360" w:lineRule="auto"/>
              <w:jc w:val="center"/>
              <w:rPr>
                <w:rFonts w:ascii="宋体" w:hAnsi="宋体"/>
                <w:kern w:val="0"/>
              </w:rPr>
            </w:pPr>
            <w:r w:rsidRPr="009B261C">
              <w:rPr>
                <w:szCs w:val="21"/>
              </w:rPr>
              <w:t>100.00%</w:t>
            </w:r>
          </w:p>
        </w:tc>
        <w:tc>
          <w:tcPr>
            <w:tcW w:w="1705" w:type="dxa"/>
            <w:vAlign w:val="center"/>
          </w:tcPr>
          <w:p w:rsidR="00600C35" w:rsidRPr="009B261C" w:rsidRDefault="00600C35" w:rsidP="00CA0E27">
            <w:pPr>
              <w:spacing w:line="360" w:lineRule="auto"/>
              <w:jc w:val="center"/>
              <w:rPr>
                <w:rFonts w:ascii="宋体" w:hAnsi="宋体"/>
                <w:kern w:val="0"/>
              </w:rPr>
            </w:pPr>
            <w:r w:rsidRPr="009B261C">
              <w:rPr>
                <w:szCs w:val="21"/>
              </w:rPr>
              <w:t>0.58%</w:t>
            </w:r>
          </w:p>
        </w:tc>
      </w:tr>
    </w:tbl>
    <w:p w:rsidR="00600C35" w:rsidRPr="009B261C" w:rsidRDefault="00600C35" w:rsidP="00600C35">
      <w:pPr>
        <w:spacing w:line="360" w:lineRule="auto"/>
        <w:ind w:firstLineChars="200" w:firstLine="420"/>
        <w:rPr>
          <w:rFonts w:ascii="宋体" w:hAnsi="宋体"/>
          <w:szCs w:val="21"/>
        </w:rPr>
      </w:pPr>
      <w:r w:rsidRPr="009B261C">
        <w:rPr>
          <w:rFonts w:ascii="宋体" w:hAnsi="宋体" w:hint="eastAsia"/>
          <w:szCs w:val="21"/>
        </w:rPr>
        <w:t>注：上表中部分合计数与各</w:t>
      </w:r>
      <w:proofErr w:type="gramStart"/>
      <w:r w:rsidRPr="009B261C">
        <w:rPr>
          <w:rFonts w:ascii="宋体" w:hAnsi="宋体" w:hint="eastAsia"/>
          <w:szCs w:val="21"/>
        </w:rPr>
        <w:t>明细数</w:t>
      </w:r>
      <w:proofErr w:type="gramEnd"/>
      <w:r w:rsidRPr="009B261C">
        <w:rPr>
          <w:rFonts w:ascii="宋体" w:hAnsi="宋体" w:hint="eastAsia"/>
          <w:szCs w:val="21"/>
        </w:rPr>
        <w:t>相加之和在尾数上如有差异，系以上百分比结果四舍五入所致。</w:t>
      </w:r>
    </w:p>
    <w:p w:rsidR="00600C35" w:rsidRPr="009B261C" w:rsidRDefault="00600C35" w:rsidP="00600C35">
      <w:pPr>
        <w:numPr>
          <w:ilvl w:val="0"/>
          <w:numId w:val="2"/>
        </w:numPr>
        <w:spacing w:line="360" w:lineRule="auto"/>
        <w:ind w:firstLineChars="200" w:firstLine="482"/>
        <w:rPr>
          <w:rFonts w:ascii="宋体" w:hAnsi="宋体"/>
          <w:b/>
          <w:bCs/>
          <w:sz w:val="24"/>
        </w:rPr>
      </w:pPr>
      <w:r w:rsidRPr="009B261C">
        <w:rPr>
          <w:rFonts w:ascii="宋体" w:hAnsi="宋体" w:hint="eastAsia"/>
          <w:b/>
          <w:bCs/>
          <w:sz w:val="24"/>
        </w:rPr>
        <w:t>本次激励计划的有效期、限售期和解除限售安排</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（1）本激励计划的有效期</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本激励计划的有效期为自限制性股票授予之日起至激励</w:t>
      </w:r>
      <w:proofErr w:type="gramStart"/>
      <w:r w:rsidRPr="009B261C">
        <w:rPr>
          <w:rFonts w:asciiTheme="minorEastAsia" w:eastAsiaTheme="minorEastAsia" w:hAnsiTheme="minorEastAsia" w:hint="eastAsia"/>
          <w:sz w:val="24"/>
        </w:rPr>
        <w:t>对象获</w:t>
      </w:r>
      <w:proofErr w:type="gramEnd"/>
      <w:r w:rsidRPr="009B261C">
        <w:rPr>
          <w:rFonts w:asciiTheme="minorEastAsia" w:eastAsiaTheme="minorEastAsia" w:hAnsiTheme="minorEastAsia" w:hint="eastAsia"/>
          <w:sz w:val="24"/>
        </w:rPr>
        <w:t>授的限制性股票全部解除限售或回购注销完毕之日止，最长不超过48个月。</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（2）本激励计划的限售期和解除限售安排</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激励</w:t>
      </w:r>
      <w:proofErr w:type="gramStart"/>
      <w:r w:rsidRPr="009B261C">
        <w:rPr>
          <w:rFonts w:asciiTheme="minorEastAsia" w:eastAsiaTheme="minorEastAsia" w:hAnsiTheme="minorEastAsia" w:hint="eastAsia"/>
          <w:sz w:val="24"/>
        </w:rPr>
        <w:t>对象获</w:t>
      </w:r>
      <w:proofErr w:type="gramEnd"/>
      <w:r w:rsidRPr="009B261C">
        <w:rPr>
          <w:rFonts w:asciiTheme="minorEastAsia" w:eastAsiaTheme="minorEastAsia" w:hAnsiTheme="minorEastAsia" w:hint="eastAsia"/>
          <w:sz w:val="24"/>
        </w:rPr>
        <w:t>授的全部限制性股票适用不同的限售期，均自授予完成日起计。授予日与首次解除限售日之间的间隔不得少于12个月。激励对象根据本激励计划获授的限制性股票在限售期内不得转让、用于担保或偿还债务。</w:t>
      </w:r>
    </w:p>
    <w:p w:rsidR="00600C35" w:rsidRPr="009B261C" w:rsidRDefault="00600C35" w:rsidP="00600C35">
      <w:pPr>
        <w:numPr>
          <w:ilvl w:val="0"/>
          <w:numId w:val="3"/>
        </w:num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首次授予的限制性股票的解除限售安排如下表所示：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887"/>
        <w:gridCol w:w="1638"/>
      </w:tblGrid>
      <w:tr w:rsidR="00600C35" w:rsidRPr="009B261C" w:rsidTr="00CA0E27">
        <w:trPr>
          <w:trHeight w:val="389"/>
        </w:trPr>
        <w:tc>
          <w:tcPr>
            <w:tcW w:w="1951" w:type="dxa"/>
            <w:shd w:val="clear" w:color="auto" w:fill="F2F2F2"/>
            <w:vAlign w:val="center"/>
          </w:tcPr>
          <w:p w:rsidR="00600C35" w:rsidRPr="009B261C" w:rsidRDefault="00600C35" w:rsidP="00CA0E27">
            <w:pPr>
              <w:widowControl/>
              <w:jc w:val="center"/>
              <w:rPr>
                <w:b/>
                <w:szCs w:val="21"/>
              </w:rPr>
            </w:pPr>
            <w:r w:rsidRPr="009B261C">
              <w:rPr>
                <w:b/>
                <w:szCs w:val="21"/>
              </w:rPr>
              <w:t>解除限售安排</w:t>
            </w:r>
          </w:p>
        </w:tc>
        <w:tc>
          <w:tcPr>
            <w:tcW w:w="4887" w:type="dxa"/>
            <w:shd w:val="clear" w:color="auto" w:fill="F2F2F2"/>
            <w:vAlign w:val="center"/>
          </w:tcPr>
          <w:p w:rsidR="00600C35" w:rsidRPr="009B261C" w:rsidRDefault="00600C35" w:rsidP="00CA0E27">
            <w:pPr>
              <w:widowControl/>
              <w:ind w:firstLine="422"/>
              <w:jc w:val="center"/>
              <w:rPr>
                <w:b/>
                <w:szCs w:val="21"/>
              </w:rPr>
            </w:pPr>
            <w:r w:rsidRPr="009B261C">
              <w:rPr>
                <w:b/>
                <w:szCs w:val="21"/>
              </w:rPr>
              <w:t>解除限售期间</w:t>
            </w:r>
          </w:p>
        </w:tc>
        <w:tc>
          <w:tcPr>
            <w:tcW w:w="1638" w:type="dxa"/>
            <w:shd w:val="clear" w:color="auto" w:fill="F2F2F2"/>
            <w:vAlign w:val="center"/>
          </w:tcPr>
          <w:p w:rsidR="00600C35" w:rsidRPr="009B261C" w:rsidRDefault="00600C35" w:rsidP="00CA0E27">
            <w:pPr>
              <w:widowControl/>
              <w:jc w:val="center"/>
              <w:rPr>
                <w:b/>
                <w:szCs w:val="21"/>
              </w:rPr>
            </w:pPr>
            <w:r w:rsidRPr="009B261C">
              <w:rPr>
                <w:b/>
                <w:szCs w:val="21"/>
              </w:rPr>
              <w:t>解除限售比例</w:t>
            </w:r>
          </w:p>
        </w:tc>
      </w:tr>
      <w:tr w:rsidR="00600C35" w:rsidRPr="009B261C" w:rsidTr="00CA0E27">
        <w:tc>
          <w:tcPr>
            <w:tcW w:w="1951" w:type="dxa"/>
            <w:shd w:val="clear" w:color="auto" w:fill="FFFFFF"/>
            <w:vAlign w:val="center"/>
          </w:tcPr>
          <w:p w:rsidR="00600C35" w:rsidRPr="009B261C" w:rsidRDefault="00600C35" w:rsidP="00CA0E27">
            <w:pPr>
              <w:widowControl/>
              <w:jc w:val="center"/>
              <w:rPr>
                <w:szCs w:val="21"/>
              </w:rPr>
            </w:pPr>
            <w:r w:rsidRPr="009B261C">
              <w:rPr>
                <w:szCs w:val="21"/>
              </w:rPr>
              <w:t>第一个解除限售期</w:t>
            </w:r>
          </w:p>
        </w:tc>
        <w:tc>
          <w:tcPr>
            <w:tcW w:w="4887" w:type="dxa"/>
            <w:shd w:val="clear" w:color="auto" w:fill="FFFFFF"/>
          </w:tcPr>
          <w:p w:rsidR="00600C35" w:rsidRPr="009B261C" w:rsidRDefault="00600C35" w:rsidP="00CA0E27">
            <w:pPr>
              <w:widowControl/>
              <w:jc w:val="left"/>
              <w:rPr>
                <w:szCs w:val="21"/>
              </w:rPr>
            </w:pPr>
            <w:r w:rsidRPr="009B261C">
              <w:rPr>
                <w:szCs w:val="21"/>
              </w:rPr>
              <w:t>自首次授予部分限制性股票授予日起</w:t>
            </w:r>
            <w:r w:rsidRPr="009B261C">
              <w:rPr>
                <w:szCs w:val="21"/>
              </w:rPr>
              <w:t>12</w:t>
            </w:r>
            <w:r w:rsidRPr="009B261C">
              <w:rPr>
                <w:szCs w:val="21"/>
              </w:rPr>
              <w:t>个月后的首个交易日起</w:t>
            </w:r>
            <w:proofErr w:type="gramStart"/>
            <w:r w:rsidRPr="009B261C">
              <w:rPr>
                <w:szCs w:val="21"/>
              </w:rPr>
              <w:t>至首次</w:t>
            </w:r>
            <w:proofErr w:type="gramEnd"/>
            <w:r w:rsidRPr="009B261C">
              <w:rPr>
                <w:szCs w:val="21"/>
              </w:rPr>
              <w:t>授予部分限制性股票授予日起</w:t>
            </w:r>
            <w:r w:rsidRPr="009B261C">
              <w:rPr>
                <w:szCs w:val="21"/>
              </w:rPr>
              <w:t>24</w:t>
            </w:r>
            <w:r w:rsidRPr="009B261C">
              <w:rPr>
                <w:szCs w:val="21"/>
              </w:rPr>
              <w:t>个月内的最后一个交易日当日止</w:t>
            </w:r>
          </w:p>
        </w:tc>
        <w:tc>
          <w:tcPr>
            <w:tcW w:w="1638" w:type="dxa"/>
            <w:shd w:val="clear" w:color="auto" w:fill="FFFFFF"/>
            <w:vAlign w:val="center"/>
          </w:tcPr>
          <w:p w:rsidR="00600C35" w:rsidRPr="009B261C" w:rsidRDefault="00600C35" w:rsidP="00CA0E27">
            <w:pPr>
              <w:widowControl/>
              <w:jc w:val="center"/>
              <w:rPr>
                <w:szCs w:val="21"/>
              </w:rPr>
            </w:pPr>
            <w:r w:rsidRPr="009B261C">
              <w:rPr>
                <w:szCs w:val="21"/>
              </w:rPr>
              <w:t>40%</w:t>
            </w:r>
          </w:p>
        </w:tc>
      </w:tr>
      <w:tr w:rsidR="00600C35" w:rsidRPr="009B261C" w:rsidTr="00CA0E27">
        <w:tc>
          <w:tcPr>
            <w:tcW w:w="1951" w:type="dxa"/>
            <w:shd w:val="clear" w:color="auto" w:fill="FFFFFF"/>
            <w:vAlign w:val="center"/>
          </w:tcPr>
          <w:p w:rsidR="00600C35" w:rsidRPr="009B261C" w:rsidRDefault="00600C35" w:rsidP="00CA0E27">
            <w:pPr>
              <w:widowControl/>
              <w:jc w:val="center"/>
              <w:rPr>
                <w:szCs w:val="21"/>
              </w:rPr>
            </w:pPr>
            <w:r w:rsidRPr="009B261C">
              <w:rPr>
                <w:szCs w:val="21"/>
              </w:rPr>
              <w:lastRenderedPageBreak/>
              <w:t>第二个解除限售期</w:t>
            </w:r>
          </w:p>
        </w:tc>
        <w:tc>
          <w:tcPr>
            <w:tcW w:w="4887" w:type="dxa"/>
            <w:shd w:val="clear" w:color="auto" w:fill="FFFFFF"/>
          </w:tcPr>
          <w:p w:rsidR="00600C35" w:rsidRPr="009B261C" w:rsidRDefault="00600C35" w:rsidP="00CA0E27">
            <w:pPr>
              <w:widowControl/>
              <w:jc w:val="left"/>
              <w:rPr>
                <w:szCs w:val="21"/>
              </w:rPr>
            </w:pPr>
            <w:r w:rsidRPr="009B261C">
              <w:rPr>
                <w:szCs w:val="21"/>
              </w:rPr>
              <w:t>自首次授予部分限制性股票授予日起</w:t>
            </w:r>
            <w:r w:rsidRPr="009B261C">
              <w:rPr>
                <w:szCs w:val="21"/>
              </w:rPr>
              <w:t>24</w:t>
            </w:r>
            <w:r w:rsidRPr="009B261C">
              <w:rPr>
                <w:szCs w:val="21"/>
              </w:rPr>
              <w:t>个月后的首个交易日起</w:t>
            </w:r>
            <w:proofErr w:type="gramStart"/>
            <w:r w:rsidRPr="009B261C">
              <w:rPr>
                <w:szCs w:val="21"/>
              </w:rPr>
              <w:t>至首次</w:t>
            </w:r>
            <w:proofErr w:type="gramEnd"/>
            <w:r w:rsidRPr="009B261C">
              <w:rPr>
                <w:szCs w:val="21"/>
              </w:rPr>
              <w:t>授予部分限制性股票授予日起</w:t>
            </w:r>
            <w:r w:rsidRPr="009B261C">
              <w:rPr>
                <w:szCs w:val="21"/>
              </w:rPr>
              <w:t>36</w:t>
            </w:r>
            <w:r w:rsidRPr="009B261C">
              <w:rPr>
                <w:szCs w:val="21"/>
              </w:rPr>
              <w:t>个月内的最后一个交易日当日止</w:t>
            </w:r>
          </w:p>
        </w:tc>
        <w:tc>
          <w:tcPr>
            <w:tcW w:w="1638" w:type="dxa"/>
            <w:shd w:val="clear" w:color="auto" w:fill="FFFFFF"/>
            <w:vAlign w:val="center"/>
          </w:tcPr>
          <w:p w:rsidR="00600C35" w:rsidRPr="009B261C" w:rsidRDefault="00600C35" w:rsidP="00CA0E27">
            <w:pPr>
              <w:widowControl/>
              <w:jc w:val="center"/>
              <w:rPr>
                <w:szCs w:val="21"/>
              </w:rPr>
            </w:pPr>
            <w:r w:rsidRPr="009B261C">
              <w:rPr>
                <w:szCs w:val="21"/>
              </w:rPr>
              <w:t>30%</w:t>
            </w:r>
          </w:p>
        </w:tc>
      </w:tr>
      <w:tr w:rsidR="00600C35" w:rsidRPr="009B261C" w:rsidTr="00CA0E27">
        <w:tc>
          <w:tcPr>
            <w:tcW w:w="1951" w:type="dxa"/>
            <w:shd w:val="clear" w:color="auto" w:fill="FFFFFF"/>
            <w:vAlign w:val="center"/>
          </w:tcPr>
          <w:p w:rsidR="00600C35" w:rsidRPr="009B261C" w:rsidRDefault="00600C35" w:rsidP="00CA0E27">
            <w:pPr>
              <w:widowControl/>
              <w:jc w:val="center"/>
              <w:rPr>
                <w:szCs w:val="21"/>
              </w:rPr>
            </w:pPr>
            <w:r w:rsidRPr="009B261C">
              <w:rPr>
                <w:szCs w:val="21"/>
              </w:rPr>
              <w:t>第三个解除限售期</w:t>
            </w:r>
          </w:p>
        </w:tc>
        <w:tc>
          <w:tcPr>
            <w:tcW w:w="4887" w:type="dxa"/>
            <w:shd w:val="clear" w:color="auto" w:fill="FFFFFF"/>
          </w:tcPr>
          <w:p w:rsidR="00600C35" w:rsidRPr="009B261C" w:rsidRDefault="00600C35" w:rsidP="00CA0E27">
            <w:pPr>
              <w:widowControl/>
              <w:jc w:val="left"/>
              <w:rPr>
                <w:szCs w:val="21"/>
              </w:rPr>
            </w:pPr>
            <w:r w:rsidRPr="009B261C">
              <w:rPr>
                <w:szCs w:val="21"/>
              </w:rPr>
              <w:t>自首次授予部分限制性股票授予日起</w:t>
            </w:r>
            <w:r w:rsidRPr="009B261C">
              <w:rPr>
                <w:szCs w:val="21"/>
              </w:rPr>
              <w:t>36</w:t>
            </w:r>
            <w:r w:rsidRPr="009B261C">
              <w:rPr>
                <w:szCs w:val="21"/>
              </w:rPr>
              <w:t>个月后的首个交易日起</w:t>
            </w:r>
            <w:proofErr w:type="gramStart"/>
            <w:r w:rsidRPr="009B261C">
              <w:rPr>
                <w:szCs w:val="21"/>
              </w:rPr>
              <w:t>至首次</w:t>
            </w:r>
            <w:proofErr w:type="gramEnd"/>
            <w:r w:rsidRPr="009B261C">
              <w:rPr>
                <w:szCs w:val="21"/>
              </w:rPr>
              <w:t>授予部分限制性股票授予日起</w:t>
            </w:r>
            <w:r w:rsidRPr="009B261C">
              <w:rPr>
                <w:szCs w:val="21"/>
              </w:rPr>
              <w:t>48</w:t>
            </w:r>
            <w:r w:rsidRPr="009B261C">
              <w:rPr>
                <w:szCs w:val="21"/>
              </w:rPr>
              <w:t>个月内的最后一个交易日当日止</w:t>
            </w:r>
          </w:p>
        </w:tc>
        <w:tc>
          <w:tcPr>
            <w:tcW w:w="1638" w:type="dxa"/>
            <w:shd w:val="clear" w:color="auto" w:fill="FFFFFF"/>
            <w:vAlign w:val="center"/>
          </w:tcPr>
          <w:p w:rsidR="00600C35" w:rsidRPr="009B261C" w:rsidRDefault="00600C35" w:rsidP="00CA0E27">
            <w:pPr>
              <w:widowControl/>
              <w:jc w:val="center"/>
              <w:rPr>
                <w:szCs w:val="21"/>
              </w:rPr>
            </w:pPr>
            <w:r w:rsidRPr="009B261C">
              <w:rPr>
                <w:szCs w:val="21"/>
              </w:rPr>
              <w:t>30%</w:t>
            </w:r>
          </w:p>
        </w:tc>
      </w:tr>
    </w:tbl>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在上述约定期间内因未达到解除限售条件的限制性股票，不得解除限售或递延至下期解除限售，公司将按本激励计划规定的原则回购并注销激励对象相应尚未解除限售的限制性股票。</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在满足限制性股票解除限售条件后，公司将统一办理满足解除限售条件的限制性股票解除限售事宜。</w:t>
      </w:r>
    </w:p>
    <w:p w:rsidR="00600C35" w:rsidRPr="009B261C" w:rsidRDefault="00600C35" w:rsidP="00600C35">
      <w:pPr>
        <w:numPr>
          <w:ilvl w:val="0"/>
          <w:numId w:val="2"/>
        </w:numPr>
        <w:spacing w:line="360" w:lineRule="auto"/>
        <w:ind w:firstLineChars="200" w:firstLine="482"/>
        <w:rPr>
          <w:rFonts w:ascii="宋体" w:hAnsi="宋体"/>
          <w:b/>
          <w:bCs/>
          <w:sz w:val="24"/>
        </w:rPr>
      </w:pPr>
      <w:r w:rsidRPr="009B261C">
        <w:rPr>
          <w:rFonts w:ascii="宋体" w:hAnsi="宋体" w:hint="eastAsia"/>
          <w:b/>
          <w:bCs/>
          <w:sz w:val="24"/>
        </w:rPr>
        <w:t>本次限制性股票认购资金的验资情况</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中汇会计师事务所（特殊普通合伙）对公司本次限制性股票激励计划中获授限制性股票激励对象应缴纳资本的实收情况进行了审验，并于2022年2月26日出具了《江苏吴中医药发展股份公司验资报告》（中</w:t>
      </w:r>
      <w:proofErr w:type="gramStart"/>
      <w:r w:rsidRPr="009B261C">
        <w:rPr>
          <w:rFonts w:asciiTheme="minorEastAsia" w:eastAsiaTheme="minorEastAsia" w:hAnsiTheme="minorEastAsia" w:hint="eastAsia"/>
          <w:sz w:val="24"/>
        </w:rPr>
        <w:t>汇会验</w:t>
      </w:r>
      <w:proofErr w:type="gramEnd"/>
      <w:r w:rsidRPr="009B261C">
        <w:rPr>
          <w:rFonts w:asciiTheme="minorEastAsia" w:eastAsiaTheme="minorEastAsia" w:hAnsiTheme="minorEastAsia" w:hint="eastAsia"/>
          <w:sz w:val="24"/>
        </w:rPr>
        <w:t>[2022]第0474号）。截至2022年2月24日，公司共计收到109名激励对象缴纳的限制性股票认购款合计人民币12,158,720.00元，公司的注册资本仍为人民币</w:t>
      </w:r>
      <w:r w:rsidRPr="009B261C">
        <w:rPr>
          <w:rFonts w:asciiTheme="minorEastAsia" w:eastAsiaTheme="minorEastAsia" w:hAnsiTheme="minorEastAsia"/>
          <w:sz w:val="24"/>
        </w:rPr>
        <w:t>712,388,832.00</w:t>
      </w:r>
      <w:r w:rsidRPr="009B261C">
        <w:rPr>
          <w:rFonts w:asciiTheme="minorEastAsia" w:eastAsiaTheme="minorEastAsia" w:hAnsiTheme="minorEastAsia" w:hint="eastAsia"/>
          <w:sz w:val="24"/>
        </w:rPr>
        <w:t>元。</w:t>
      </w:r>
    </w:p>
    <w:p w:rsidR="00600C35" w:rsidRPr="009B261C" w:rsidRDefault="00600C35" w:rsidP="00600C35">
      <w:pPr>
        <w:numPr>
          <w:ilvl w:val="0"/>
          <w:numId w:val="2"/>
        </w:numPr>
        <w:spacing w:line="360" w:lineRule="auto"/>
        <w:ind w:firstLineChars="200" w:firstLine="482"/>
        <w:rPr>
          <w:rFonts w:ascii="宋体" w:hAnsi="宋体"/>
          <w:b/>
          <w:bCs/>
          <w:sz w:val="24"/>
        </w:rPr>
      </w:pPr>
      <w:r w:rsidRPr="009B261C">
        <w:rPr>
          <w:rFonts w:ascii="宋体" w:hAnsi="宋体" w:hint="eastAsia"/>
          <w:b/>
          <w:bCs/>
          <w:sz w:val="24"/>
        </w:rPr>
        <w:t>本次限制性股票的登记情况</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本次激励计划首次授予登记的限制性股票为330.4000万股，公司于2022年3月14日收到中国证券登记结算有限责任公司上海分公司出具的《中国证券登记结算有限责任公司上海分公司证券变更登记证明》《中国证券登记结算有限责任公司过户登记确认书》，本次激励计划首次授予的限制性股票的登记日为2022年3月14日。</w:t>
      </w:r>
    </w:p>
    <w:p w:rsidR="00600C35" w:rsidRPr="009B261C" w:rsidRDefault="00600C35" w:rsidP="00600C35">
      <w:pPr>
        <w:spacing w:line="360" w:lineRule="auto"/>
        <w:ind w:leftChars="200" w:left="420"/>
        <w:rPr>
          <w:rFonts w:ascii="宋体" w:hAnsi="宋体"/>
          <w:b/>
          <w:bCs/>
          <w:sz w:val="24"/>
        </w:rPr>
      </w:pPr>
      <w:r w:rsidRPr="009B261C">
        <w:rPr>
          <w:rFonts w:ascii="宋体" w:hAnsi="宋体" w:hint="eastAsia"/>
          <w:b/>
          <w:bCs/>
          <w:sz w:val="24"/>
        </w:rPr>
        <w:t>五、授予前后对公司控股股东的影响</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本次激励计划所涉限制性股票来源为公司在二级市场上回购的本公司人民币 A 股普通股股票。因此，首次授予完成后，公司总股本不变，不会导致公司控股股东和实际控制人及其持股比例发生变化。</w:t>
      </w:r>
    </w:p>
    <w:p w:rsidR="00600C35" w:rsidRPr="009B261C" w:rsidRDefault="00600C35" w:rsidP="00600C35">
      <w:pPr>
        <w:spacing w:line="360" w:lineRule="auto"/>
        <w:ind w:firstLineChars="200" w:firstLine="482"/>
        <w:rPr>
          <w:rFonts w:ascii="宋体" w:hAnsi="宋体"/>
          <w:b/>
          <w:bCs/>
          <w:sz w:val="24"/>
        </w:rPr>
      </w:pPr>
      <w:r w:rsidRPr="009B261C">
        <w:rPr>
          <w:rFonts w:ascii="宋体" w:hAnsi="宋体" w:hint="eastAsia"/>
          <w:b/>
          <w:bCs/>
          <w:sz w:val="24"/>
        </w:rPr>
        <w:t>六、股权结构变动情况</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本次限制性股票授予完成前后，公司的股本结构变动情况如下：</w:t>
      </w:r>
    </w:p>
    <w:tbl>
      <w:tblPr>
        <w:tblStyle w:val="a5"/>
        <w:tblW w:w="8613" w:type="dxa"/>
        <w:tblLook w:val="04A0" w:firstRow="1" w:lastRow="0" w:firstColumn="1" w:lastColumn="0" w:noHBand="0" w:noVBand="1"/>
      </w:tblPr>
      <w:tblGrid>
        <w:gridCol w:w="1951"/>
        <w:gridCol w:w="2126"/>
        <w:gridCol w:w="2410"/>
        <w:gridCol w:w="2126"/>
      </w:tblGrid>
      <w:tr w:rsidR="00600C35" w:rsidRPr="009B261C" w:rsidTr="00CA0E27">
        <w:tc>
          <w:tcPr>
            <w:tcW w:w="1951" w:type="dxa"/>
            <w:vAlign w:val="center"/>
          </w:tcPr>
          <w:p w:rsidR="00600C35" w:rsidRPr="009B261C" w:rsidRDefault="00600C35" w:rsidP="00CA0E27">
            <w:pPr>
              <w:spacing w:line="360" w:lineRule="auto"/>
              <w:jc w:val="center"/>
              <w:rPr>
                <w:rFonts w:ascii="宋体" w:hAnsi="宋体"/>
                <w:b/>
                <w:szCs w:val="21"/>
              </w:rPr>
            </w:pPr>
            <w:r w:rsidRPr="009B261C">
              <w:rPr>
                <w:rFonts w:ascii="宋体" w:hAnsi="宋体" w:hint="eastAsia"/>
                <w:b/>
                <w:szCs w:val="21"/>
              </w:rPr>
              <w:lastRenderedPageBreak/>
              <w:t>证券类别</w:t>
            </w:r>
          </w:p>
        </w:tc>
        <w:tc>
          <w:tcPr>
            <w:tcW w:w="2126" w:type="dxa"/>
            <w:vAlign w:val="center"/>
          </w:tcPr>
          <w:p w:rsidR="00600C35" w:rsidRPr="009B261C" w:rsidRDefault="00600C35" w:rsidP="00CA0E27">
            <w:pPr>
              <w:pStyle w:val="Default"/>
              <w:jc w:val="center"/>
              <w:rPr>
                <w:b/>
                <w:sz w:val="21"/>
                <w:szCs w:val="21"/>
              </w:rPr>
            </w:pPr>
            <w:r w:rsidRPr="009B261C">
              <w:rPr>
                <w:rFonts w:hint="eastAsia"/>
                <w:b/>
                <w:sz w:val="21"/>
                <w:szCs w:val="21"/>
              </w:rPr>
              <w:t>变更前股份数量（股）</w:t>
            </w:r>
          </w:p>
        </w:tc>
        <w:tc>
          <w:tcPr>
            <w:tcW w:w="2410" w:type="dxa"/>
            <w:vAlign w:val="center"/>
          </w:tcPr>
          <w:p w:rsidR="00600C35" w:rsidRPr="009B261C" w:rsidRDefault="00600C35" w:rsidP="00CA0E27">
            <w:pPr>
              <w:pStyle w:val="Default"/>
              <w:jc w:val="center"/>
              <w:rPr>
                <w:b/>
                <w:sz w:val="21"/>
                <w:szCs w:val="21"/>
              </w:rPr>
            </w:pPr>
            <w:r w:rsidRPr="009B261C">
              <w:rPr>
                <w:rFonts w:hint="eastAsia"/>
                <w:b/>
                <w:sz w:val="21"/>
                <w:szCs w:val="21"/>
              </w:rPr>
              <w:t>本次变更股份数量（股）</w:t>
            </w:r>
          </w:p>
        </w:tc>
        <w:tc>
          <w:tcPr>
            <w:tcW w:w="2126" w:type="dxa"/>
            <w:vAlign w:val="center"/>
          </w:tcPr>
          <w:p w:rsidR="00600C35" w:rsidRPr="009B261C" w:rsidRDefault="00600C35" w:rsidP="00CA0E27">
            <w:pPr>
              <w:pStyle w:val="Default"/>
              <w:jc w:val="center"/>
              <w:rPr>
                <w:b/>
                <w:sz w:val="21"/>
                <w:szCs w:val="21"/>
              </w:rPr>
            </w:pPr>
            <w:r w:rsidRPr="009B261C">
              <w:rPr>
                <w:rFonts w:hint="eastAsia"/>
                <w:b/>
                <w:sz w:val="21"/>
                <w:szCs w:val="21"/>
              </w:rPr>
              <w:t>变更后股份数量（股）</w:t>
            </w:r>
          </w:p>
        </w:tc>
      </w:tr>
      <w:tr w:rsidR="00600C35" w:rsidRPr="009B261C" w:rsidTr="00CA0E27">
        <w:tc>
          <w:tcPr>
            <w:tcW w:w="1951" w:type="dxa"/>
            <w:vAlign w:val="center"/>
          </w:tcPr>
          <w:p w:rsidR="00600C35" w:rsidRPr="009B261C" w:rsidRDefault="00600C35" w:rsidP="00CA0E27">
            <w:pPr>
              <w:spacing w:line="360" w:lineRule="auto"/>
              <w:jc w:val="center"/>
              <w:rPr>
                <w:rFonts w:ascii="宋体" w:hAnsi="宋体"/>
                <w:b/>
                <w:szCs w:val="21"/>
              </w:rPr>
            </w:pPr>
            <w:r w:rsidRPr="009B261C">
              <w:rPr>
                <w:rFonts w:ascii="宋体" w:hAnsi="宋体" w:hint="eastAsia"/>
                <w:b/>
                <w:szCs w:val="21"/>
              </w:rPr>
              <w:t>无限</w:t>
            </w:r>
            <w:proofErr w:type="gramStart"/>
            <w:r w:rsidRPr="009B261C">
              <w:rPr>
                <w:rFonts w:ascii="宋体" w:hAnsi="宋体" w:hint="eastAsia"/>
                <w:b/>
                <w:szCs w:val="21"/>
              </w:rPr>
              <w:t>售条件</w:t>
            </w:r>
            <w:proofErr w:type="gramEnd"/>
            <w:r w:rsidRPr="009B261C">
              <w:rPr>
                <w:rFonts w:ascii="宋体" w:hAnsi="宋体" w:hint="eastAsia"/>
                <w:b/>
                <w:szCs w:val="21"/>
              </w:rPr>
              <w:t>流通股</w:t>
            </w:r>
          </w:p>
        </w:tc>
        <w:tc>
          <w:tcPr>
            <w:tcW w:w="2126" w:type="dxa"/>
            <w:vAlign w:val="center"/>
          </w:tcPr>
          <w:p w:rsidR="00600C35" w:rsidRPr="009B261C" w:rsidRDefault="00600C35" w:rsidP="00CA0E27">
            <w:pPr>
              <w:spacing w:line="360" w:lineRule="auto"/>
              <w:jc w:val="center"/>
              <w:rPr>
                <w:rFonts w:ascii="宋体" w:hAnsi="宋体"/>
                <w:szCs w:val="21"/>
              </w:rPr>
            </w:pPr>
            <w:r w:rsidRPr="009B261C">
              <w:rPr>
                <w:rFonts w:ascii="宋体" w:hAnsi="宋体"/>
                <w:szCs w:val="21"/>
              </w:rPr>
              <w:t>712,388,832</w:t>
            </w:r>
          </w:p>
        </w:tc>
        <w:tc>
          <w:tcPr>
            <w:tcW w:w="2410" w:type="dxa"/>
            <w:vAlign w:val="center"/>
          </w:tcPr>
          <w:p w:rsidR="00600C35" w:rsidRPr="009B261C" w:rsidRDefault="00600C35" w:rsidP="00CA0E27">
            <w:pPr>
              <w:spacing w:line="360" w:lineRule="auto"/>
              <w:jc w:val="center"/>
              <w:rPr>
                <w:rFonts w:ascii="宋体" w:hAnsi="宋体"/>
                <w:szCs w:val="21"/>
              </w:rPr>
            </w:pPr>
            <w:r w:rsidRPr="009B261C">
              <w:rPr>
                <w:rFonts w:ascii="宋体" w:hAnsi="宋体"/>
                <w:szCs w:val="21"/>
              </w:rPr>
              <w:t>-3,304,000</w:t>
            </w:r>
          </w:p>
        </w:tc>
        <w:tc>
          <w:tcPr>
            <w:tcW w:w="2126" w:type="dxa"/>
            <w:vAlign w:val="center"/>
          </w:tcPr>
          <w:p w:rsidR="00600C35" w:rsidRPr="009B261C" w:rsidRDefault="00600C35" w:rsidP="00CA0E27">
            <w:pPr>
              <w:spacing w:line="360" w:lineRule="auto"/>
              <w:jc w:val="center"/>
              <w:rPr>
                <w:rFonts w:ascii="宋体" w:hAnsi="宋体"/>
                <w:szCs w:val="21"/>
              </w:rPr>
            </w:pPr>
            <w:r w:rsidRPr="009B261C">
              <w:rPr>
                <w:rFonts w:ascii="宋体" w:hAnsi="宋体"/>
                <w:szCs w:val="21"/>
              </w:rPr>
              <w:t>709,084,832</w:t>
            </w:r>
          </w:p>
        </w:tc>
      </w:tr>
      <w:tr w:rsidR="00600C35" w:rsidRPr="009B261C" w:rsidTr="00CA0E27">
        <w:tc>
          <w:tcPr>
            <w:tcW w:w="1951" w:type="dxa"/>
            <w:vAlign w:val="center"/>
          </w:tcPr>
          <w:p w:rsidR="00600C35" w:rsidRPr="009B261C" w:rsidRDefault="00600C35" w:rsidP="00CA0E27">
            <w:pPr>
              <w:spacing w:line="360" w:lineRule="auto"/>
              <w:jc w:val="center"/>
              <w:rPr>
                <w:rFonts w:ascii="宋体" w:hAnsi="宋体"/>
                <w:b/>
                <w:szCs w:val="21"/>
              </w:rPr>
            </w:pPr>
            <w:r w:rsidRPr="009B261C">
              <w:rPr>
                <w:rFonts w:ascii="宋体" w:hAnsi="宋体" w:hint="eastAsia"/>
                <w:b/>
                <w:szCs w:val="21"/>
              </w:rPr>
              <w:t>有限</w:t>
            </w:r>
            <w:proofErr w:type="gramStart"/>
            <w:r w:rsidRPr="009B261C">
              <w:rPr>
                <w:rFonts w:ascii="宋体" w:hAnsi="宋体" w:hint="eastAsia"/>
                <w:b/>
                <w:szCs w:val="21"/>
              </w:rPr>
              <w:t>售条件</w:t>
            </w:r>
            <w:proofErr w:type="gramEnd"/>
            <w:r w:rsidRPr="009B261C">
              <w:rPr>
                <w:rFonts w:ascii="宋体" w:hAnsi="宋体" w:hint="eastAsia"/>
                <w:b/>
                <w:szCs w:val="21"/>
              </w:rPr>
              <w:t>流通股</w:t>
            </w:r>
          </w:p>
        </w:tc>
        <w:tc>
          <w:tcPr>
            <w:tcW w:w="2126" w:type="dxa"/>
            <w:vAlign w:val="center"/>
          </w:tcPr>
          <w:p w:rsidR="00600C35" w:rsidRPr="009B261C" w:rsidRDefault="00600C35" w:rsidP="00CA0E27">
            <w:pPr>
              <w:spacing w:line="360" w:lineRule="auto"/>
              <w:jc w:val="center"/>
              <w:rPr>
                <w:rFonts w:ascii="宋体" w:hAnsi="宋体"/>
                <w:szCs w:val="21"/>
              </w:rPr>
            </w:pPr>
            <w:r w:rsidRPr="009B261C">
              <w:rPr>
                <w:rFonts w:ascii="宋体" w:hAnsi="宋体" w:hint="eastAsia"/>
                <w:szCs w:val="21"/>
              </w:rPr>
              <w:t>0</w:t>
            </w:r>
          </w:p>
        </w:tc>
        <w:tc>
          <w:tcPr>
            <w:tcW w:w="2410" w:type="dxa"/>
            <w:vAlign w:val="center"/>
          </w:tcPr>
          <w:p w:rsidR="00600C35" w:rsidRPr="009B261C" w:rsidRDefault="00600C35" w:rsidP="00CA0E27">
            <w:pPr>
              <w:spacing w:line="360" w:lineRule="auto"/>
              <w:jc w:val="center"/>
              <w:rPr>
                <w:rFonts w:ascii="宋体" w:hAnsi="宋体"/>
                <w:szCs w:val="21"/>
              </w:rPr>
            </w:pPr>
            <w:r w:rsidRPr="009B261C">
              <w:rPr>
                <w:rFonts w:ascii="宋体" w:hAnsi="宋体"/>
                <w:szCs w:val="21"/>
              </w:rPr>
              <w:t>+3,304,000</w:t>
            </w:r>
          </w:p>
        </w:tc>
        <w:tc>
          <w:tcPr>
            <w:tcW w:w="2126" w:type="dxa"/>
            <w:vAlign w:val="center"/>
          </w:tcPr>
          <w:p w:rsidR="00600C35" w:rsidRPr="009B261C" w:rsidRDefault="00600C35" w:rsidP="00CA0E27">
            <w:pPr>
              <w:spacing w:line="360" w:lineRule="auto"/>
              <w:jc w:val="center"/>
              <w:rPr>
                <w:rFonts w:ascii="宋体" w:hAnsi="宋体"/>
                <w:szCs w:val="21"/>
              </w:rPr>
            </w:pPr>
            <w:r w:rsidRPr="009B261C">
              <w:rPr>
                <w:rFonts w:ascii="宋体" w:hAnsi="宋体"/>
                <w:szCs w:val="21"/>
              </w:rPr>
              <w:t>3,304,000</w:t>
            </w:r>
          </w:p>
        </w:tc>
      </w:tr>
      <w:tr w:rsidR="00600C35" w:rsidRPr="009B261C" w:rsidTr="00CA0E27">
        <w:tc>
          <w:tcPr>
            <w:tcW w:w="1951" w:type="dxa"/>
            <w:vAlign w:val="center"/>
          </w:tcPr>
          <w:p w:rsidR="00600C35" w:rsidRPr="009B261C" w:rsidRDefault="00600C35" w:rsidP="00CA0E27">
            <w:pPr>
              <w:spacing w:line="360" w:lineRule="auto"/>
              <w:jc w:val="center"/>
              <w:rPr>
                <w:rFonts w:ascii="宋体" w:hAnsi="宋体"/>
                <w:b/>
                <w:szCs w:val="21"/>
              </w:rPr>
            </w:pPr>
            <w:r w:rsidRPr="009B261C">
              <w:rPr>
                <w:rFonts w:ascii="宋体" w:hAnsi="宋体" w:hint="eastAsia"/>
                <w:b/>
                <w:szCs w:val="21"/>
              </w:rPr>
              <w:t>合计</w:t>
            </w:r>
          </w:p>
        </w:tc>
        <w:tc>
          <w:tcPr>
            <w:tcW w:w="2126" w:type="dxa"/>
            <w:vAlign w:val="center"/>
          </w:tcPr>
          <w:p w:rsidR="00600C35" w:rsidRPr="009B261C" w:rsidRDefault="00600C35" w:rsidP="00CA0E27">
            <w:pPr>
              <w:spacing w:line="360" w:lineRule="auto"/>
              <w:jc w:val="center"/>
              <w:rPr>
                <w:rFonts w:ascii="宋体" w:hAnsi="宋体"/>
                <w:szCs w:val="21"/>
              </w:rPr>
            </w:pPr>
            <w:r w:rsidRPr="009B261C">
              <w:rPr>
                <w:rFonts w:ascii="宋体" w:hAnsi="宋体"/>
                <w:szCs w:val="21"/>
              </w:rPr>
              <w:t>712,388,832</w:t>
            </w:r>
          </w:p>
        </w:tc>
        <w:tc>
          <w:tcPr>
            <w:tcW w:w="2410" w:type="dxa"/>
            <w:vAlign w:val="center"/>
          </w:tcPr>
          <w:p w:rsidR="00600C35" w:rsidRPr="009B261C" w:rsidRDefault="00600C35" w:rsidP="00CA0E27">
            <w:pPr>
              <w:spacing w:line="360" w:lineRule="auto"/>
              <w:jc w:val="center"/>
              <w:rPr>
                <w:rFonts w:ascii="宋体" w:hAnsi="宋体"/>
                <w:szCs w:val="21"/>
              </w:rPr>
            </w:pPr>
            <w:r w:rsidRPr="009B261C">
              <w:rPr>
                <w:rFonts w:ascii="宋体" w:hAnsi="宋体" w:hint="eastAsia"/>
                <w:szCs w:val="21"/>
              </w:rPr>
              <w:t>0</w:t>
            </w:r>
          </w:p>
        </w:tc>
        <w:tc>
          <w:tcPr>
            <w:tcW w:w="2126" w:type="dxa"/>
            <w:vAlign w:val="center"/>
          </w:tcPr>
          <w:p w:rsidR="00600C35" w:rsidRPr="009B261C" w:rsidRDefault="00600C35" w:rsidP="00CA0E27">
            <w:pPr>
              <w:spacing w:line="360" w:lineRule="auto"/>
              <w:jc w:val="center"/>
              <w:rPr>
                <w:rFonts w:ascii="宋体" w:hAnsi="宋体"/>
                <w:szCs w:val="21"/>
              </w:rPr>
            </w:pPr>
            <w:r w:rsidRPr="009B261C">
              <w:rPr>
                <w:rFonts w:ascii="宋体" w:hAnsi="宋体"/>
                <w:szCs w:val="21"/>
              </w:rPr>
              <w:t>712,388,832</w:t>
            </w:r>
          </w:p>
        </w:tc>
      </w:tr>
    </w:tbl>
    <w:p w:rsidR="00600C35" w:rsidRPr="009B261C" w:rsidRDefault="00600C35" w:rsidP="00600C35">
      <w:pPr>
        <w:spacing w:line="360" w:lineRule="auto"/>
        <w:ind w:firstLineChars="200" w:firstLine="482"/>
        <w:rPr>
          <w:rFonts w:ascii="宋体" w:hAnsi="宋体"/>
          <w:b/>
          <w:bCs/>
          <w:sz w:val="24"/>
        </w:rPr>
      </w:pPr>
      <w:r w:rsidRPr="009B261C">
        <w:rPr>
          <w:rFonts w:ascii="宋体" w:hAnsi="宋体" w:hint="eastAsia"/>
          <w:b/>
          <w:bCs/>
          <w:sz w:val="24"/>
        </w:rPr>
        <w:t>七、本次募集资金使用计划</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本次激励计划所筹集资金总额为人民币12,158,720.00元，将全部用于补充公司流动资金。</w:t>
      </w:r>
    </w:p>
    <w:p w:rsidR="00600C35" w:rsidRPr="009B261C" w:rsidRDefault="00600C35" w:rsidP="00600C35">
      <w:pPr>
        <w:spacing w:line="360" w:lineRule="auto"/>
        <w:ind w:firstLineChars="200" w:firstLine="482"/>
        <w:rPr>
          <w:rFonts w:ascii="宋体" w:hAnsi="宋体"/>
          <w:b/>
          <w:bCs/>
          <w:sz w:val="24"/>
        </w:rPr>
      </w:pPr>
      <w:r w:rsidRPr="009B261C">
        <w:rPr>
          <w:rFonts w:ascii="宋体" w:hAnsi="宋体" w:hint="eastAsia"/>
          <w:b/>
          <w:bCs/>
          <w:sz w:val="24"/>
        </w:rPr>
        <w:t>八、本次授予后对公司财务状况的影响</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根据《企业会计准则第 11 号—股份支付》和《企业会计准则第 22 号—金融工具确认和计量》中关于公允价值确定的相关规定，公司将在限售期内的每个资产负债表日，根据最新取得的可解除限售人数变动、业绩指标完成情况等后续信息，修正预计可解除限售的限制性股票数量，并按照限制性股票授予日的公允价值，将当期取得的服务计入相关成本或费用和资本公积。</w:t>
      </w:r>
    </w:p>
    <w:p w:rsidR="00600C35" w:rsidRPr="009B261C"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t>公司董事会已确定激励计划的首次授予日为2022年2月16日，经测算，公司首次授予登记的330.4000万股限制性股票合计需摊销的总费用为</w:t>
      </w:r>
      <w:r w:rsidRPr="009B261C">
        <w:rPr>
          <w:rFonts w:asciiTheme="minorEastAsia" w:eastAsiaTheme="minorEastAsia" w:hAnsiTheme="minorEastAsia"/>
          <w:sz w:val="24"/>
        </w:rPr>
        <w:t xml:space="preserve">1,077.10 </w:t>
      </w:r>
      <w:r w:rsidRPr="009B261C">
        <w:rPr>
          <w:rFonts w:asciiTheme="minorEastAsia" w:eastAsiaTheme="minorEastAsia" w:hAnsiTheme="minorEastAsia" w:hint="eastAsia"/>
          <w:sz w:val="24"/>
        </w:rPr>
        <w:t>万元，则202</w:t>
      </w:r>
      <w:r w:rsidRPr="009B261C">
        <w:rPr>
          <w:rFonts w:asciiTheme="minorEastAsia" w:eastAsiaTheme="minorEastAsia" w:hAnsiTheme="minorEastAsia"/>
          <w:sz w:val="24"/>
        </w:rPr>
        <w:t>2</w:t>
      </w:r>
      <w:r w:rsidRPr="009B261C">
        <w:rPr>
          <w:rFonts w:asciiTheme="minorEastAsia" w:eastAsiaTheme="minorEastAsia" w:hAnsiTheme="minorEastAsia" w:hint="eastAsia"/>
          <w:sz w:val="24"/>
        </w:rPr>
        <w:t>年至202</w:t>
      </w:r>
      <w:r w:rsidRPr="009B261C">
        <w:rPr>
          <w:rFonts w:asciiTheme="minorEastAsia" w:eastAsiaTheme="minorEastAsia" w:hAnsiTheme="minorEastAsia"/>
          <w:sz w:val="24"/>
        </w:rPr>
        <w:t>5</w:t>
      </w:r>
      <w:r w:rsidRPr="009B261C">
        <w:rPr>
          <w:rFonts w:asciiTheme="minorEastAsia" w:eastAsiaTheme="minorEastAsia" w:hAnsiTheme="minorEastAsia" w:hint="eastAsia"/>
          <w:sz w:val="24"/>
        </w:rPr>
        <w:t>年限制性股票成本摊销情况见下表：</w:t>
      </w:r>
    </w:p>
    <w:p w:rsidR="00600C35" w:rsidRPr="009B261C" w:rsidRDefault="00600C35" w:rsidP="00600C35">
      <w:pPr>
        <w:spacing w:beforeLines="50" w:before="156" w:line="360" w:lineRule="auto"/>
        <w:ind w:firstLineChars="200" w:firstLine="420"/>
        <w:jc w:val="right"/>
        <w:rPr>
          <w:rFonts w:asciiTheme="minorEastAsia" w:eastAsiaTheme="minorEastAsia" w:hAnsiTheme="minorEastAsia"/>
          <w:szCs w:val="21"/>
        </w:rPr>
      </w:pPr>
      <w:r w:rsidRPr="009B261C">
        <w:rPr>
          <w:rFonts w:asciiTheme="minorEastAsia" w:eastAsiaTheme="minorEastAsia" w:hAnsiTheme="minorEastAsia" w:hint="eastAsia"/>
          <w:szCs w:val="21"/>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1549"/>
        <w:gridCol w:w="1549"/>
        <w:gridCol w:w="1549"/>
        <w:gridCol w:w="1548"/>
      </w:tblGrid>
      <w:tr w:rsidR="00600C35" w:rsidRPr="009B261C" w:rsidTr="00CA0E27">
        <w:trPr>
          <w:trHeight w:hRule="exact" w:val="416"/>
        </w:trPr>
        <w:tc>
          <w:tcPr>
            <w:tcW w:w="1365" w:type="pct"/>
            <w:tcBorders>
              <w:top w:val="single" w:sz="4" w:space="0" w:color="auto"/>
              <w:left w:val="single" w:sz="4" w:space="0" w:color="auto"/>
              <w:bottom w:val="single" w:sz="4" w:space="0" w:color="auto"/>
              <w:right w:val="single" w:sz="4" w:space="0" w:color="auto"/>
            </w:tcBorders>
            <w:vAlign w:val="center"/>
          </w:tcPr>
          <w:p w:rsidR="00600C35" w:rsidRPr="009B261C" w:rsidRDefault="00600C35" w:rsidP="00CA0E27">
            <w:pPr>
              <w:widowControl/>
              <w:spacing w:line="360" w:lineRule="auto"/>
              <w:jc w:val="center"/>
              <w:rPr>
                <w:b/>
                <w:szCs w:val="21"/>
              </w:rPr>
            </w:pPr>
            <w:r w:rsidRPr="009B261C">
              <w:rPr>
                <w:rFonts w:hint="eastAsia"/>
                <w:b/>
                <w:szCs w:val="21"/>
              </w:rPr>
              <w:t>限制性股票摊销成本</w:t>
            </w:r>
          </w:p>
        </w:tc>
        <w:tc>
          <w:tcPr>
            <w:tcW w:w="909" w:type="pct"/>
            <w:tcBorders>
              <w:top w:val="single" w:sz="4" w:space="0" w:color="auto"/>
              <w:left w:val="single" w:sz="4" w:space="0" w:color="auto"/>
              <w:bottom w:val="single" w:sz="4" w:space="0" w:color="auto"/>
              <w:right w:val="single" w:sz="4" w:space="0" w:color="auto"/>
            </w:tcBorders>
            <w:vAlign w:val="center"/>
          </w:tcPr>
          <w:p w:rsidR="00600C35" w:rsidRPr="009B261C" w:rsidRDefault="00600C35" w:rsidP="00CA0E27">
            <w:pPr>
              <w:widowControl/>
              <w:spacing w:line="360" w:lineRule="auto"/>
              <w:jc w:val="center"/>
              <w:rPr>
                <w:b/>
                <w:szCs w:val="21"/>
              </w:rPr>
            </w:pPr>
            <w:r w:rsidRPr="009B261C">
              <w:rPr>
                <w:b/>
                <w:szCs w:val="21"/>
              </w:rPr>
              <w:t>2022</w:t>
            </w:r>
            <w:r w:rsidRPr="009B261C">
              <w:rPr>
                <w:rFonts w:hint="eastAsia"/>
                <w:b/>
                <w:szCs w:val="21"/>
              </w:rPr>
              <w:t>年</w:t>
            </w:r>
          </w:p>
        </w:tc>
        <w:tc>
          <w:tcPr>
            <w:tcW w:w="909" w:type="pct"/>
            <w:tcBorders>
              <w:top w:val="single" w:sz="4" w:space="0" w:color="auto"/>
              <w:left w:val="single" w:sz="4" w:space="0" w:color="auto"/>
              <w:bottom w:val="single" w:sz="4" w:space="0" w:color="auto"/>
              <w:right w:val="single" w:sz="4" w:space="0" w:color="auto"/>
            </w:tcBorders>
            <w:vAlign w:val="center"/>
          </w:tcPr>
          <w:p w:rsidR="00600C35" w:rsidRPr="009B261C" w:rsidRDefault="00600C35" w:rsidP="00CA0E27">
            <w:pPr>
              <w:widowControl/>
              <w:spacing w:line="360" w:lineRule="auto"/>
              <w:jc w:val="center"/>
              <w:rPr>
                <w:b/>
                <w:szCs w:val="21"/>
              </w:rPr>
            </w:pPr>
            <w:r w:rsidRPr="009B261C">
              <w:rPr>
                <w:b/>
                <w:szCs w:val="21"/>
              </w:rPr>
              <w:t>2023</w:t>
            </w:r>
            <w:r w:rsidRPr="009B261C">
              <w:rPr>
                <w:rFonts w:hint="eastAsia"/>
                <w:b/>
                <w:szCs w:val="21"/>
              </w:rPr>
              <w:t>年</w:t>
            </w:r>
          </w:p>
        </w:tc>
        <w:tc>
          <w:tcPr>
            <w:tcW w:w="909" w:type="pct"/>
            <w:tcBorders>
              <w:top w:val="single" w:sz="4" w:space="0" w:color="auto"/>
              <w:left w:val="single" w:sz="4" w:space="0" w:color="auto"/>
              <w:bottom w:val="single" w:sz="4" w:space="0" w:color="auto"/>
              <w:right w:val="single" w:sz="4" w:space="0" w:color="auto"/>
            </w:tcBorders>
            <w:vAlign w:val="center"/>
          </w:tcPr>
          <w:p w:rsidR="00600C35" w:rsidRPr="009B261C" w:rsidRDefault="00600C35" w:rsidP="00CA0E27">
            <w:pPr>
              <w:widowControl/>
              <w:spacing w:line="360" w:lineRule="auto"/>
              <w:jc w:val="center"/>
              <w:rPr>
                <w:b/>
                <w:szCs w:val="21"/>
              </w:rPr>
            </w:pPr>
            <w:r w:rsidRPr="009B261C">
              <w:rPr>
                <w:b/>
                <w:szCs w:val="21"/>
              </w:rPr>
              <w:t>2024</w:t>
            </w:r>
            <w:r w:rsidRPr="009B261C">
              <w:rPr>
                <w:rFonts w:hint="eastAsia"/>
                <w:b/>
                <w:szCs w:val="21"/>
              </w:rPr>
              <w:t>年</w:t>
            </w:r>
          </w:p>
        </w:tc>
        <w:tc>
          <w:tcPr>
            <w:tcW w:w="908" w:type="pct"/>
            <w:tcBorders>
              <w:top w:val="single" w:sz="4" w:space="0" w:color="auto"/>
              <w:left w:val="single" w:sz="4" w:space="0" w:color="auto"/>
              <w:bottom w:val="single" w:sz="4" w:space="0" w:color="auto"/>
              <w:right w:val="single" w:sz="4" w:space="0" w:color="auto"/>
            </w:tcBorders>
            <w:vAlign w:val="center"/>
          </w:tcPr>
          <w:p w:rsidR="00600C35" w:rsidRPr="009B261C" w:rsidRDefault="00600C35" w:rsidP="00CA0E27">
            <w:pPr>
              <w:widowControl/>
              <w:spacing w:line="360" w:lineRule="auto"/>
              <w:jc w:val="center"/>
              <w:rPr>
                <w:b/>
                <w:szCs w:val="21"/>
              </w:rPr>
            </w:pPr>
            <w:r w:rsidRPr="009B261C">
              <w:rPr>
                <w:b/>
                <w:szCs w:val="21"/>
              </w:rPr>
              <w:t>2025</w:t>
            </w:r>
            <w:r w:rsidRPr="009B261C">
              <w:rPr>
                <w:rFonts w:hint="eastAsia"/>
                <w:b/>
                <w:szCs w:val="21"/>
              </w:rPr>
              <w:t>年</w:t>
            </w:r>
          </w:p>
        </w:tc>
      </w:tr>
      <w:tr w:rsidR="00600C35" w:rsidRPr="009B261C" w:rsidTr="00CA0E27">
        <w:trPr>
          <w:trHeight w:hRule="exact" w:val="423"/>
        </w:trPr>
        <w:tc>
          <w:tcPr>
            <w:tcW w:w="1365" w:type="pct"/>
            <w:tcBorders>
              <w:top w:val="single" w:sz="4" w:space="0" w:color="auto"/>
              <w:left w:val="single" w:sz="4" w:space="0" w:color="auto"/>
              <w:bottom w:val="single" w:sz="4" w:space="0" w:color="auto"/>
              <w:right w:val="single" w:sz="4" w:space="0" w:color="auto"/>
            </w:tcBorders>
            <w:vAlign w:val="center"/>
          </w:tcPr>
          <w:p w:rsidR="00600C35" w:rsidRPr="009B261C" w:rsidRDefault="00600C35" w:rsidP="00CA0E27">
            <w:pPr>
              <w:widowControl/>
              <w:spacing w:line="360" w:lineRule="auto"/>
              <w:jc w:val="center"/>
              <w:rPr>
                <w:szCs w:val="21"/>
              </w:rPr>
            </w:pPr>
            <w:r w:rsidRPr="009B261C">
              <w:rPr>
                <w:szCs w:val="21"/>
              </w:rPr>
              <w:t xml:space="preserve">1,077.10 </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600C35" w:rsidRPr="009B261C" w:rsidRDefault="00600C35" w:rsidP="00CA0E27">
            <w:pPr>
              <w:widowControl/>
              <w:spacing w:line="360" w:lineRule="auto"/>
              <w:jc w:val="center"/>
              <w:rPr>
                <w:bCs/>
                <w:szCs w:val="21"/>
              </w:rPr>
            </w:pPr>
            <w:r w:rsidRPr="009B261C">
              <w:rPr>
                <w:rFonts w:eastAsia="等线"/>
                <w:bCs/>
                <w:color w:val="000000"/>
                <w:szCs w:val="21"/>
              </w:rPr>
              <w:t xml:space="preserve">583.43 </w:t>
            </w:r>
          </w:p>
        </w:tc>
        <w:tc>
          <w:tcPr>
            <w:tcW w:w="909" w:type="pct"/>
            <w:tcBorders>
              <w:top w:val="single" w:sz="4" w:space="0" w:color="auto"/>
              <w:left w:val="nil"/>
              <w:bottom w:val="single" w:sz="4" w:space="0" w:color="auto"/>
              <w:right w:val="single" w:sz="4" w:space="0" w:color="auto"/>
            </w:tcBorders>
            <w:shd w:val="clear" w:color="auto" w:fill="auto"/>
            <w:vAlign w:val="center"/>
          </w:tcPr>
          <w:p w:rsidR="00600C35" w:rsidRPr="009B261C" w:rsidRDefault="00600C35" w:rsidP="00CA0E27">
            <w:pPr>
              <w:widowControl/>
              <w:spacing w:line="360" w:lineRule="auto"/>
              <w:jc w:val="center"/>
              <w:rPr>
                <w:bCs/>
                <w:szCs w:val="21"/>
              </w:rPr>
            </w:pPr>
            <w:r w:rsidRPr="009B261C">
              <w:rPr>
                <w:rFonts w:eastAsia="等线"/>
                <w:bCs/>
                <w:color w:val="000000"/>
                <w:szCs w:val="21"/>
              </w:rPr>
              <w:t xml:space="preserve">341.08 </w:t>
            </w:r>
          </w:p>
        </w:tc>
        <w:tc>
          <w:tcPr>
            <w:tcW w:w="909" w:type="pct"/>
            <w:tcBorders>
              <w:top w:val="single" w:sz="4" w:space="0" w:color="auto"/>
              <w:left w:val="nil"/>
              <w:bottom w:val="single" w:sz="4" w:space="0" w:color="auto"/>
              <w:right w:val="single" w:sz="4" w:space="0" w:color="auto"/>
            </w:tcBorders>
            <w:shd w:val="clear" w:color="auto" w:fill="auto"/>
            <w:vAlign w:val="center"/>
          </w:tcPr>
          <w:p w:rsidR="00600C35" w:rsidRPr="009B261C" w:rsidRDefault="00600C35" w:rsidP="00CA0E27">
            <w:pPr>
              <w:widowControl/>
              <w:spacing w:line="360" w:lineRule="auto"/>
              <w:jc w:val="center"/>
              <w:rPr>
                <w:bCs/>
                <w:szCs w:val="21"/>
              </w:rPr>
            </w:pPr>
            <w:r w:rsidRPr="009B261C">
              <w:rPr>
                <w:rFonts w:eastAsia="等线"/>
                <w:bCs/>
                <w:color w:val="000000"/>
                <w:szCs w:val="21"/>
              </w:rPr>
              <w:t xml:space="preserve">134.64 </w:t>
            </w:r>
          </w:p>
        </w:tc>
        <w:tc>
          <w:tcPr>
            <w:tcW w:w="908" w:type="pct"/>
            <w:tcBorders>
              <w:top w:val="single" w:sz="4" w:space="0" w:color="auto"/>
              <w:left w:val="nil"/>
              <w:bottom w:val="single" w:sz="4" w:space="0" w:color="auto"/>
              <w:right w:val="single" w:sz="4" w:space="0" w:color="auto"/>
            </w:tcBorders>
            <w:shd w:val="clear" w:color="auto" w:fill="auto"/>
            <w:vAlign w:val="center"/>
          </w:tcPr>
          <w:p w:rsidR="00600C35" w:rsidRPr="009B261C" w:rsidRDefault="00600C35" w:rsidP="00CA0E27">
            <w:pPr>
              <w:widowControl/>
              <w:spacing w:line="360" w:lineRule="auto"/>
              <w:jc w:val="center"/>
              <w:rPr>
                <w:bCs/>
                <w:szCs w:val="21"/>
              </w:rPr>
            </w:pPr>
            <w:r w:rsidRPr="009B261C">
              <w:rPr>
                <w:rFonts w:eastAsia="等线"/>
                <w:bCs/>
                <w:color w:val="000000"/>
                <w:szCs w:val="21"/>
              </w:rPr>
              <w:t xml:space="preserve">17.95 </w:t>
            </w:r>
          </w:p>
        </w:tc>
      </w:tr>
    </w:tbl>
    <w:p w:rsidR="00600C35" w:rsidRPr="009B261C" w:rsidRDefault="00600C35" w:rsidP="00600C35">
      <w:pPr>
        <w:spacing w:beforeLines="50" w:before="156" w:line="360" w:lineRule="auto"/>
        <w:ind w:firstLineChars="200" w:firstLine="420"/>
        <w:rPr>
          <w:rFonts w:asciiTheme="minorEastAsia" w:eastAsiaTheme="minorEastAsia" w:hAnsiTheme="minorEastAsia"/>
          <w:szCs w:val="21"/>
        </w:rPr>
      </w:pPr>
      <w:r w:rsidRPr="009B261C">
        <w:rPr>
          <w:rFonts w:asciiTheme="minorEastAsia" w:eastAsiaTheme="minorEastAsia" w:hAnsiTheme="minorEastAsia"/>
          <w:vanish/>
          <w:szCs w:val="21"/>
        </w:rPr>
        <w:t xml:space="preserve">230.4000 0.00 </w:t>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vanish/>
          <w:szCs w:val="21"/>
        </w:rPr>
        <w:pgNum/>
      </w:r>
      <w:r w:rsidRPr="009B261C">
        <w:rPr>
          <w:rFonts w:asciiTheme="minorEastAsia" w:eastAsiaTheme="minorEastAsia" w:hAnsiTheme="minorEastAsia" w:hint="eastAsia"/>
          <w:szCs w:val="21"/>
        </w:rPr>
        <w:t>注：1、上述对公司财务状况和经营成果的影响仅为测算数据，</w:t>
      </w:r>
      <w:r w:rsidR="00F53EA6" w:rsidRPr="009B261C">
        <w:rPr>
          <w:rFonts w:asciiTheme="minorEastAsia" w:eastAsiaTheme="minorEastAsia" w:hAnsiTheme="minorEastAsia" w:hint="eastAsia"/>
          <w:szCs w:val="21"/>
        </w:rPr>
        <w:t>不代表最终的会计成本，</w:t>
      </w:r>
      <w:r w:rsidRPr="009B261C">
        <w:rPr>
          <w:rFonts w:asciiTheme="minorEastAsia" w:eastAsiaTheme="minorEastAsia" w:hAnsiTheme="minorEastAsia" w:hint="eastAsia"/>
          <w:szCs w:val="21"/>
        </w:rPr>
        <w:t>最终结果应以会计师事务所出具的年度审计报告为准。</w:t>
      </w:r>
      <w:bookmarkStart w:id="0" w:name="_GoBack"/>
      <w:bookmarkEnd w:id="0"/>
    </w:p>
    <w:p w:rsidR="00600C35" w:rsidRPr="009B261C" w:rsidRDefault="00600C35" w:rsidP="00600C35">
      <w:pPr>
        <w:spacing w:beforeLines="50" w:before="156" w:line="360" w:lineRule="auto"/>
        <w:ind w:firstLineChars="200" w:firstLine="420"/>
        <w:rPr>
          <w:rFonts w:asciiTheme="minorEastAsia" w:eastAsiaTheme="minorEastAsia" w:hAnsiTheme="minorEastAsia"/>
          <w:szCs w:val="21"/>
        </w:rPr>
      </w:pPr>
      <w:r w:rsidRPr="009B261C">
        <w:rPr>
          <w:rFonts w:asciiTheme="minorEastAsia" w:eastAsiaTheme="minorEastAsia" w:hAnsiTheme="minorEastAsia" w:hint="eastAsia"/>
          <w:szCs w:val="21"/>
        </w:rPr>
        <w:t>2、上表中合计数与各</w:t>
      </w:r>
      <w:proofErr w:type="gramStart"/>
      <w:r w:rsidRPr="009B261C">
        <w:rPr>
          <w:rFonts w:asciiTheme="minorEastAsia" w:eastAsiaTheme="minorEastAsia" w:hAnsiTheme="minorEastAsia" w:hint="eastAsia"/>
          <w:szCs w:val="21"/>
        </w:rPr>
        <w:t>明细数</w:t>
      </w:r>
      <w:proofErr w:type="gramEnd"/>
      <w:r w:rsidRPr="009B261C">
        <w:rPr>
          <w:rFonts w:asciiTheme="minorEastAsia" w:eastAsiaTheme="minorEastAsia" w:hAnsiTheme="minorEastAsia" w:hint="eastAsia"/>
          <w:szCs w:val="21"/>
        </w:rPr>
        <w:t>相加之和在尾数上如有差异，系四舍五入所致。</w:t>
      </w:r>
    </w:p>
    <w:p w:rsidR="00600C35" w:rsidRPr="009B261C" w:rsidRDefault="00600C35" w:rsidP="00600C35">
      <w:pPr>
        <w:spacing w:before="240" w:line="360" w:lineRule="auto"/>
        <w:ind w:firstLineChars="200" w:firstLine="480"/>
        <w:rPr>
          <w:rFonts w:asciiTheme="minorEastAsia" w:eastAsiaTheme="minorEastAsia" w:hAnsiTheme="minorEastAsia"/>
          <w:sz w:val="24"/>
        </w:rPr>
      </w:pPr>
      <w:r w:rsidRPr="009B261C">
        <w:rPr>
          <w:sz w:val="24"/>
        </w:rPr>
        <w:t>本激励计划的成本将在成本费用中列支。公司以目前信息估计，在不考虑本激励计划对公司业绩的正向作用情况下，本激励计划成本费用的摊销对有效期内各年净利润有所影响。考虑到本激励计划对公司经营发展产生的正向作用，</w:t>
      </w:r>
      <w:r w:rsidRPr="009B261C">
        <w:rPr>
          <w:rFonts w:hint="eastAsia"/>
          <w:sz w:val="24"/>
        </w:rPr>
        <w:t>由此激发核心员工的积极性，提高经营效率，降低经营成本，本激励计划带来的公司业绩提升将高于因其带来的费用增加。</w:t>
      </w:r>
    </w:p>
    <w:p w:rsidR="00600C35" w:rsidRDefault="00600C35" w:rsidP="00600C35">
      <w:pPr>
        <w:spacing w:beforeLines="50" w:before="156" w:line="360" w:lineRule="auto"/>
        <w:ind w:firstLineChars="200" w:firstLine="480"/>
        <w:rPr>
          <w:rFonts w:asciiTheme="minorEastAsia" w:eastAsiaTheme="minorEastAsia" w:hAnsiTheme="minorEastAsia"/>
          <w:sz w:val="24"/>
        </w:rPr>
      </w:pPr>
      <w:r w:rsidRPr="009B261C">
        <w:rPr>
          <w:rFonts w:asciiTheme="minorEastAsia" w:eastAsiaTheme="minorEastAsia" w:hAnsiTheme="minorEastAsia" w:hint="eastAsia"/>
          <w:sz w:val="24"/>
        </w:rPr>
        <w:lastRenderedPageBreak/>
        <w:t>特此公告。</w:t>
      </w:r>
    </w:p>
    <w:p w:rsidR="00600C35" w:rsidRDefault="00600C35" w:rsidP="00600C35">
      <w:pPr>
        <w:spacing w:line="360" w:lineRule="auto"/>
        <w:ind w:firstLineChars="200" w:firstLine="480"/>
        <w:rPr>
          <w:rFonts w:ascii="宋体" w:hAnsi="宋体"/>
          <w:sz w:val="24"/>
        </w:rPr>
      </w:pPr>
    </w:p>
    <w:p w:rsidR="00600C35" w:rsidRDefault="00600C35" w:rsidP="00600C35">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600C35" w:rsidRDefault="00600C35" w:rsidP="00600C35">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600C35" w:rsidRDefault="00600C35" w:rsidP="00600C35">
      <w:pPr>
        <w:spacing w:line="360" w:lineRule="auto"/>
        <w:ind w:right="480" w:firstLineChars="2175" w:firstLine="5220"/>
        <w:jc w:val="center"/>
        <w:rPr>
          <w:rFonts w:ascii="宋体" w:hAnsi="宋体"/>
          <w:sz w:val="24"/>
        </w:rPr>
      </w:pPr>
      <w:r>
        <w:rPr>
          <w:rFonts w:ascii="宋体" w:hAnsi="宋体" w:hint="eastAsia"/>
          <w:sz w:val="24"/>
        </w:rPr>
        <w:t xml:space="preserve">    2022</w:t>
      </w:r>
      <w:r w:rsidRPr="008B1F15">
        <w:rPr>
          <w:rFonts w:ascii="宋体" w:hAnsi="宋体" w:hint="eastAsia"/>
          <w:sz w:val="24"/>
        </w:rPr>
        <w:t>年3月16日</w:t>
      </w:r>
    </w:p>
    <w:p w:rsidR="00600C35" w:rsidRDefault="00600C35" w:rsidP="00600C35">
      <w:pPr>
        <w:spacing w:line="360" w:lineRule="auto"/>
        <w:rPr>
          <w:sz w:val="24"/>
        </w:rPr>
      </w:pPr>
    </w:p>
    <w:p w:rsidR="00600C35" w:rsidRDefault="00600C35"/>
    <w:p w:rsidR="00600C35" w:rsidRDefault="00600C35"/>
    <w:p w:rsidR="00600C35" w:rsidRPr="00600C35" w:rsidRDefault="00600C35"/>
    <w:sectPr w:rsidR="00600C35" w:rsidRPr="00600C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0A1" w:rsidRDefault="002240A1" w:rsidP="00600C35">
      <w:r>
        <w:separator/>
      </w:r>
    </w:p>
  </w:endnote>
  <w:endnote w:type="continuationSeparator" w:id="0">
    <w:p w:rsidR="002240A1" w:rsidRDefault="002240A1" w:rsidP="0060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0A1" w:rsidRDefault="002240A1" w:rsidP="00600C35">
      <w:r>
        <w:separator/>
      </w:r>
    </w:p>
  </w:footnote>
  <w:footnote w:type="continuationSeparator" w:id="0">
    <w:p w:rsidR="002240A1" w:rsidRDefault="002240A1" w:rsidP="00600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3E5411"/>
    <w:multiLevelType w:val="singleLevel"/>
    <w:tmpl w:val="C43E5411"/>
    <w:lvl w:ilvl="0">
      <w:start w:val="2"/>
      <w:numFmt w:val="chineseCounting"/>
      <w:suff w:val="nothing"/>
      <w:lvlText w:val="%1、"/>
      <w:lvlJc w:val="left"/>
      <w:rPr>
        <w:rFonts w:hint="eastAsia"/>
      </w:rPr>
    </w:lvl>
  </w:abstractNum>
  <w:abstractNum w:abstractNumId="1">
    <w:nsid w:val="FD3F23B5"/>
    <w:multiLevelType w:val="singleLevel"/>
    <w:tmpl w:val="FD3F23B5"/>
    <w:lvl w:ilvl="0">
      <w:start w:val="3"/>
      <w:numFmt w:val="decimal"/>
      <w:suff w:val="nothing"/>
      <w:lvlText w:val="（%1）"/>
      <w:lvlJc w:val="left"/>
    </w:lvl>
  </w:abstractNum>
  <w:abstractNum w:abstractNumId="2">
    <w:nsid w:val="74CA3624"/>
    <w:multiLevelType w:val="multilevel"/>
    <w:tmpl w:val="74CA362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05"/>
    <w:rsid w:val="00003634"/>
    <w:rsid w:val="000052DC"/>
    <w:rsid w:val="0001153F"/>
    <w:rsid w:val="00014AE5"/>
    <w:rsid w:val="00015559"/>
    <w:rsid w:val="0003171D"/>
    <w:rsid w:val="00034EAF"/>
    <w:rsid w:val="000377FA"/>
    <w:rsid w:val="00037B42"/>
    <w:rsid w:val="000514F9"/>
    <w:rsid w:val="00054AB4"/>
    <w:rsid w:val="00055DC4"/>
    <w:rsid w:val="00060AD4"/>
    <w:rsid w:val="0007113B"/>
    <w:rsid w:val="00077985"/>
    <w:rsid w:val="00084BC3"/>
    <w:rsid w:val="000C1EBF"/>
    <w:rsid w:val="000D5160"/>
    <w:rsid w:val="000D59A8"/>
    <w:rsid w:val="000E1C17"/>
    <w:rsid w:val="000E2525"/>
    <w:rsid w:val="000E5928"/>
    <w:rsid w:val="000E7F53"/>
    <w:rsid w:val="000F4B47"/>
    <w:rsid w:val="00101299"/>
    <w:rsid w:val="001044FC"/>
    <w:rsid w:val="00115DE0"/>
    <w:rsid w:val="00125BE8"/>
    <w:rsid w:val="00125EB5"/>
    <w:rsid w:val="001302DF"/>
    <w:rsid w:val="00133DA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02C0"/>
    <w:rsid w:val="001F698F"/>
    <w:rsid w:val="00201E57"/>
    <w:rsid w:val="00204DB0"/>
    <w:rsid w:val="002101B8"/>
    <w:rsid w:val="002127B8"/>
    <w:rsid w:val="002240A1"/>
    <w:rsid w:val="00227A64"/>
    <w:rsid w:val="002339D0"/>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D65CF"/>
    <w:rsid w:val="002F64AF"/>
    <w:rsid w:val="002F74DC"/>
    <w:rsid w:val="0030503B"/>
    <w:rsid w:val="00324EB8"/>
    <w:rsid w:val="003307ED"/>
    <w:rsid w:val="003334F6"/>
    <w:rsid w:val="003402E8"/>
    <w:rsid w:val="00342CB6"/>
    <w:rsid w:val="00353BA1"/>
    <w:rsid w:val="00360937"/>
    <w:rsid w:val="00363847"/>
    <w:rsid w:val="0036422B"/>
    <w:rsid w:val="003657D5"/>
    <w:rsid w:val="00367CCA"/>
    <w:rsid w:val="003726BC"/>
    <w:rsid w:val="0037324C"/>
    <w:rsid w:val="00373349"/>
    <w:rsid w:val="0038210C"/>
    <w:rsid w:val="003870CC"/>
    <w:rsid w:val="003A1590"/>
    <w:rsid w:val="003B1D84"/>
    <w:rsid w:val="003B5345"/>
    <w:rsid w:val="003C607D"/>
    <w:rsid w:val="003D0C3B"/>
    <w:rsid w:val="003D3FFF"/>
    <w:rsid w:val="003D798A"/>
    <w:rsid w:val="003E1D67"/>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7FDE"/>
    <w:rsid w:val="00517BE0"/>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B4F18"/>
    <w:rsid w:val="005C3668"/>
    <w:rsid w:val="005D417A"/>
    <w:rsid w:val="005D4ACB"/>
    <w:rsid w:val="005D5EDA"/>
    <w:rsid w:val="005E4AFF"/>
    <w:rsid w:val="005F0AEF"/>
    <w:rsid w:val="00600C35"/>
    <w:rsid w:val="00606509"/>
    <w:rsid w:val="00615D49"/>
    <w:rsid w:val="0062719F"/>
    <w:rsid w:val="006412D7"/>
    <w:rsid w:val="006446F0"/>
    <w:rsid w:val="00645C77"/>
    <w:rsid w:val="00647683"/>
    <w:rsid w:val="00662769"/>
    <w:rsid w:val="00663516"/>
    <w:rsid w:val="0067327D"/>
    <w:rsid w:val="0067661A"/>
    <w:rsid w:val="00682D83"/>
    <w:rsid w:val="00683AED"/>
    <w:rsid w:val="00690371"/>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A72B1"/>
    <w:rsid w:val="008B1F15"/>
    <w:rsid w:val="008B3703"/>
    <w:rsid w:val="008B3DD4"/>
    <w:rsid w:val="008B43ED"/>
    <w:rsid w:val="008B4735"/>
    <w:rsid w:val="008B5B30"/>
    <w:rsid w:val="008B6235"/>
    <w:rsid w:val="008C0E07"/>
    <w:rsid w:val="008D00C7"/>
    <w:rsid w:val="008E57CC"/>
    <w:rsid w:val="008F5155"/>
    <w:rsid w:val="008F6AB5"/>
    <w:rsid w:val="00933FA5"/>
    <w:rsid w:val="00934104"/>
    <w:rsid w:val="009440E4"/>
    <w:rsid w:val="0094672C"/>
    <w:rsid w:val="00955A3F"/>
    <w:rsid w:val="00960430"/>
    <w:rsid w:val="00967AA4"/>
    <w:rsid w:val="00972218"/>
    <w:rsid w:val="009841CB"/>
    <w:rsid w:val="00995DC5"/>
    <w:rsid w:val="009B261C"/>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60F5"/>
    <w:rsid w:val="00B87AB6"/>
    <w:rsid w:val="00B929E0"/>
    <w:rsid w:val="00BA1EF6"/>
    <w:rsid w:val="00BA46C7"/>
    <w:rsid w:val="00BB5C59"/>
    <w:rsid w:val="00BB5E17"/>
    <w:rsid w:val="00BB5F62"/>
    <w:rsid w:val="00BC7D27"/>
    <w:rsid w:val="00BE0A0A"/>
    <w:rsid w:val="00BE7989"/>
    <w:rsid w:val="00BF5380"/>
    <w:rsid w:val="00BF68F7"/>
    <w:rsid w:val="00C01D90"/>
    <w:rsid w:val="00C07621"/>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41A5"/>
    <w:rsid w:val="00D21B8D"/>
    <w:rsid w:val="00D24824"/>
    <w:rsid w:val="00D26D15"/>
    <w:rsid w:val="00D3010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62058"/>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53EA6"/>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C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0C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0C35"/>
    <w:rPr>
      <w:sz w:val="18"/>
      <w:szCs w:val="18"/>
    </w:rPr>
  </w:style>
  <w:style w:type="paragraph" w:styleId="a4">
    <w:name w:val="footer"/>
    <w:basedOn w:val="a"/>
    <w:link w:val="Char0"/>
    <w:uiPriority w:val="99"/>
    <w:unhideWhenUsed/>
    <w:rsid w:val="00600C35"/>
    <w:pPr>
      <w:tabs>
        <w:tab w:val="center" w:pos="4153"/>
        <w:tab w:val="right" w:pos="8306"/>
      </w:tabs>
      <w:snapToGrid w:val="0"/>
      <w:jc w:val="left"/>
    </w:pPr>
    <w:rPr>
      <w:sz w:val="18"/>
      <w:szCs w:val="18"/>
    </w:rPr>
  </w:style>
  <w:style w:type="character" w:customStyle="1" w:styleId="Char0">
    <w:name w:val="页脚 Char"/>
    <w:basedOn w:val="a0"/>
    <w:link w:val="a4"/>
    <w:uiPriority w:val="99"/>
    <w:rsid w:val="00600C35"/>
    <w:rPr>
      <w:sz w:val="18"/>
      <w:szCs w:val="18"/>
    </w:rPr>
  </w:style>
  <w:style w:type="paragraph" w:customStyle="1" w:styleId="Default">
    <w:name w:val="Default"/>
    <w:qFormat/>
    <w:rsid w:val="00600C3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600C3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C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0C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00C35"/>
    <w:rPr>
      <w:sz w:val="18"/>
      <w:szCs w:val="18"/>
    </w:rPr>
  </w:style>
  <w:style w:type="paragraph" w:styleId="a4">
    <w:name w:val="footer"/>
    <w:basedOn w:val="a"/>
    <w:link w:val="Char0"/>
    <w:uiPriority w:val="99"/>
    <w:unhideWhenUsed/>
    <w:rsid w:val="00600C35"/>
    <w:pPr>
      <w:tabs>
        <w:tab w:val="center" w:pos="4153"/>
        <w:tab w:val="right" w:pos="8306"/>
      </w:tabs>
      <w:snapToGrid w:val="0"/>
      <w:jc w:val="left"/>
    </w:pPr>
    <w:rPr>
      <w:sz w:val="18"/>
      <w:szCs w:val="18"/>
    </w:rPr>
  </w:style>
  <w:style w:type="character" w:customStyle="1" w:styleId="Char0">
    <w:name w:val="页脚 Char"/>
    <w:basedOn w:val="a0"/>
    <w:link w:val="a4"/>
    <w:uiPriority w:val="99"/>
    <w:rsid w:val="00600C35"/>
    <w:rPr>
      <w:sz w:val="18"/>
      <w:szCs w:val="18"/>
    </w:rPr>
  </w:style>
  <w:style w:type="paragraph" w:customStyle="1" w:styleId="Default">
    <w:name w:val="Default"/>
    <w:qFormat/>
    <w:rsid w:val="00600C35"/>
    <w:pPr>
      <w:widowControl w:val="0"/>
      <w:autoSpaceDE w:val="0"/>
      <w:autoSpaceDN w:val="0"/>
      <w:adjustRightInd w:val="0"/>
    </w:pPr>
    <w:rPr>
      <w:rFonts w:ascii="宋体" w:eastAsia="宋体" w:hAnsi="Times New Roman" w:cs="宋体"/>
      <w:color w:val="000000"/>
      <w:kern w:val="0"/>
      <w:sz w:val="24"/>
      <w:szCs w:val="24"/>
    </w:rPr>
  </w:style>
  <w:style w:type="table" w:styleId="a5">
    <w:name w:val="Table Grid"/>
    <w:basedOn w:val="a1"/>
    <w:uiPriority w:val="59"/>
    <w:rsid w:val="00600C3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6</cp:revision>
  <dcterms:created xsi:type="dcterms:W3CDTF">2022-03-15T02:09:00Z</dcterms:created>
  <dcterms:modified xsi:type="dcterms:W3CDTF">2022-03-15T08:02:00Z</dcterms:modified>
</cp:coreProperties>
</file>