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C2" w:rsidRDefault="00867EC2" w:rsidP="00867EC2">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w:t>
      </w:r>
      <w:r w:rsidRPr="00CF40EA">
        <w:rPr>
          <w:rFonts w:ascii="宋体" w:hAnsi="宋体" w:cs="宋体" w:hint="eastAsia"/>
          <w:color w:val="000000"/>
          <w:kern w:val="0"/>
          <w:sz w:val="24"/>
        </w:rPr>
        <w:t>20</w:t>
      </w:r>
      <w:r w:rsidR="007507C1" w:rsidRPr="00CF40EA">
        <w:rPr>
          <w:rFonts w:ascii="宋体" w:hAnsi="宋体" w:cs="宋体" w:hint="eastAsia"/>
          <w:color w:val="000000"/>
          <w:kern w:val="0"/>
          <w:sz w:val="24"/>
        </w:rPr>
        <w:t>20</w:t>
      </w:r>
      <w:r w:rsidRPr="00CF40EA">
        <w:rPr>
          <w:rFonts w:ascii="宋体" w:hAnsi="宋体" w:cs="宋体" w:hint="eastAsia"/>
          <w:color w:val="000000"/>
          <w:kern w:val="0"/>
          <w:sz w:val="24"/>
        </w:rPr>
        <w:t>-</w:t>
      </w:r>
      <w:r w:rsidR="00E05DAC" w:rsidRPr="00CF40EA">
        <w:rPr>
          <w:rFonts w:ascii="宋体" w:hAnsi="宋体" w:cs="宋体" w:hint="eastAsia"/>
          <w:color w:val="000000"/>
          <w:kern w:val="0"/>
          <w:sz w:val="24"/>
        </w:rPr>
        <w:t>0</w:t>
      </w:r>
      <w:r w:rsidR="00B825D8" w:rsidRPr="00CF40EA">
        <w:rPr>
          <w:rFonts w:ascii="宋体" w:hAnsi="宋体" w:cs="宋体" w:hint="eastAsia"/>
          <w:color w:val="000000"/>
          <w:kern w:val="0"/>
          <w:sz w:val="24"/>
        </w:rPr>
        <w:t>16</w:t>
      </w:r>
    </w:p>
    <w:p w:rsidR="00867EC2" w:rsidRDefault="00867EC2" w:rsidP="00867EC2">
      <w:pPr>
        <w:spacing w:line="360" w:lineRule="auto"/>
        <w:ind w:rightChars="-73" w:right="-153"/>
        <w:jc w:val="center"/>
        <w:rPr>
          <w:rFonts w:ascii="黑体" w:eastAsia="黑体" w:hAnsi="宋体"/>
          <w:b/>
          <w:bCs/>
          <w:color w:val="FF0000"/>
          <w:sz w:val="32"/>
        </w:rPr>
      </w:pPr>
    </w:p>
    <w:p w:rsidR="00867EC2" w:rsidRDefault="00867EC2" w:rsidP="00867EC2">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67EC2" w:rsidRPr="00A527F1" w:rsidRDefault="00B825D8" w:rsidP="00867EC2">
      <w:pPr>
        <w:spacing w:line="360" w:lineRule="auto"/>
        <w:ind w:rightChars="-73" w:right="-153"/>
        <w:jc w:val="center"/>
        <w:rPr>
          <w:rFonts w:ascii="黑体" w:eastAsia="黑体" w:hAnsi="宋体"/>
          <w:b/>
          <w:bCs/>
          <w:color w:val="FF0000"/>
          <w:sz w:val="32"/>
        </w:rPr>
      </w:pPr>
      <w:r w:rsidRPr="00B825D8">
        <w:rPr>
          <w:rFonts w:ascii="黑体" w:eastAsia="黑体" w:hAnsi="宋体" w:hint="eastAsia"/>
          <w:b/>
          <w:bCs/>
          <w:color w:val="FF0000"/>
          <w:sz w:val="32"/>
        </w:rPr>
        <w:t>关于续聘会计师事务所的公告</w:t>
      </w:r>
    </w:p>
    <w:p w:rsidR="00867EC2" w:rsidRDefault="00867EC2" w:rsidP="00867EC2">
      <w:pPr>
        <w:autoSpaceDE w:val="0"/>
        <w:autoSpaceDN w:val="0"/>
        <w:adjustRightInd w:val="0"/>
        <w:spacing w:line="360" w:lineRule="auto"/>
        <w:ind w:firstLineChars="200" w:firstLine="482"/>
        <w:rPr>
          <w:rFonts w:ascii="ˎ̥" w:hAnsi="ˎ̥" w:hint="eastAsia"/>
          <w:b/>
          <w:sz w:val="24"/>
        </w:rPr>
      </w:pPr>
    </w:p>
    <w:p w:rsidR="00867EC2" w:rsidRDefault="00867EC2" w:rsidP="00867EC2">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67EC2" w:rsidRPr="005F5BA1" w:rsidRDefault="00867EC2" w:rsidP="00867EC2">
      <w:pPr>
        <w:pStyle w:val="Default"/>
        <w:spacing w:line="360" w:lineRule="auto"/>
      </w:pPr>
    </w:p>
    <w:p w:rsidR="00990D42" w:rsidRPr="00990D42" w:rsidRDefault="00990D42" w:rsidP="00990D42">
      <w:pPr>
        <w:adjustRightInd w:val="0"/>
        <w:snapToGrid w:val="0"/>
        <w:spacing w:line="360" w:lineRule="auto"/>
        <w:ind w:firstLineChars="200" w:firstLine="480"/>
        <w:rPr>
          <w:rFonts w:asciiTheme="minorEastAsia" w:eastAsiaTheme="minorEastAsia" w:hAnsiTheme="minorEastAsia"/>
          <w:sz w:val="24"/>
        </w:rPr>
      </w:pPr>
      <w:r w:rsidRPr="00990D42">
        <w:rPr>
          <w:rFonts w:asciiTheme="minorEastAsia" w:eastAsiaTheme="minorEastAsia" w:hAnsiTheme="minorEastAsia" w:hint="eastAsia"/>
          <w:sz w:val="24"/>
        </w:rPr>
        <w:t>重要内容提示：</w:t>
      </w:r>
    </w:p>
    <w:p w:rsidR="00990D42" w:rsidRPr="00990D42" w:rsidRDefault="00990D42" w:rsidP="00990D42">
      <w:pPr>
        <w:numPr>
          <w:ilvl w:val="0"/>
          <w:numId w:val="1"/>
        </w:numPr>
        <w:adjustRightInd w:val="0"/>
        <w:snapToGrid w:val="0"/>
        <w:spacing w:line="360" w:lineRule="auto"/>
        <w:ind w:left="0" w:firstLineChars="200" w:firstLine="480"/>
        <w:rPr>
          <w:rFonts w:asciiTheme="minorEastAsia" w:eastAsiaTheme="minorEastAsia" w:hAnsiTheme="minorEastAsia"/>
          <w:sz w:val="24"/>
        </w:rPr>
      </w:pPr>
      <w:r w:rsidRPr="00990D42">
        <w:rPr>
          <w:rFonts w:asciiTheme="minorEastAsia" w:eastAsiaTheme="minorEastAsia" w:hAnsiTheme="minorEastAsia" w:hint="eastAsia"/>
          <w:sz w:val="24"/>
        </w:rPr>
        <w:t>拟</w:t>
      </w:r>
      <w:r w:rsidR="00463A87">
        <w:rPr>
          <w:rFonts w:asciiTheme="minorEastAsia" w:eastAsiaTheme="minorEastAsia" w:hAnsiTheme="minorEastAsia" w:hint="eastAsia"/>
          <w:sz w:val="24"/>
        </w:rPr>
        <w:t>续</w:t>
      </w:r>
      <w:r w:rsidRPr="00990D42">
        <w:rPr>
          <w:rFonts w:asciiTheme="minorEastAsia" w:eastAsiaTheme="minorEastAsia" w:hAnsiTheme="minorEastAsia" w:hint="eastAsia"/>
          <w:sz w:val="24"/>
        </w:rPr>
        <w:t>聘的会计师事务所名称</w:t>
      </w:r>
      <w:r>
        <w:rPr>
          <w:rFonts w:asciiTheme="minorEastAsia" w:eastAsiaTheme="minorEastAsia" w:hAnsiTheme="minorEastAsia" w:hint="eastAsia"/>
          <w:sz w:val="24"/>
        </w:rPr>
        <w:t>：</w:t>
      </w:r>
      <w:r w:rsidRPr="00990D42">
        <w:rPr>
          <w:rFonts w:ascii="宋体" w:hAnsi="宋体" w:hint="eastAsia"/>
          <w:sz w:val="24"/>
        </w:rPr>
        <w:t>中汇会计师事务所（特殊普通合伙）</w:t>
      </w:r>
    </w:p>
    <w:p w:rsidR="00990D42" w:rsidRDefault="00990D42" w:rsidP="007507C1">
      <w:pPr>
        <w:spacing w:line="360" w:lineRule="auto"/>
        <w:ind w:firstLine="540"/>
        <w:rPr>
          <w:rFonts w:ascii="宋体" w:hAnsi="宋体"/>
          <w:sz w:val="24"/>
        </w:rPr>
      </w:pPr>
    </w:p>
    <w:p w:rsidR="008E182A" w:rsidRDefault="008E182A" w:rsidP="007507C1">
      <w:pPr>
        <w:spacing w:line="360" w:lineRule="auto"/>
        <w:ind w:firstLine="540"/>
        <w:rPr>
          <w:rFonts w:ascii="宋体" w:hAnsi="宋体"/>
          <w:sz w:val="24"/>
        </w:rPr>
      </w:pPr>
      <w:r>
        <w:rPr>
          <w:rFonts w:ascii="宋体" w:hAnsi="宋体" w:hint="eastAsia"/>
          <w:sz w:val="24"/>
        </w:rPr>
        <w:t>江苏吴中实业股份有限公司（以下简称“公司”、“本公司”或“江苏吴中”）于2020年3月12日</w:t>
      </w:r>
      <w:r w:rsidRPr="008E182A">
        <w:rPr>
          <w:rFonts w:ascii="宋体" w:hAnsi="宋体" w:hint="eastAsia"/>
          <w:sz w:val="24"/>
        </w:rPr>
        <w:t>召开第九届董事会第八次会议，审议通过了《江苏吴中实业股份有限公司董事会审计委员会关于2019年度审计工作的评价和2020年度续聘会计师事务所的议案》，同意续聘中汇会计师事务所（特殊普通合伙）</w:t>
      </w:r>
      <w:r>
        <w:rPr>
          <w:rFonts w:ascii="宋体" w:hAnsi="宋体" w:hint="eastAsia"/>
          <w:sz w:val="24"/>
        </w:rPr>
        <w:t>（以下简称“中汇”）</w:t>
      </w:r>
      <w:r w:rsidRPr="008E182A">
        <w:rPr>
          <w:rFonts w:ascii="宋体" w:hAnsi="宋体" w:hint="eastAsia"/>
          <w:sz w:val="24"/>
        </w:rPr>
        <w:t>作为本公司2020年度财务报告及内部控制审计机构，聘期一年。</w:t>
      </w:r>
      <w:r w:rsidR="00B93CE6">
        <w:rPr>
          <w:rFonts w:ascii="宋体" w:hAnsi="宋体" w:hint="eastAsia"/>
          <w:sz w:val="24"/>
        </w:rPr>
        <w:t>具体情况公告如下：</w:t>
      </w:r>
    </w:p>
    <w:p w:rsidR="008E182A" w:rsidRDefault="008E182A" w:rsidP="007507C1">
      <w:pPr>
        <w:spacing w:line="360" w:lineRule="auto"/>
        <w:ind w:firstLine="540"/>
        <w:rPr>
          <w:rFonts w:ascii="宋体" w:hAnsi="宋体"/>
          <w:sz w:val="24"/>
        </w:rPr>
      </w:pPr>
    </w:p>
    <w:p w:rsidR="00990D42" w:rsidRPr="00E73DAA" w:rsidRDefault="00E73DAA" w:rsidP="007507C1">
      <w:pPr>
        <w:spacing w:line="360" w:lineRule="auto"/>
        <w:ind w:firstLine="540"/>
        <w:rPr>
          <w:rFonts w:ascii="宋体" w:hAnsi="宋体"/>
          <w:b/>
          <w:sz w:val="24"/>
        </w:rPr>
      </w:pPr>
      <w:r w:rsidRPr="00E73DAA">
        <w:rPr>
          <w:rFonts w:ascii="宋体" w:hAnsi="宋体" w:hint="eastAsia"/>
          <w:b/>
          <w:sz w:val="24"/>
        </w:rPr>
        <w:t>一、拟聘任会计师事务所的基本情况</w:t>
      </w:r>
    </w:p>
    <w:p w:rsidR="00E73DAA" w:rsidRPr="00E73DAA" w:rsidRDefault="00E73DAA" w:rsidP="00E73DAA">
      <w:pPr>
        <w:spacing w:line="360" w:lineRule="auto"/>
        <w:ind w:firstLine="540"/>
        <w:rPr>
          <w:rFonts w:ascii="宋体" w:hAnsi="宋体"/>
          <w:sz w:val="24"/>
        </w:rPr>
      </w:pPr>
      <w:r w:rsidRPr="00E73DAA">
        <w:rPr>
          <w:rFonts w:ascii="宋体" w:hAnsi="宋体" w:hint="eastAsia"/>
          <w:sz w:val="24"/>
        </w:rPr>
        <w:t>（一）机构信息</w:t>
      </w:r>
    </w:p>
    <w:p w:rsidR="00E73DAA" w:rsidRDefault="00E73DAA" w:rsidP="00E73DAA">
      <w:pPr>
        <w:spacing w:line="360" w:lineRule="auto"/>
        <w:ind w:firstLine="540"/>
        <w:rPr>
          <w:rFonts w:ascii="宋体" w:hAnsi="宋体"/>
          <w:sz w:val="24"/>
        </w:rPr>
      </w:pPr>
      <w:r w:rsidRPr="00E73DAA">
        <w:rPr>
          <w:rFonts w:ascii="宋体" w:hAnsi="宋体" w:hint="eastAsia"/>
          <w:sz w:val="24"/>
        </w:rPr>
        <w:t>1</w:t>
      </w:r>
      <w:r w:rsidR="004A01A5">
        <w:rPr>
          <w:rFonts w:ascii="宋体" w:hAnsi="宋体" w:hint="eastAsia"/>
          <w:sz w:val="24"/>
        </w:rPr>
        <w:t>、</w:t>
      </w:r>
      <w:r w:rsidRPr="00E73DAA">
        <w:rPr>
          <w:rFonts w:ascii="宋体" w:hAnsi="宋体" w:hint="eastAsia"/>
          <w:sz w:val="24"/>
        </w:rPr>
        <w:t>基本信息</w:t>
      </w:r>
    </w:p>
    <w:p w:rsidR="004A01A5" w:rsidRPr="004A01A5" w:rsidRDefault="004A01A5" w:rsidP="004A01A5">
      <w:pPr>
        <w:spacing w:line="360" w:lineRule="auto"/>
        <w:ind w:firstLine="540"/>
        <w:rPr>
          <w:rFonts w:ascii="宋体" w:hAnsi="宋体"/>
          <w:sz w:val="24"/>
        </w:rPr>
      </w:pPr>
      <w:r w:rsidRPr="004A01A5">
        <w:rPr>
          <w:rFonts w:ascii="宋体" w:hAnsi="宋体" w:hint="eastAsia"/>
          <w:sz w:val="24"/>
        </w:rPr>
        <w:t>企业名称：中汇会计师事务所（特殊普通合伙）</w:t>
      </w:r>
    </w:p>
    <w:p w:rsidR="004A01A5" w:rsidRPr="004A01A5" w:rsidRDefault="004A01A5" w:rsidP="004A01A5">
      <w:pPr>
        <w:spacing w:line="360" w:lineRule="auto"/>
        <w:ind w:firstLine="540"/>
        <w:rPr>
          <w:rFonts w:ascii="宋体" w:hAnsi="宋体"/>
          <w:sz w:val="24"/>
        </w:rPr>
      </w:pPr>
      <w:r w:rsidRPr="004A01A5">
        <w:rPr>
          <w:rFonts w:ascii="宋体" w:hAnsi="宋体" w:hint="eastAsia"/>
          <w:sz w:val="24"/>
        </w:rPr>
        <w:t>成立日期：2013年12月19日</w:t>
      </w:r>
    </w:p>
    <w:p w:rsidR="004A01A5" w:rsidRPr="004A01A5" w:rsidRDefault="004A01A5" w:rsidP="004A01A5">
      <w:pPr>
        <w:spacing w:line="360" w:lineRule="auto"/>
        <w:ind w:firstLine="540"/>
        <w:rPr>
          <w:rFonts w:ascii="宋体" w:hAnsi="宋体"/>
          <w:sz w:val="24"/>
        </w:rPr>
      </w:pPr>
      <w:r w:rsidRPr="004A01A5">
        <w:rPr>
          <w:rFonts w:ascii="宋体" w:hAnsi="宋体" w:hint="eastAsia"/>
          <w:sz w:val="24"/>
        </w:rPr>
        <w:t>注册地址：杭州市江干区</w:t>
      </w:r>
      <w:proofErr w:type="gramStart"/>
      <w:r w:rsidRPr="004A01A5">
        <w:rPr>
          <w:rFonts w:ascii="宋体" w:hAnsi="宋体" w:hint="eastAsia"/>
          <w:sz w:val="24"/>
        </w:rPr>
        <w:t>新业路8号</w:t>
      </w:r>
      <w:proofErr w:type="gramEnd"/>
      <w:r w:rsidRPr="004A01A5">
        <w:rPr>
          <w:rFonts w:ascii="宋体" w:hAnsi="宋体" w:hint="eastAsia"/>
          <w:sz w:val="24"/>
        </w:rPr>
        <w:t>华</w:t>
      </w:r>
      <w:proofErr w:type="gramStart"/>
      <w:r w:rsidRPr="004A01A5">
        <w:rPr>
          <w:rFonts w:ascii="宋体" w:hAnsi="宋体" w:hint="eastAsia"/>
          <w:sz w:val="24"/>
        </w:rPr>
        <w:t>联时代</w:t>
      </w:r>
      <w:proofErr w:type="gramEnd"/>
      <w:r w:rsidRPr="004A01A5">
        <w:rPr>
          <w:rFonts w:ascii="宋体" w:hAnsi="宋体" w:hint="eastAsia"/>
          <w:sz w:val="24"/>
        </w:rPr>
        <w:t>大厦A幢601室</w:t>
      </w:r>
    </w:p>
    <w:p w:rsidR="004A01A5" w:rsidRPr="004A01A5" w:rsidRDefault="004A01A5" w:rsidP="004A01A5">
      <w:pPr>
        <w:spacing w:line="360" w:lineRule="auto"/>
        <w:ind w:firstLine="540"/>
        <w:rPr>
          <w:rFonts w:ascii="宋体" w:hAnsi="宋体"/>
          <w:sz w:val="24"/>
        </w:rPr>
      </w:pPr>
      <w:r w:rsidRPr="004A01A5">
        <w:rPr>
          <w:rFonts w:ascii="宋体" w:hAnsi="宋体" w:hint="eastAsia"/>
          <w:sz w:val="24"/>
        </w:rPr>
        <w:t>执业资质：会计师事务所执业证书；证券、期货相关业务许</w:t>
      </w:r>
      <w:r w:rsidRPr="006D33D8">
        <w:rPr>
          <w:rFonts w:ascii="宋体" w:hAnsi="宋体" w:hint="eastAsia"/>
          <w:sz w:val="24"/>
        </w:rPr>
        <w:t>可</w:t>
      </w:r>
      <w:r w:rsidR="00813FAD" w:rsidRPr="006D33D8">
        <w:rPr>
          <w:rFonts w:ascii="宋体" w:hAnsi="宋体" w:hint="eastAsia"/>
          <w:sz w:val="24"/>
        </w:rPr>
        <w:t>证</w:t>
      </w:r>
    </w:p>
    <w:p w:rsidR="004A01A5" w:rsidRDefault="004A01A5" w:rsidP="004A01A5">
      <w:pPr>
        <w:spacing w:line="360" w:lineRule="auto"/>
        <w:ind w:firstLine="540"/>
        <w:rPr>
          <w:rFonts w:ascii="宋体" w:hAnsi="宋体"/>
          <w:sz w:val="24"/>
        </w:rPr>
      </w:pPr>
      <w:r w:rsidRPr="004A01A5">
        <w:rPr>
          <w:rFonts w:ascii="宋体" w:hAnsi="宋体" w:hint="eastAsia"/>
          <w:sz w:val="24"/>
        </w:rPr>
        <w:t>是否曾从事过证券服务业务：是</w:t>
      </w:r>
    </w:p>
    <w:p w:rsidR="00C9411D" w:rsidRPr="003E611D" w:rsidRDefault="00C9411D" w:rsidP="00C9411D">
      <w:pPr>
        <w:spacing w:line="360" w:lineRule="auto"/>
        <w:ind w:firstLine="540"/>
        <w:rPr>
          <w:rFonts w:ascii="宋体" w:hAnsi="宋体"/>
          <w:sz w:val="24"/>
        </w:rPr>
      </w:pPr>
      <w:r w:rsidRPr="003E611D">
        <w:rPr>
          <w:rFonts w:ascii="宋体" w:hAnsi="宋体" w:hint="eastAsia"/>
          <w:sz w:val="24"/>
        </w:rPr>
        <w:t>是否加入相关国际网络：是，克瑞斯顿国际（</w:t>
      </w:r>
      <w:proofErr w:type="spellStart"/>
      <w:r w:rsidRPr="003E611D">
        <w:rPr>
          <w:rFonts w:ascii="宋体" w:hAnsi="宋体" w:hint="eastAsia"/>
          <w:sz w:val="24"/>
        </w:rPr>
        <w:t>Kreston</w:t>
      </w:r>
      <w:proofErr w:type="spellEnd"/>
      <w:r w:rsidRPr="003E611D">
        <w:rPr>
          <w:rFonts w:ascii="宋体" w:hAnsi="宋体" w:hint="eastAsia"/>
          <w:sz w:val="24"/>
        </w:rPr>
        <w:t xml:space="preserve"> International）</w:t>
      </w:r>
    </w:p>
    <w:p w:rsidR="00C9411D" w:rsidRPr="00C9411D" w:rsidRDefault="00C9411D" w:rsidP="00C9411D">
      <w:pPr>
        <w:spacing w:line="360" w:lineRule="auto"/>
        <w:ind w:firstLine="540"/>
        <w:rPr>
          <w:rFonts w:ascii="宋体" w:hAnsi="宋体"/>
          <w:sz w:val="24"/>
        </w:rPr>
      </w:pPr>
      <w:r w:rsidRPr="003E611D">
        <w:rPr>
          <w:rFonts w:ascii="宋体" w:hAnsi="宋体" w:hint="eastAsia"/>
          <w:sz w:val="24"/>
        </w:rPr>
        <w:t>历史沿革：中汇会计师事务所（特殊普通合伙）（以下简称“中汇”），创立</w:t>
      </w:r>
      <w:r w:rsidRPr="003E611D">
        <w:rPr>
          <w:rFonts w:ascii="宋体" w:hAnsi="宋体" w:hint="eastAsia"/>
          <w:sz w:val="24"/>
        </w:rPr>
        <w:lastRenderedPageBreak/>
        <w:t>于1992年，2013年12月转制为特殊普通合伙，管理总部设立于杭州。经过近30年的发展，先后在北京、上海、深圳、成都、南京、苏州、无锡、宁波、济南、广州、长春等经济较为发达的省市设立了分支机构，同时也在中国香港与美国洛杉矶设立国际服务网络，</w:t>
      </w:r>
      <w:proofErr w:type="gramStart"/>
      <w:r w:rsidRPr="003E611D">
        <w:rPr>
          <w:rFonts w:ascii="宋体" w:hAnsi="宋体" w:hint="eastAsia"/>
          <w:sz w:val="24"/>
        </w:rPr>
        <w:t>中汇对各</w:t>
      </w:r>
      <w:proofErr w:type="gramEnd"/>
      <w:r w:rsidRPr="003E611D">
        <w:rPr>
          <w:rFonts w:ascii="宋体" w:hAnsi="宋体" w:hint="eastAsia"/>
          <w:sz w:val="24"/>
        </w:rPr>
        <w:t>分支机构在人力资源管理、合伙人考核晋升及分配机制、业务项目管理、执业技术标准和质量控制、会计核算与财务管理、信息化管理与作业系统等各方面实行高度一体化管理模式。中</w:t>
      </w:r>
      <w:proofErr w:type="gramStart"/>
      <w:r w:rsidRPr="003E611D">
        <w:rPr>
          <w:rFonts w:ascii="宋体" w:hAnsi="宋体" w:hint="eastAsia"/>
          <w:sz w:val="24"/>
        </w:rPr>
        <w:t>汇拥有</w:t>
      </w:r>
      <w:proofErr w:type="gramEnd"/>
      <w:r w:rsidRPr="003E611D">
        <w:rPr>
          <w:rFonts w:ascii="宋体" w:hAnsi="宋体" w:hint="eastAsia"/>
          <w:sz w:val="24"/>
        </w:rPr>
        <w:t>从事证券、期货业务，</w:t>
      </w:r>
      <w:proofErr w:type="gramStart"/>
      <w:r w:rsidRPr="003E611D">
        <w:rPr>
          <w:rFonts w:ascii="宋体" w:hAnsi="宋体" w:hint="eastAsia"/>
          <w:sz w:val="24"/>
        </w:rPr>
        <w:t>央企年报</w:t>
      </w:r>
      <w:proofErr w:type="gramEnd"/>
      <w:r w:rsidRPr="003E611D">
        <w:rPr>
          <w:rFonts w:ascii="宋体" w:hAnsi="宋体" w:hint="eastAsia"/>
          <w:sz w:val="24"/>
        </w:rPr>
        <w:t>审计业务，金融相关审计业务，会计司法鉴定业务等多种重要的执业资格与服务能力，能为国内外各行业客户提供财务审计及咨询、内控审计及咨询、IT审计及咨询、国际业务等全方面的专业服务，尤其在IPO及上市公司审计、国有大型企业年报审计、金融机构年报审计，以及内部控制审计等专业服务领域具有较强的实力，能够较好满足公司建立健全内部控制及财务审计工作的需求。中汇在2003年加入全球排名前十三的国际会计网络，在全球拥有125个国家网络服务资源，能够更好服务中国企业走向国际。</w:t>
      </w:r>
    </w:p>
    <w:p w:rsidR="00E73DAA" w:rsidRDefault="00E73DAA" w:rsidP="004A01A5">
      <w:pPr>
        <w:spacing w:line="360" w:lineRule="auto"/>
        <w:ind w:firstLine="540"/>
        <w:rPr>
          <w:rFonts w:ascii="宋体" w:hAnsi="宋体"/>
          <w:sz w:val="24"/>
        </w:rPr>
      </w:pPr>
      <w:r w:rsidRPr="00E73DAA">
        <w:rPr>
          <w:rFonts w:ascii="宋体" w:hAnsi="宋体" w:hint="eastAsia"/>
          <w:sz w:val="24"/>
        </w:rPr>
        <w:t>2</w:t>
      </w:r>
      <w:r w:rsidR="004A01A5">
        <w:rPr>
          <w:rFonts w:ascii="宋体" w:hAnsi="宋体" w:hint="eastAsia"/>
          <w:sz w:val="24"/>
        </w:rPr>
        <w:t>、</w:t>
      </w:r>
      <w:r w:rsidRPr="00E73DAA">
        <w:rPr>
          <w:rFonts w:ascii="宋体" w:hAnsi="宋体" w:hint="eastAsia"/>
          <w:sz w:val="24"/>
        </w:rPr>
        <w:t>人员信息</w:t>
      </w:r>
    </w:p>
    <w:p w:rsidR="00817B01" w:rsidRPr="00E73DAA" w:rsidRDefault="004A01A5" w:rsidP="00E73DAA">
      <w:pPr>
        <w:spacing w:line="360" w:lineRule="auto"/>
        <w:ind w:firstLine="540"/>
        <w:rPr>
          <w:rFonts w:ascii="宋体" w:hAnsi="宋体"/>
          <w:sz w:val="24"/>
        </w:rPr>
      </w:pPr>
      <w:r w:rsidRPr="004A01A5">
        <w:rPr>
          <w:rFonts w:ascii="宋体" w:hAnsi="宋体" w:hint="eastAsia"/>
          <w:sz w:val="24"/>
        </w:rPr>
        <w:t>中汇首席合伙人余强，截至2019年12月31日，从业人员1,389人，合伙人数量60人，注册会计师人数577人，近一年增加了64人。从事过证券服务业务注册会计师人数403人。</w:t>
      </w:r>
    </w:p>
    <w:p w:rsidR="00E73DAA" w:rsidRDefault="00E73DAA" w:rsidP="00E73DAA">
      <w:pPr>
        <w:spacing w:line="360" w:lineRule="auto"/>
        <w:ind w:firstLine="540"/>
        <w:rPr>
          <w:rFonts w:ascii="宋体" w:hAnsi="宋体"/>
          <w:sz w:val="24"/>
        </w:rPr>
      </w:pPr>
      <w:r w:rsidRPr="00E73DAA">
        <w:rPr>
          <w:rFonts w:ascii="宋体" w:hAnsi="宋体" w:hint="eastAsia"/>
          <w:sz w:val="24"/>
        </w:rPr>
        <w:t>3</w:t>
      </w:r>
      <w:r w:rsidR="004A01A5">
        <w:rPr>
          <w:rFonts w:ascii="宋体" w:hAnsi="宋体" w:hint="eastAsia"/>
          <w:sz w:val="24"/>
        </w:rPr>
        <w:t>、</w:t>
      </w:r>
      <w:r w:rsidRPr="00E73DAA">
        <w:rPr>
          <w:rFonts w:ascii="宋体" w:hAnsi="宋体" w:hint="eastAsia"/>
          <w:sz w:val="24"/>
        </w:rPr>
        <w:t>业务规模</w:t>
      </w:r>
    </w:p>
    <w:p w:rsidR="00817B01" w:rsidRDefault="000A47DF" w:rsidP="00E73DAA">
      <w:pPr>
        <w:spacing w:line="360" w:lineRule="auto"/>
        <w:ind w:firstLine="540"/>
        <w:rPr>
          <w:rFonts w:ascii="宋体" w:hAnsi="宋体"/>
          <w:sz w:val="24"/>
        </w:rPr>
      </w:pPr>
      <w:r>
        <w:rPr>
          <w:rFonts w:cstheme="minorEastAsia" w:hint="eastAsia"/>
          <w:sz w:val="24"/>
        </w:rPr>
        <w:t>中汇</w:t>
      </w:r>
      <w:r w:rsidRPr="00EC02E5">
        <w:rPr>
          <w:rFonts w:cstheme="minorEastAsia" w:hint="eastAsia"/>
          <w:sz w:val="24"/>
        </w:rPr>
        <w:t>201</w:t>
      </w:r>
      <w:r>
        <w:rPr>
          <w:rFonts w:cstheme="minorEastAsia"/>
          <w:sz w:val="24"/>
        </w:rPr>
        <w:t>8</w:t>
      </w:r>
      <w:r w:rsidRPr="00EC02E5">
        <w:rPr>
          <w:rFonts w:cstheme="minorEastAsia" w:hint="eastAsia"/>
          <w:sz w:val="24"/>
        </w:rPr>
        <w:t>年度业务收入为</w:t>
      </w:r>
      <w:r>
        <w:rPr>
          <w:rFonts w:cstheme="minorEastAsia" w:hint="eastAsia"/>
          <w:sz w:val="24"/>
        </w:rPr>
        <w:t>60</w:t>
      </w:r>
      <w:r>
        <w:rPr>
          <w:rFonts w:cstheme="minorEastAsia"/>
          <w:sz w:val="24"/>
        </w:rPr>
        <w:t>,</w:t>
      </w:r>
      <w:r>
        <w:rPr>
          <w:rFonts w:cstheme="minorEastAsia" w:hint="eastAsia"/>
          <w:sz w:val="24"/>
        </w:rPr>
        <w:t>528</w:t>
      </w:r>
      <w:r w:rsidRPr="00EC02E5">
        <w:rPr>
          <w:rFonts w:cstheme="minorEastAsia" w:hint="eastAsia"/>
          <w:sz w:val="24"/>
        </w:rPr>
        <w:t>万元，</w:t>
      </w:r>
      <w:r>
        <w:rPr>
          <w:rFonts w:cstheme="minorEastAsia" w:hint="eastAsia"/>
          <w:sz w:val="24"/>
        </w:rPr>
        <w:t>其中审计业务收入</w:t>
      </w:r>
      <w:r>
        <w:rPr>
          <w:rFonts w:cstheme="minorEastAsia" w:hint="eastAsia"/>
          <w:sz w:val="24"/>
        </w:rPr>
        <w:t>51,920</w:t>
      </w:r>
      <w:r>
        <w:rPr>
          <w:rFonts w:cstheme="minorEastAsia" w:hint="eastAsia"/>
          <w:sz w:val="24"/>
        </w:rPr>
        <w:t>万元，证券业务收入</w:t>
      </w:r>
      <w:r>
        <w:rPr>
          <w:rFonts w:cstheme="minorEastAsia" w:hint="eastAsia"/>
          <w:sz w:val="24"/>
        </w:rPr>
        <w:t>1</w:t>
      </w:r>
      <w:r>
        <w:rPr>
          <w:rFonts w:cstheme="minorEastAsia"/>
          <w:sz w:val="24"/>
        </w:rPr>
        <w:t>8,431</w:t>
      </w:r>
      <w:r>
        <w:rPr>
          <w:rFonts w:cstheme="minorEastAsia" w:hint="eastAsia"/>
          <w:sz w:val="24"/>
        </w:rPr>
        <w:t>万元，</w:t>
      </w:r>
      <w:r w:rsidRPr="00EC02E5">
        <w:rPr>
          <w:rFonts w:cstheme="minorEastAsia" w:hint="eastAsia"/>
          <w:sz w:val="24"/>
        </w:rPr>
        <w:t>净资产金额</w:t>
      </w:r>
      <w:r>
        <w:rPr>
          <w:rFonts w:cstheme="minorEastAsia" w:hint="eastAsia"/>
          <w:sz w:val="24"/>
        </w:rPr>
        <w:t>8</w:t>
      </w:r>
      <w:r w:rsidRPr="00EC02E5">
        <w:rPr>
          <w:rFonts w:cstheme="minorEastAsia" w:hint="eastAsia"/>
          <w:sz w:val="24"/>
        </w:rPr>
        <w:t>,</w:t>
      </w:r>
      <w:r>
        <w:rPr>
          <w:rFonts w:cstheme="minorEastAsia"/>
          <w:sz w:val="24"/>
        </w:rPr>
        <w:t>746</w:t>
      </w:r>
      <w:r w:rsidRPr="00EC02E5">
        <w:rPr>
          <w:rFonts w:cstheme="minorEastAsia" w:hint="eastAsia"/>
          <w:sz w:val="24"/>
        </w:rPr>
        <w:t>万元</w:t>
      </w:r>
      <w:r>
        <w:rPr>
          <w:rFonts w:cstheme="minorEastAsia" w:hint="eastAsia"/>
          <w:sz w:val="24"/>
        </w:rPr>
        <w:t>。</w:t>
      </w:r>
      <w:r>
        <w:rPr>
          <w:rFonts w:cstheme="minorEastAsia" w:hint="eastAsia"/>
          <w:sz w:val="24"/>
        </w:rPr>
        <w:t>2</w:t>
      </w:r>
      <w:r>
        <w:rPr>
          <w:rFonts w:cstheme="minorEastAsia"/>
          <w:sz w:val="24"/>
        </w:rPr>
        <w:t>018</w:t>
      </w:r>
      <w:r>
        <w:rPr>
          <w:rFonts w:cstheme="minorEastAsia" w:hint="eastAsia"/>
          <w:sz w:val="24"/>
        </w:rPr>
        <w:t>年共承办</w:t>
      </w:r>
      <w:r>
        <w:rPr>
          <w:rFonts w:cstheme="minorEastAsia" w:hint="eastAsia"/>
          <w:sz w:val="24"/>
        </w:rPr>
        <w:t>6</w:t>
      </w:r>
      <w:r>
        <w:rPr>
          <w:rFonts w:cstheme="minorEastAsia"/>
          <w:sz w:val="24"/>
        </w:rPr>
        <w:t>2</w:t>
      </w:r>
      <w:r w:rsidRPr="00EC02E5">
        <w:rPr>
          <w:rFonts w:cstheme="minorEastAsia" w:hint="eastAsia"/>
          <w:sz w:val="24"/>
        </w:rPr>
        <w:t>家上市公司</w:t>
      </w:r>
      <w:r>
        <w:rPr>
          <w:rFonts w:cstheme="minorEastAsia" w:hint="eastAsia"/>
          <w:sz w:val="24"/>
        </w:rPr>
        <w:t>年报审计，主要行业涵盖</w:t>
      </w:r>
      <w:r w:rsidRPr="00EC02E5">
        <w:rPr>
          <w:rFonts w:cstheme="minorEastAsia" w:hint="eastAsia"/>
          <w:sz w:val="24"/>
        </w:rPr>
        <w:t>金融业、制造业、信息传输、软件和信息技术服务等行业，</w:t>
      </w:r>
      <w:r>
        <w:rPr>
          <w:rFonts w:cstheme="minorEastAsia" w:hint="eastAsia"/>
          <w:sz w:val="24"/>
        </w:rPr>
        <w:t>资产均值约</w:t>
      </w:r>
      <w:r>
        <w:rPr>
          <w:rFonts w:cstheme="minorEastAsia" w:hint="eastAsia"/>
          <w:sz w:val="24"/>
        </w:rPr>
        <w:t>53.41</w:t>
      </w:r>
      <w:r>
        <w:rPr>
          <w:rFonts w:cstheme="minorEastAsia" w:hint="eastAsia"/>
          <w:sz w:val="24"/>
        </w:rPr>
        <w:t>亿元，年报</w:t>
      </w:r>
      <w:r w:rsidRPr="00EC02E5">
        <w:rPr>
          <w:rFonts w:cstheme="minorEastAsia" w:hint="eastAsia"/>
          <w:sz w:val="24"/>
        </w:rPr>
        <w:t>收费总额共计</w:t>
      </w:r>
      <w:r>
        <w:rPr>
          <w:rFonts w:cstheme="minorEastAsia" w:hint="eastAsia"/>
          <w:sz w:val="24"/>
        </w:rPr>
        <w:t>6</w:t>
      </w:r>
      <w:r>
        <w:rPr>
          <w:rFonts w:cstheme="minorEastAsia"/>
          <w:sz w:val="24"/>
        </w:rPr>
        <w:t>,816</w:t>
      </w:r>
      <w:r w:rsidRPr="00EC02E5">
        <w:rPr>
          <w:rFonts w:cstheme="minorEastAsia" w:hint="eastAsia"/>
          <w:sz w:val="24"/>
        </w:rPr>
        <w:t>万元</w:t>
      </w:r>
      <w:r w:rsidR="004A01A5" w:rsidRPr="000A47DF">
        <w:rPr>
          <w:rFonts w:cstheme="minorEastAsia" w:hint="eastAsia"/>
          <w:sz w:val="24"/>
        </w:rPr>
        <w:t>。</w:t>
      </w:r>
    </w:p>
    <w:p w:rsidR="00E73DAA" w:rsidRDefault="00E73DAA" w:rsidP="00E73DAA">
      <w:pPr>
        <w:spacing w:line="360" w:lineRule="auto"/>
        <w:ind w:firstLine="540"/>
        <w:rPr>
          <w:rFonts w:ascii="宋体" w:hAnsi="宋体"/>
          <w:sz w:val="24"/>
        </w:rPr>
      </w:pPr>
      <w:r w:rsidRPr="00E73DAA">
        <w:rPr>
          <w:rFonts w:ascii="宋体" w:hAnsi="宋体" w:hint="eastAsia"/>
          <w:sz w:val="24"/>
        </w:rPr>
        <w:t>4</w:t>
      </w:r>
      <w:r w:rsidR="004A01A5">
        <w:rPr>
          <w:rFonts w:ascii="宋体" w:hAnsi="宋体" w:hint="eastAsia"/>
          <w:sz w:val="24"/>
        </w:rPr>
        <w:t>、</w:t>
      </w:r>
      <w:r w:rsidRPr="00E73DAA">
        <w:rPr>
          <w:rFonts w:ascii="宋体" w:hAnsi="宋体" w:hint="eastAsia"/>
          <w:sz w:val="24"/>
        </w:rPr>
        <w:t>投资者保护能力</w:t>
      </w:r>
    </w:p>
    <w:p w:rsidR="00817B01" w:rsidRDefault="000A47DF" w:rsidP="00E73DAA">
      <w:pPr>
        <w:spacing w:line="360" w:lineRule="auto"/>
        <w:ind w:firstLine="540"/>
        <w:rPr>
          <w:rFonts w:ascii="宋体" w:hAnsi="宋体"/>
          <w:sz w:val="24"/>
        </w:rPr>
      </w:pPr>
      <w:r>
        <w:rPr>
          <w:rFonts w:cstheme="minorEastAsia" w:hint="eastAsia"/>
          <w:sz w:val="24"/>
        </w:rPr>
        <w:t>中汇未计提职业风险基金，</w:t>
      </w:r>
      <w:r w:rsidRPr="00EC02E5">
        <w:rPr>
          <w:rFonts w:cstheme="minorEastAsia" w:hint="eastAsia"/>
          <w:sz w:val="24"/>
        </w:rPr>
        <w:t>已向中国人民财产保险股份有限公司购买了注册会计师职业责任保险，累计赔偿限额</w:t>
      </w:r>
      <w:r w:rsidRPr="00EC02E5">
        <w:rPr>
          <w:rFonts w:cstheme="minorEastAsia" w:hint="eastAsia"/>
          <w:sz w:val="24"/>
        </w:rPr>
        <w:t>8,000</w:t>
      </w:r>
      <w:r w:rsidRPr="00EC02E5">
        <w:rPr>
          <w:rFonts w:cstheme="minorEastAsia" w:hint="eastAsia"/>
          <w:sz w:val="24"/>
        </w:rPr>
        <w:t>万元，能够</w:t>
      </w:r>
      <w:proofErr w:type="gramStart"/>
      <w:r w:rsidRPr="00EC02E5">
        <w:rPr>
          <w:rFonts w:cstheme="minorEastAsia" w:hint="eastAsia"/>
          <w:sz w:val="24"/>
        </w:rPr>
        <w:t>覆盖</w:t>
      </w:r>
      <w:r>
        <w:rPr>
          <w:rFonts w:cstheme="minorEastAsia" w:hint="eastAsia"/>
          <w:sz w:val="24"/>
        </w:rPr>
        <w:t>因</w:t>
      </w:r>
      <w:proofErr w:type="gramEnd"/>
      <w:r>
        <w:rPr>
          <w:rFonts w:cstheme="minorEastAsia" w:hint="eastAsia"/>
          <w:sz w:val="24"/>
        </w:rPr>
        <w:t>审计失败导致的</w:t>
      </w:r>
      <w:r w:rsidRPr="00EC02E5">
        <w:rPr>
          <w:rFonts w:cstheme="minorEastAsia" w:hint="eastAsia"/>
          <w:sz w:val="24"/>
        </w:rPr>
        <w:t>民事赔偿责任</w:t>
      </w:r>
      <w:r>
        <w:rPr>
          <w:rFonts w:cstheme="minorEastAsia" w:hint="eastAsia"/>
          <w:sz w:val="24"/>
        </w:rPr>
        <w:t>。</w:t>
      </w:r>
    </w:p>
    <w:p w:rsidR="00E73DAA" w:rsidRDefault="00E73DAA" w:rsidP="00E73DAA">
      <w:pPr>
        <w:spacing w:line="360" w:lineRule="auto"/>
        <w:ind w:firstLine="540"/>
        <w:rPr>
          <w:rFonts w:ascii="宋体" w:hAnsi="宋体"/>
          <w:sz w:val="24"/>
        </w:rPr>
      </w:pPr>
      <w:r w:rsidRPr="00E73DAA">
        <w:rPr>
          <w:rFonts w:ascii="宋体" w:hAnsi="宋体" w:hint="eastAsia"/>
          <w:sz w:val="24"/>
        </w:rPr>
        <w:t>5</w:t>
      </w:r>
      <w:r w:rsidR="004A01A5">
        <w:rPr>
          <w:rFonts w:ascii="宋体" w:hAnsi="宋体" w:hint="eastAsia"/>
          <w:sz w:val="24"/>
        </w:rPr>
        <w:t>、</w:t>
      </w:r>
      <w:r w:rsidRPr="00E73DAA">
        <w:rPr>
          <w:rFonts w:ascii="宋体" w:hAnsi="宋体" w:hint="eastAsia"/>
          <w:sz w:val="24"/>
        </w:rPr>
        <w:t>独立性和诚信记录</w:t>
      </w:r>
    </w:p>
    <w:p w:rsidR="000A47DF" w:rsidRDefault="000A47DF" w:rsidP="000A47DF">
      <w:pPr>
        <w:pStyle w:val="a6"/>
        <w:tabs>
          <w:tab w:val="left" w:pos="1123"/>
        </w:tabs>
        <w:spacing w:line="360" w:lineRule="auto"/>
        <w:ind w:leftChars="105" w:firstLineChars="200" w:firstLine="480"/>
        <w:rPr>
          <w:rFonts w:cstheme="minorEastAsia"/>
          <w:sz w:val="24"/>
        </w:rPr>
      </w:pPr>
      <w:r>
        <w:rPr>
          <w:rFonts w:cstheme="minorEastAsia" w:hint="eastAsia"/>
          <w:sz w:val="24"/>
        </w:rPr>
        <w:t>中</w:t>
      </w:r>
      <w:proofErr w:type="gramStart"/>
      <w:r>
        <w:rPr>
          <w:rFonts w:cstheme="minorEastAsia" w:hint="eastAsia"/>
          <w:sz w:val="24"/>
        </w:rPr>
        <w:t>汇及其</w:t>
      </w:r>
      <w:proofErr w:type="gramEnd"/>
      <w:r>
        <w:rPr>
          <w:rFonts w:cstheme="minorEastAsia" w:hint="eastAsia"/>
          <w:sz w:val="24"/>
        </w:rPr>
        <w:t>从业人员</w:t>
      </w:r>
      <w:r w:rsidRPr="00EC02E5">
        <w:rPr>
          <w:rFonts w:cstheme="minorEastAsia" w:hint="eastAsia"/>
          <w:sz w:val="24"/>
        </w:rPr>
        <w:t>不存在违反《中国注册会计师职业道德守则》对独立性要求的情形。</w:t>
      </w:r>
      <w:r>
        <w:rPr>
          <w:rFonts w:cstheme="minorEastAsia" w:hint="eastAsia"/>
          <w:sz w:val="24"/>
        </w:rPr>
        <w:t>最近三年（2017-</w:t>
      </w:r>
      <w:r>
        <w:rPr>
          <w:rFonts w:cstheme="minorEastAsia"/>
          <w:sz w:val="24"/>
        </w:rPr>
        <w:t>2019</w:t>
      </w:r>
      <w:r>
        <w:rPr>
          <w:rFonts w:cstheme="minorEastAsia" w:hint="eastAsia"/>
          <w:sz w:val="24"/>
        </w:rPr>
        <w:t>年）中汇累计受到证券监管部门行政处罚</w:t>
      </w:r>
      <w:r>
        <w:rPr>
          <w:rFonts w:cstheme="minorEastAsia" w:hint="eastAsia"/>
          <w:sz w:val="24"/>
        </w:rPr>
        <w:lastRenderedPageBreak/>
        <w:t>1次，行政监管措施1次，无刑事处罚或自律监管措施，具体如下：</w:t>
      </w:r>
    </w:p>
    <w:tbl>
      <w:tblPr>
        <w:tblStyle w:val="a7"/>
        <w:tblW w:w="9611" w:type="dxa"/>
        <w:tblInd w:w="-647" w:type="dxa"/>
        <w:tblLook w:val="04A0" w:firstRow="1" w:lastRow="0" w:firstColumn="1" w:lastColumn="0" w:noHBand="0" w:noVBand="1"/>
      </w:tblPr>
      <w:tblGrid>
        <w:gridCol w:w="426"/>
        <w:gridCol w:w="850"/>
        <w:gridCol w:w="1390"/>
        <w:gridCol w:w="1633"/>
        <w:gridCol w:w="1769"/>
        <w:gridCol w:w="1118"/>
        <w:gridCol w:w="1291"/>
        <w:gridCol w:w="1134"/>
      </w:tblGrid>
      <w:tr w:rsidR="00855EF2" w:rsidRPr="007134BF" w:rsidTr="007134BF">
        <w:tc>
          <w:tcPr>
            <w:tcW w:w="426" w:type="dxa"/>
            <w:vAlign w:val="center"/>
          </w:tcPr>
          <w:p w:rsidR="00855EF2" w:rsidRPr="007134BF" w:rsidRDefault="00855EF2" w:rsidP="007134BF">
            <w:pPr>
              <w:pStyle w:val="a6"/>
              <w:tabs>
                <w:tab w:val="left" w:pos="1123"/>
              </w:tabs>
              <w:ind w:left="0" w:firstLine="0"/>
              <w:jc w:val="center"/>
              <w:rPr>
                <w:rFonts w:cstheme="minorEastAsia"/>
                <w:sz w:val="21"/>
                <w:szCs w:val="21"/>
              </w:rPr>
            </w:pPr>
            <w:bookmarkStart w:id="0" w:name="_GoBack"/>
            <w:bookmarkEnd w:id="0"/>
            <w:r w:rsidRPr="007134BF">
              <w:rPr>
                <w:rFonts w:cstheme="minorEastAsia" w:hint="eastAsia"/>
                <w:sz w:val="21"/>
                <w:szCs w:val="21"/>
              </w:rPr>
              <w:t>序号</w:t>
            </w:r>
          </w:p>
        </w:tc>
        <w:tc>
          <w:tcPr>
            <w:tcW w:w="850"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监管处罚类型</w:t>
            </w:r>
          </w:p>
        </w:tc>
        <w:tc>
          <w:tcPr>
            <w:tcW w:w="1390"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处理处罚对象</w:t>
            </w:r>
          </w:p>
        </w:tc>
        <w:tc>
          <w:tcPr>
            <w:tcW w:w="1633"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处理处罚决定文号</w:t>
            </w:r>
          </w:p>
        </w:tc>
        <w:tc>
          <w:tcPr>
            <w:tcW w:w="1769"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处理处罚决定名称</w:t>
            </w:r>
          </w:p>
        </w:tc>
        <w:tc>
          <w:tcPr>
            <w:tcW w:w="1118"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处理处罚机关</w:t>
            </w:r>
          </w:p>
        </w:tc>
        <w:tc>
          <w:tcPr>
            <w:tcW w:w="1291"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处理处罚日期</w:t>
            </w:r>
          </w:p>
        </w:tc>
        <w:tc>
          <w:tcPr>
            <w:tcW w:w="1134"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是否影响目前执业</w:t>
            </w:r>
          </w:p>
        </w:tc>
      </w:tr>
      <w:tr w:rsidR="00855EF2" w:rsidRPr="007134BF" w:rsidTr="007134BF">
        <w:tc>
          <w:tcPr>
            <w:tcW w:w="426"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1</w:t>
            </w:r>
          </w:p>
        </w:tc>
        <w:tc>
          <w:tcPr>
            <w:tcW w:w="850"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行政监管措施</w:t>
            </w:r>
          </w:p>
        </w:tc>
        <w:tc>
          <w:tcPr>
            <w:tcW w:w="1390" w:type="dxa"/>
            <w:vAlign w:val="center"/>
          </w:tcPr>
          <w:p w:rsidR="00855EF2" w:rsidRPr="007134BF" w:rsidRDefault="00855EF2" w:rsidP="007134BF">
            <w:pPr>
              <w:pStyle w:val="a6"/>
              <w:tabs>
                <w:tab w:val="left" w:pos="1123"/>
              </w:tabs>
              <w:ind w:left="0" w:firstLine="0"/>
              <w:jc w:val="left"/>
              <w:rPr>
                <w:rFonts w:cstheme="minorEastAsia"/>
                <w:sz w:val="21"/>
                <w:szCs w:val="21"/>
              </w:rPr>
            </w:pPr>
            <w:r w:rsidRPr="007134BF">
              <w:rPr>
                <w:rFonts w:cstheme="minorEastAsia" w:hint="eastAsia"/>
                <w:sz w:val="21"/>
                <w:szCs w:val="21"/>
              </w:rPr>
              <w:t>中汇会计师事务所（特殊普通合伙）、罗毅彪、涂娟珍</w:t>
            </w:r>
          </w:p>
        </w:tc>
        <w:tc>
          <w:tcPr>
            <w:tcW w:w="1633" w:type="dxa"/>
            <w:vAlign w:val="center"/>
          </w:tcPr>
          <w:p w:rsidR="00855EF2" w:rsidRPr="007134BF" w:rsidRDefault="00855EF2" w:rsidP="007134BF">
            <w:pPr>
              <w:pStyle w:val="Default"/>
              <w:rPr>
                <w:rFonts w:cstheme="minorEastAsia"/>
                <w:sz w:val="21"/>
                <w:szCs w:val="21"/>
              </w:rPr>
            </w:pPr>
            <w:r w:rsidRPr="007134BF">
              <w:rPr>
                <w:rFonts w:hint="eastAsia"/>
                <w:sz w:val="21"/>
                <w:szCs w:val="21"/>
              </w:rPr>
              <w:t>中国证券监督管理委员会北京证监局行政监管措施决定书[</w:t>
            </w:r>
            <w:r w:rsidRPr="007134BF">
              <w:rPr>
                <w:sz w:val="21"/>
                <w:szCs w:val="21"/>
              </w:rPr>
              <w:t>2017]156</w:t>
            </w:r>
            <w:r w:rsidRPr="007134BF">
              <w:rPr>
                <w:rFonts w:hint="eastAsia"/>
                <w:sz w:val="21"/>
                <w:szCs w:val="21"/>
              </w:rPr>
              <w:t>号</w:t>
            </w:r>
          </w:p>
        </w:tc>
        <w:tc>
          <w:tcPr>
            <w:tcW w:w="1769" w:type="dxa"/>
            <w:vAlign w:val="center"/>
          </w:tcPr>
          <w:p w:rsidR="00855EF2" w:rsidRPr="007134BF" w:rsidRDefault="00855EF2" w:rsidP="007134BF">
            <w:pPr>
              <w:pStyle w:val="Default"/>
              <w:rPr>
                <w:rFonts w:cstheme="minorEastAsia"/>
                <w:sz w:val="21"/>
                <w:szCs w:val="21"/>
              </w:rPr>
            </w:pPr>
            <w:r w:rsidRPr="007134BF">
              <w:rPr>
                <w:rFonts w:hint="eastAsia"/>
                <w:sz w:val="21"/>
                <w:szCs w:val="21"/>
              </w:rPr>
              <w:t>关于对中汇会计师事务所</w:t>
            </w:r>
            <w:r w:rsidRPr="007134BF">
              <w:rPr>
                <w:sz w:val="21"/>
                <w:szCs w:val="21"/>
              </w:rPr>
              <w:t>(</w:t>
            </w:r>
            <w:r w:rsidRPr="007134BF">
              <w:rPr>
                <w:rFonts w:hint="eastAsia"/>
                <w:sz w:val="21"/>
                <w:szCs w:val="21"/>
              </w:rPr>
              <w:t>特殊普通合伙</w:t>
            </w:r>
            <w:r w:rsidRPr="007134BF">
              <w:rPr>
                <w:sz w:val="21"/>
                <w:szCs w:val="21"/>
              </w:rPr>
              <w:t>)</w:t>
            </w:r>
            <w:r w:rsidRPr="007134BF">
              <w:rPr>
                <w:rFonts w:hint="eastAsia"/>
                <w:sz w:val="21"/>
                <w:szCs w:val="21"/>
              </w:rPr>
              <w:t>及注册会计师罗毅彪、涂娟珍采取出具警示</w:t>
            </w:r>
            <w:proofErr w:type="gramStart"/>
            <w:r w:rsidRPr="007134BF">
              <w:rPr>
                <w:rFonts w:hint="eastAsia"/>
                <w:sz w:val="21"/>
                <w:szCs w:val="21"/>
              </w:rPr>
              <w:t>函措施</w:t>
            </w:r>
            <w:proofErr w:type="gramEnd"/>
            <w:r w:rsidRPr="007134BF">
              <w:rPr>
                <w:rFonts w:hint="eastAsia"/>
                <w:sz w:val="21"/>
                <w:szCs w:val="21"/>
              </w:rPr>
              <w:t>的决定</w:t>
            </w:r>
          </w:p>
        </w:tc>
        <w:tc>
          <w:tcPr>
            <w:tcW w:w="1118"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北京证监局</w:t>
            </w:r>
          </w:p>
        </w:tc>
        <w:tc>
          <w:tcPr>
            <w:tcW w:w="1291"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2017年12月7日</w:t>
            </w:r>
          </w:p>
        </w:tc>
        <w:tc>
          <w:tcPr>
            <w:tcW w:w="1134"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否</w:t>
            </w:r>
          </w:p>
        </w:tc>
      </w:tr>
      <w:tr w:rsidR="00855EF2" w:rsidRPr="007134BF" w:rsidTr="007134BF">
        <w:tc>
          <w:tcPr>
            <w:tcW w:w="426"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2</w:t>
            </w:r>
          </w:p>
        </w:tc>
        <w:tc>
          <w:tcPr>
            <w:tcW w:w="850"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行政处罚</w:t>
            </w:r>
          </w:p>
        </w:tc>
        <w:tc>
          <w:tcPr>
            <w:tcW w:w="1390" w:type="dxa"/>
            <w:vAlign w:val="center"/>
          </w:tcPr>
          <w:p w:rsidR="00855EF2" w:rsidRPr="007134BF" w:rsidRDefault="00855EF2" w:rsidP="007134BF">
            <w:pPr>
              <w:pStyle w:val="a6"/>
              <w:tabs>
                <w:tab w:val="left" w:pos="1123"/>
              </w:tabs>
              <w:ind w:left="0" w:firstLine="0"/>
              <w:jc w:val="left"/>
              <w:rPr>
                <w:rFonts w:cstheme="minorEastAsia"/>
                <w:sz w:val="21"/>
                <w:szCs w:val="21"/>
              </w:rPr>
            </w:pPr>
            <w:r w:rsidRPr="007134BF">
              <w:rPr>
                <w:rFonts w:cstheme="minorEastAsia" w:hint="eastAsia"/>
                <w:sz w:val="21"/>
                <w:szCs w:val="21"/>
              </w:rPr>
              <w:t>中汇会计师事务所（特殊普通合伙）、蒋建国、吴成航、吴星光</w:t>
            </w:r>
          </w:p>
        </w:tc>
        <w:tc>
          <w:tcPr>
            <w:tcW w:w="1633" w:type="dxa"/>
            <w:vAlign w:val="center"/>
          </w:tcPr>
          <w:p w:rsidR="00855EF2" w:rsidRPr="007134BF" w:rsidRDefault="00855EF2" w:rsidP="007134BF">
            <w:pPr>
              <w:pStyle w:val="Default"/>
              <w:rPr>
                <w:rFonts w:cstheme="minorEastAsia"/>
                <w:sz w:val="21"/>
                <w:szCs w:val="21"/>
              </w:rPr>
            </w:pPr>
            <w:r w:rsidRPr="007134BF">
              <w:rPr>
                <w:rFonts w:hint="eastAsia"/>
                <w:sz w:val="21"/>
                <w:szCs w:val="21"/>
              </w:rPr>
              <w:t>中国证券监督管理委员会浙江证监局行政处罚决定书[</w:t>
            </w:r>
            <w:r w:rsidRPr="007134BF">
              <w:rPr>
                <w:sz w:val="21"/>
                <w:szCs w:val="21"/>
              </w:rPr>
              <w:t>2019</w:t>
            </w:r>
            <w:r w:rsidRPr="007134BF">
              <w:rPr>
                <w:rFonts w:hint="eastAsia"/>
                <w:sz w:val="21"/>
                <w:szCs w:val="21"/>
              </w:rPr>
              <w:t>]</w:t>
            </w:r>
            <w:r w:rsidRPr="007134BF">
              <w:rPr>
                <w:sz w:val="21"/>
                <w:szCs w:val="21"/>
              </w:rPr>
              <w:t>8</w:t>
            </w:r>
            <w:r w:rsidRPr="007134BF">
              <w:rPr>
                <w:rFonts w:hint="eastAsia"/>
                <w:sz w:val="21"/>
                <w:szCs w:val="21"/>
              </w:rPr>
              <w:t>号</w:t>
            </w:r>
          </w:p>
        </w:tc>
        <w:tc>
          <w:tcPr>
            <w:tcW w:w="1769" w:type="dxa"/>
            <w:vAlign w:val="center"/>
          </w:tcPr>
          <w:p w:rsidR="00855EF2" w:rsidRPr="007134BF" w:rsidRDefault="00855EF2" w:rsidP="007134BF">
            <w:pPr>
              <w:pStyle w:val="a6"/>
              <w:tabs>
                <w:tab w:val="left" w:pos="1123"/>
              </w:tabs>
              <w:ind w:left="0" w:firstLine="0"/>
              <w:jc w:val="left"/>
              <w:rPr>
                <w:rFonts w:cstheme="minorEastAsia"/>
                <w:sz w:val="21"/>
                <w:szCs w:val="21"/>
                <w:lang w:val="en-US"/>
              </w:rPr>
            </w:pPr>
            <w:r w:rsidRPr="007134BF">
              <w:rPr>
                <w:rFonts w:cstheme="minorEastAsia" w:hint="eastAsia"/>
                <w:sz w:val="21"/>
                <w:szCs w:val="21"/>
                <w:lang w:val="en-US"/>
              </w:rPr>
              <w:t>行政处罚决定书</w:t>
            </w:r>
          </w:p>
        </w:tc>
        <w:tc>
          <w:tcPr>
            <w:tcW w:w="1118"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浙江证监局</w:t>
            </w:r>
          </w:p>
        </w:tc>
        <w:tc>
          <w:tcPr>
            <w:tcW w:w="1291"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2019年12月30日</w:t>
            </w:r>
          </w:p>
        </w:tc>
        <w:tc>
          <w:tcPr>
            <w:tcW w:w="1134" w:type="dxa"/>
            <w:vAlign w:val="center"/>
          </w:tcPr>
          <w:p w:rsidR="00855EF2" w:rsidRPr="007134BF" w:rsidRDefault="00855EF2" w:rsidP="007134BF">
            <w:pPr>
              <w:pStyle w:val="a6"/>
              <w:tabs>
                <w:tab w:val="left" w:pos="1123"/>
              </w:tabs>
              <w:ind w:left="0" w:firstLine="0"/>
              <w:jc w:val="center"/>
              <w:rPr>
                <w:rFonts w:cstheme="minorEastAsia"/>
                <w:sz w:val="21"/>
                <w:szCs w:val="21"/>
              </w:rPr>
            </w:pPr>
            <w:r w:rsidRPr="007134BF">
              <w:rPr>
                <w:rFonts w:cstheme="minorEastAsia" w:hint="eastAsia"/>
                <w:sz w:val="21"/>
                <w:szCs w:val="21"/>
              </w:rPr>
              <w:t>否</w:t>
            </w:r>
          </w:p>
        </w:tc>
      </w:tr>
    </w:tbl>
    <w:p w:rsidR="00CF40EA" w:rsidRDefault="00CF40EA" w:rsidP="00E73DAA">
      <w:pPr>
        <w:spacing w:line="360" w:lineRule="auto"/>
        <w:ind w:firstLine="540"/>
        <w:rPr>
          <w:rFonts w:ascii="宋体" w:hAnsi="宋体"/>
          <w:sz w:val="24"/>
        </w:rPr>
      </w:pPr>
    </w:p>
    <w:p w:rsidR="00E73DAA" w:rsidRPr="00E73DAA" w:rsidRDefault="00E73DAA" w:rsidP="00E73DAA">
      <w:pPr>
        <w:spacing w:line="360" w:lineRule="auto"/>
        <w:ind w:firstLine="540"/>
        <w:rPr>
          <w:rFonts w:ascii="宋体" w:hAnsi="宋体"/>
          <w:sz w:val="24"/>
        </w:rPr>
      </w:pPr>
      <w:r w:rsidRPr="00E73DAA">
        <w:rPr>
          <w:rFonts w:ascii="宋体" w:hAnsi="宋体" w:hint="eastAsia"/>
          <w:sz w:val="24"/>
        </w:rPr>
        <w:t>（二）项目成员信息</w:t>
      </w:r>
    </w:p>
    <w:p w:rsidR="00E73DAA" w:rsidRDefault="00E73DAA" w:rsidP="00E73DAA">
      <w:pPr>
        <w:spacing w:line="360" w:lineRule="auto"/>
        <w:ind w:firstLine="540"/>
        <w:rPr>
          <w:rFonts w:ascii="宋体" w:hAnsi="宋体"/>
          <w:sz w:val="24"/>
        </w:rPr>
      </w:pPr>
      <w:r w:rsidRPr="00E73DAA">
        <w:rPr>
          <w:rFonts w:ascii="宋体" w:hAnsi="宋体" w:hint="eastAsia"/>
          <w:sz w:val="24"/>
        </w:rPr>
        <w:t>1</w:t>
      </w:r>
      <w:r w:rsidR="004A01A5">
        <w:rPr>
          <w:rFonts w:ascii="宋体" w:hAnsi="宋体" w:hint="eastAsia"/>
          <w:sz w:val="24"/>
        </w:rPr>
        <w:t>、</w:t>
      </w:r>
      <w:r w:rsidRPr="00E73DAA">
        <w:rPr>
          <w:rFonts w:ascii="宋体" w:hAnsi="宋体" w:hint="eastAsia"/>
          <w:sz w:val="24"/>
        </w:rPr>
        <w:t>人员信息</w:t>
      </w:r>
    </w:p>
    <w:p w:rsidR="00B562A7" w:rsidRPr="00B562A7" w:rsidRDefault="00B562A7" w:rsidP="00B562A7">
      <w:pPr>
        <w:spacing w:line="360" w:lineRule="auto"/>
        <w:ind w:firstLine="540"/>
        <w:rPr>
          <w:rFonts w:ascii="宋体" w:hAnsi="宋体"/>
          <w:sz w:val="24"/>
        </w:rPr>
      </w:pPr>
      <w:r>
        <w:rPr>
          <w:rFonts w:ascii="宋体" w:hAnsi="宋体" w:hint="eastAsia"/>
          <w:sz w:val="24"/>
        </w:rPr>
        <w:t>（1）</w:t>
      </w:r>
      <w:r w:rsidRPr="00B562A7">
        <w:rPr>
          <w:rFonts w:ascii="宋体" w:hAnsi="宋体" w:hint="eastAsia"/>
          <w:sz w:val="24"/>
        </w:rPr>
        <w:t>项目合伙人：汤洋</w:t>
      </w:r>
    </w:p>
    <w:p w:rsidR="00B562A7" w:rsidRPr="00B562A7" w:rsidRDefault="00B562A7" w:rsidP="00B562A7">
      <w:pPr>
        <w:spacing w:line="360" w:lineRule="auto"/>
        <w:ind w:firstLine="540"/>
        <w:rPr>
          <w:rFonts w:ascii="宋体" w:hAnsi="宋体"/>
          <w:sz w:val="24"/>
        </w:rPr>
      </w:pPr>
      <w:r w:rsidRPr="00B562A7">
        <w:rPr>
          <w:rFonts w:ascii="宋体" w:hAnsi="宋体" w:hint="eastAsia"/>
          <w:sz w:val="24"/>
        </w:rPr>
        <w:t>执业资质：注册会计师</w:t>
      </w:r>
    </w:p>
    <w:p w:rsidR="00B562A7" w:rsidRPr="00B562A7" w:rsidRDefault="00B562A7" w:rsidP="00B562A7">
      <w:pPr>
        <w:spacing w:line="360" w:lineRule="auto"/>
        <w:ind w:firstLine="540"/>
        <w:rPr>
          <w:rFonts w:ascii="宋体" w:hAnsi="宋体"/>
          <w:sz w:val="24"/>
        </w:rPr>
      </w:pPr>
      <w:r w:rsidRPr="00B562A7">
        <w:rPr>
          <w:rFonts w:ascii="宋体" w:hAnsi="宋体" w:hint="eastAsia"/>
          <w:sz w:val="24"/>
        </w:rPr>
        <w:t>从业经历：自2004年10月开始从事审计行业，具备12年审计经验，主要从事资本市场相关服务，负责过的主要项目包括：天铁股份、宏达高科、南华期货（IPO）</w:t>
      </w:r>
      <w:r>
        <w:rPr>
          <w:rFonts w:ascii="宋体" w:hAnsi="宋体" w:hint="eastAsia"/>
          <w:sz w:val="24"/>
        </w:rPr>
        <w:t>。</w:t>
      </w:r>
    </w:p>
    <w:p w:rsidR="00B562A7" w:rsidRPr="00B562A7" w:rsidRDefault="00B562A7" w:rsidP="00B562A7">
      <w:pPr>
        <w:spacing w:line="360" w:lineRule="auto"/>
        <w:ind w:firstLine="540"/>
        <w:rPr>
          <w:rFonts w:ascii="宋体" w:hAnsi="宋体"/>
          <w:sz w:val="24"/>
        </w:rPr>
      </w:pPr>
      <w:r w:rsidRPr="00B562A7">
        <w:rPr>
          <w:rFonts w:ascii="宋体" w:hAnsi="宋体" w:hint="eastAsia"/>
          <w:sz w:val="24"/>
        </w:rPr>
        <w:t>兼职情况：无</w:t>
      </w:r>
    </w:p>
    <w:p w:rsidR="00B562A7" w:rsidRPr="00B562A7" w:rsidRDefault="00B562A7" w:rsidP="00B562A7">
      <w:pPr>
        <w:spacing w:line="360" w:lineRule="auto"/>
        <w:ind w:firstLine="540"/>
        <w:rPr>
          <w:rFonts w:ascii="宋体" w:hAnsi="宋体"/>
          <w:sz w:val="24"/>
        </w:rPr>
      </w:pPr>
      <w:r w:rsidRPr="00B562A7">
        <w:rPr>
          <w:rFonts w:ascii="宋体" w:hAnsi="宋体" w:hint="eastAsia"/>
          <w:sz w:val="24"/>
        </w:rPr>
        <w:t>从事证券业务的年限：9.5年</w:t>
      </w:r>
    </w:p>
    <w:p w:rsidR="00B562A7" w:rsidRPr="00B562A7" w:rsidRDefault="00B562A7" w:rsidP="00B562A7">
      <w:pPr>
        <w:spacing w:line="360" w:lineRule="auto"/>
        <w:ind w:firstLine="540"/>
        <w:rPr>
          <w:rFonts w:ascii="宋体" w:hAnsi="宋体"/>
          <w:sz w:val="24"/>
        </w:rPr>
      </w:pPr>
      <w:r w:rsidRPr="00B562A7">
        <w:rPr>
          <w:rFonts w:ascii="宋体" w:hAnsi="宋体" w:hint="eastAsia"/>
          <w:sz w:val="24"/>
        </w:rPr>
        <w:t>是否具备专业胜任能力：是</w:t>
      </w:r>
    </w:p>
    <w:p w:rsidR="00B562A7" w:rsidRPr="00B562A7" w:rsidRDefault="00B562A7" w:rsidP="00B562A7">
      <w:pPr>
        <w:spacing w:line="360" w:lineRule="auto"/>
        <w:ind w:firstLine="540"/>
        <w:rPr>
          <w:rFonts w:ascii="宋体" w:hAnsi="宋体"/>
          <w:sz w:val="24"/>
        </w:rPr>
      </w:pPr>
      <w:r>
        <w:rPr>
          <w:rFonts w:ascii="宋体" w:hAnsi="宋体" w:hint="eastAsia"/>
          <w:sz w:val="24"/>
        </w:rPr>
        <w:t>（2）</w:t>
      </w:r>
      <w:r w:rsidRPr="00B562A7">
        <w:rPr>
          <w:rFonts w:ascii="宋体" w:hAnsi="宋体" w:hint="eastAsia"/>
          <w:sz w:val="24"/>
        </w:rPr>
        <w:t>质量控制复核人：李会英</w:t>
      </w:r>
    </w:p>
    <w:p w:rsidR="00B562A7" w:rsidRPr="00B562A7" w:rsidRDefault="00B562A7" w:rsidP="00B562A7">
      <w:pPr>
        <w:spacing w:line="360" w:lineRule="auto"/>
        <w:ind w:firstLine="540"/>
        <w:rPr>
          <w:rFonts w:ascii="宋体" w:hAnsi="宋体"/>
          <w:sz w:val="24"/>
        </w:rPr>
      </w:pPr>
      <w:r w:rsidRPr="00B562A7">
        <w:rPr>
          <w:rFonts w:ascii="宋体" w:hAnsi="宋体" w:hint="eastAsia"/>
          <w:sz w:val="24"/>
        </w:rPr>
        <w:t>执业资质：注册会计师、注册资产评估师（非执业）</w:t>
      </w:r>
    </w:p>
    <w:p w:rsidR="00B562A7" w:rsidRPr="00B562A7" w:rsidRDefault="00B562A7" w:rsidP="00B562A7">
      <w:pPr>
        <w:spacing w:line="360" w:lineRule="auto"/>
        <w:ind w:firstLine="540"/>
        <w:rPr>
          <w:rFonts w:ascii="宋体" w:hAnsi="宋体"/>
          <w:sz w:val="24"/>
        </w:rPr>
      </w:pPr>
      <w:r w:rsidRPr="00B562A7">
        <w:rPr>
          <w:rFonts w:ascii="宋体" w:hAnsi="宋体" w:hint="eastAsia"/>
          <w:sz w:val="24"/>
        </w:rPr>
        <w:t>从业经历：自2003年1月开始从事审计行业，具备17年审计经验，主要从事资本市场相关服务，负责过的主要项目包括：阳光照明、通策医疗。</w:t>
      </w:r>
    </w:p>
    <w:p w:rsidR="00B562A7" w:rsidRPr="00B562A7" w:rsidRDefault="00B562A7" w:rsidP="00B562A7">
      <w:pPr>
        <w:spacing w:line="360" w:lineRule="auto"/>
        <w:ind w:firstLine="540"/>
        <w:rPr>
          <w:rFonts w:ascii="宋体" w:hAnsi="宋体"/>
          <w:sz w:val="24"/>
        </w:rPr>
      </w:pPr>
      <w:r w:rsidRPr="00B562A7">
        <w:rPr>
          <w:rFonts w:ascii="宋体" w:hAnsi="宋体" w:hint="eastAsia"/>
          <w:sz w:val="24"/>
        </w:rPr>
        <w:t>兼职情况：无</w:t>
      </w:r>
    </w:p>
    <w:p w:rsidR="00B562A7" w:rsidRPr="00B562A7" w:rsidRDefault="00B562A7" w:rsidP="00B562A7">
      <w:pPr>
        <w:spacing w:line="360" w:lineRule="auto"/>
        <w:ind w:firstLine="540"/>
        <w:rPr>
          <w:rFonts w:ascii="宋体" w:hAnsi="宋体"/>
          <w:sz w:val="24"/>
        </w:rPr>
      </w:pPr>
      <w:r w:rsidRPr="00B562A7">
        <w:rPr>
          <w:rFonts w:ascii="宋体" w:hAnsi="宋体" w:hint="eastAsia"/>
          <w:sz w:val="24"/>
        </w:rPr>
        <w:t>从事证券业务的年限：12年</w:t>
      </w:r>
    </w:p>
    <w:p w:rsidR="00B562A7" w:rsidRPr="00B562A7" w:rsidRDefault="00B562A7" w:rsidP="00B562A7">
      <w:pPr>
        <w:spacing w:line="360" w:lineRule="auto"/>
        <w:ind w:firstLine="540"/>
        <w:rPr>
          <w:rFonts w:ascii="宋体" w:hAnsi="宋体"/>
          <w:sz w:val="24"/>
        </w:rPr>
      </w:pPr>
      <w:r w:rsidRPr="00B562A7">
        <w:rPr>
          <w:rFonts w:ascii="宋体" w:hAnsi="宋体" w:hint="eastAsia"/>
          <w:sz w:val="24"/>
        </w:rPr>
        <w:t>是否具备专业胜任能力：是</w:t>
      </w:r>
    </w:p>
    <w:p w:rsidR="00B562A7" w:rsidRPr="00B562A7" w:rsidRDefault="00B562A7" w:rsidP="00B562A7">
      <w:pPr>
        <w:spacing w:line="360" w:lineRule="auto"/>
        <w:ind w:firstLine="540"/>
        <w:rPr>
          <w:rFonts w:ascii="宋体" w:hAnsi="宋体"/>
          <w:sz w:val="24"/>
        </w:rPr>
      </w:pPr>
      <w:r>
        <w:rPr>
          <w:rFonts w:ascii="宋体" w:hAnsi="宋体" w:hint="eastAsia"/>
          <w:sz w:val="24"/>
        </w:rPr>
        <w:t>（3）</w:t>
      </w:r>
      <w:r w:rsidRPr="00B562A7">
        <w:rPr>
          <w:rFonts w:ascii="宋体" w:hAnsi="宋体" w:hint="eastAsia"/>
          <w:sz w:val="24"/>
        </w:rPr>
        <w:t>拟签字注册会计师：</w:t>
      </w:r>
      <w:proofErr w:type="gramStart"/>
      <w:r w:rsidRPr="00B562A7">
        <w:rPr>
          <w:rFonts w:ascii="宋体" w:hAnsi="宋体" w:hint="eastAsia"/>
          <w:sz w:val="24"/>
        </w:rPr>
        <w:t>孙业亮</w:t>
      </w:r>
      <w:proofErr w:type="gramEnd"/>
    </w:p>
    <w:p w:rsidR="00B562A7" w:rsidRPr="00B562A7" w:rsidRDefault="00B562A7" w:rsidP="00B562A7">
      <w:pPr>
        <w:spacing w:line="360" w:lineRule="auto"/>
        <w:ind w:firstLine="540"/>
        <w:rPr>
          <w:rFonts w:ascii="宋体" w:hAnsi="宋体"/>
          <w:sz w:val="24"/>
        </w:rPr>
      </w:pPr>
      <w:r w:rsidRPr="00B562A7">
        <w:rPr>
          <w:rFonts w:ascii="宋体" w:hAnsi="宋体" w:hint="eastAsia"/>
          <w:sz w:val="24"/>
        </w:rPr>
        <w:lastRenderedPageBreak/>
        <w:t>执业资质：注册会计师、注册税务师</w:t>
      </w:r>
    </w:p>
    <w:p w:rsidR="00B562A7" w:rsidRPr="00B562A7" w:rsidRDefault="00B562A7" w:rsidP="00B562A7">
      <w:pPr>
        <w:spacing w:line="360" w:lineRule="auto"/>
        <w:ind w:firstLine="540"/>
        <w:rPr>
          <w:rFonts w:ascii="宋体" w:hAnsi="宋体"/>
          <w:sz w:val="24"/>
        </w:rPr>
      </w:pPr>
      <w:r w:rsidRPr="00B562A7">
        <w:rPr>
          <w:rFonts w:ascii="宋体" w:hAnsi="宋体" w:hint="eastAsia"/>
          <w:sz w:val="24"/>
        </w:rPr>
        <w:t>从业经历：自2006年10月开始从事审计行业，具备10年审计经验，主要从事资本市场相关服务，负责过的主要项目包括：江苏吴中、海伦钢琴、话机世界、海力股份。</w:t>
      </w:r>
    </w:p>
    <w:p w:rsidR="00B562A7" w:rsidRPr="00B562A7" w:rsidRDefault="00B562A7" w:rsidP="00B562A7">
      <w:pPr>
        <w:spacing w:line="360" w:lineRule="auto"/>
        <w:ind w:firstLine="540"/>
        <w:rPr>
          <w:rFonts w:ascii="宋体" w:hAnsi="宋体"/>
          <w:sz w:val="24"/>
        </w:rPr>
      </w:pPr>
      <w:r w:rsidRPr="00B562A7">
        <w:rPr>
          <w:rFonts w:ascii="宋体" w:hAnsi="宋体" w:hint="eastAsia"/>
          <w:sz w:val="24"/>
        </w:rPr>
        <w:t>兼职情况：无</w:t>
      </w:r>
    </w:p>
    <w:p w:rsidR="00B562A7" w:rsidRPr="00B562A7" w:rsidRDefault="00B562A7" w:rsidP="00B562A7">
      <w:pPr>
        <w:spacing w:line="360" w:lineRule="auto"/>
        <w:ind w:firstLine="540"/>
        <w:rPr>
          <w:rFonts w:ascii="宋体" w:hAnsi="宋体"/>
          <w:sz w:val="24"/>
        </w:rPr>
      </w:pPr>
      <w:r w:rsidRPr="00B562A7">
        <w:rPr>
          <w:rFonts w:ascii="宋体" w:hAnsi="宋体" w:hint="eastAsia"/>
          <w:sz w:val="24"/>
        </w:rPr>
        <w:t>从事证券业务的年限：5年</w:t>
      </w:r>
    </w:p>
    <w:p w:rsidR="00B562A7" w:rsidRDefault="00B562A7" w:rsidP="00B562A7">
      <w:pPr>
        <w:spacing w:line="360" w:lineRule="auto"/>
        <w:ind w:firstLine="540"/>
        <w:rPr>
          <w:rFonts w:ascii="宋体" w:hAnsi="宋体"/>
          <w:sz w:val="24"/>
        </w:rPr>
      </w:pPr>
      <w:r w:rsidRPr="00B562A7">
        <w:rPr>
          <w:rFonts w:ascii="宋体" w:hAnsi="宋体" w:hint="eastAsia"/>
          <w:sz w:val="24"/>
        </w:rPr>
        <w:t>是否具备专业胜任能力：是</w:t>
      </w:r>
    </w:p>
    <w:p w:rsidR="00E73DAA" w:rsidRDefault="00E73DAA" w:rsidP="00E73DAA">
      <w:pPr>
        <w:spacing w:line="360" w:lineRule="auto"/>
        <w:ind w:firstLine="540"/>
        <w:rPr>
          <w:rFonts w:ascii="宋体" w:hAnsi="宋体"/>
          <w:sz w:val="24"/>
        </w:rPr>
      </w:pPr>
      <w:r w:rsidRPr="00E73DAA">
        <w:rPr>
          <w:rFonts w:ascii="宋体" w:hAnsi="宋体" w:hint="eastAsia"/>
          <w:sz w:val="24"/>
        </w:rPr>
        <w:t>2</w:t>
      </w:r>
      <w:r w:rsidR="004A01A5">
        <w:rPr>
          <w:rFonts w:ascii="宋体" w:hAnsi="宋体" w:hint="eastAsia"/>
          <w:sz w:val="24"/>
        </w:rPr>
        <w:t>、</w:t>
      </w:r>
      <w:r w:rsidR="00B562A7">
        <w:rPr>
          <w:rFonts w:ascii="宋体" w:hAnsi="宋体" w:hint="eastAsia"/>
          <w:sz w:val="24"/>
        </w:rPr>
        <w:t>上述相关人员的独立性和诚信记录情况</w:t>
      </w:r>
    </w:p>
    <w:p w:rsidR="00817B01" w:rsidRPr="00E73DAA" w:rsidRDefault="00B562A7" w:rsidP="00E73DAA">
      <w:pPr>
        <w:spacing w:line="360" w:lineRule="auto"/>
        <w:ind w:firstLine="540"/>
        <w:rPr>
          <w:rFonts w:ascii="宋体" w:hAnsi="宋体"/>
          <w:sz w:val="24"/>
        </w:rPr>
      </w:pPr>
      <w:r w:rsidRPr="00B562A7">
        <w:rPr>
          <w:rFonts w:ascii="宋体" w:hAnsi="宋体" w:hint="eastAsia"/>
          <w:sz w:val="24"/>
        </w:rPr>
        <w:t>项目合伙人汤洋、拟签字会计师孙业亮及质量控制复核人</w:t>
      </w:r>
      <w:proofErr w:type="gramStart"/>
      <w:r w:rsidRPr="00B562A7">
        <w:rPr>
          <w:rFonts w:ascii="宋体" w:hAnsi="宋体" w:hint="eastAsia"/>
          <w:sz w:val="24"/>
        </w:rPr>
        <w:t>李会英不</w:t>
      </w:r>
      <w:proofErr w:type="gramEnd"/>
      <w:r w:rsidRPr="00B562A7">
        <w:rPr>
          <w:rFonts w:ascii="宋体" w:hAnsi="宋体" w:hint="eastAsia"/>
          <w:sz w:val="24"/>
        </w:rPr>
        <w:t>存在违反《中国注册会计师职业道德守则》对独立性要求的情形，最近三年无任何刑事处罚、行政处罚、行政监管措施和自律监管措施记录。</w:t>
      </w:r>
    </w:p>
    <w:p w:rsidR="00E73DAA" w:rsidRPr="00E73DAA" w:rsidRDefault="00E73DAA" w:rsidP="00E73DAA">
      <w:pPr>
        <w:spacing w:line="360" w:lineRule="auto"/>
        <w:ind w:firstLine="540"/>
        <w:rPr>
          <w:rFonts w:ascii="宋体" w:hAnsi="宋体"/>
          <w:sz w:val="24"/>
        </w:rPr>
      </w:pPr>
      <w:r w:rsidRPr="00E73DAA">
        <w:rPr>
          <w:rFonts w:ascii="宋体" w:hAnsi="宋体" w:hint="eastAsia"/>
          <w:sz w:val="24"/>
        </w:rPr>
        <w:t>（三）审计收费</w:t>
      </w:r>
    </w:p>
    <w:p w:rsidR="00F032CF" w:rsidRPr="006D33D8" w:rsidRDefault="00345027" w:rsidP="007507C1">
      <w:pPr>
        <w:spacing w:line="360" w:lineRule="auto"/>
        <w:ind w:firstLine="540"/>
        <w:rPr>
          <w:rFonts w:ascii="宋体" w:hAnsi="宋体"/>
          <w:sz w:val="24"/>
        </w:rPr>
      </w:pPr>
      <w:r w:rsidRPr="006D33D8">
        <w:rPr>
          <w:rFonts w:ascii="宋体" w:hAnsi="宋体" w:hint="eastAsia"/>
          <w:sz w:val="24"/>
        </w:rPr>
        <w:t>根据</w:t>
      </w:r>
      <w:r w:rsidR="002E3664" w:rsidRPr="006D33D8">
        <w:rPr>
          <w:rFonts w:ascii="宋体" w:hAnsi="宋体" w:hint="eastAsia"/>
          <w:sz w:val="24"/>
        </w:rPr>
        <w:t>报告期内</w:t>
      </w:r>
      <w:r w:rsidRPr="006D33D8">
        <w:rPr>
          <w:rFonts w:ascii="宋体" w:hAnsi="宋体" w:hint="eastAsia"/>
          <w:sz w:val="24"/>
        </w:rPr>
        <w:t>审计工作量及公允合理的定价原则确定年度审计费用，预计支付中汇2019年度审计费用合计180万元（其中财务报告审计费用为150万元，内部控制审计费用为30万元）</w:t>
      </w:r>
      <w:r w:rsidR="008B050D" w:rsidRPr="006D33D8">
        <w:rPr>
          <w:rFonts w:ascii="宋体" w:hAnsi="宋体" w:hint="eastAsia"/>
          <w:sz w:val="24"/>
        </w:rPr>
        <w:t>，上述</w:t>
      </w:r>
      <w:r w:rsidR="00463A87" w:rsidRPr="006D33D8">
        <w:rPr>
          <w:rFonts w:ascii="宋体" w:hAnsi="宋体" w:hint="eastAsia"/>
          <w:sz w:val="24"/>
        </w:rPr>
        <w:t>审计费用已经公司2020年3月12日召开的第九届董事会第八次会议审议通过，尚需提交</w:t>
      </w:r>
      <w:r w:rsidR="006D33D8">
        <w:rPr>
          <w:rFonts w:ascii="宋体" w:hAnsi="宋体" w:hint="eastAsia"/>
          <w:sz w:val="24"/>
        </w:rPr>
        <w:t>公司</w:t>
      </w:r>
      <w:r w:rsidR="00463A87" w:rsidRPr="006D33D8">
        <w:rPr>
          <w:rFonts w:ascii="宋体" w:hAnsi="宋体" w:hint="eastAsia"/>
          <w:sz w:val="24"/>
        </w:rPr>
        <w:t>股东大会审议</w:t>
      </w:r>
      <w:r w:rsidRPr="006D33D8">
        <w:rPr>
          <w:rFonts w:ascii="宋体" w:hAnsi="宋体" w:hint="eastAsia"/>
          <w:sz w:val="24"/>
        </w:rPr>
        <w:t>。</w:t>
      </w:r>
      <w:r w:rsidR="00226381" w:rsidRPr="006D33D8">
        <w:rPr>
          <w:rFonts w:ascii="宋体" w:hAnsi="宋体" w:hint="eastAsia"/>
          <w:sz w:val="24"/>
        </w:rPr>
        <w:t>2020年度审计费用将以2019年度审计费用为基础，按照市场公允合理的定价原则以及审计服务的性质、繁简程度等情况，与会计师事务所协商确定</w:t>
      </w:r>
      <w:r w:rsidR="002E3664" w:rsidRPr="006D33D8">
        <w:rPr>
          <w:rFonts w:ascii="宋体" w:hAnsi="宋体" w:hint="eastAsia"/>
          <w:sz w:val="24"/>
        </w:rPr>
        <w:t>，并履行相关决策程序</w:t>
      </w:r>
      <w:r w:rsidR="00226381" w:rsidRPr="006D33D8">
        <w:rPr>
          <w:rFonts w:ascii="宋体" w:hAnsi="宋体" w:hint="eastAsia"/>
          <w:sz w:val="24"/>
        </w:rPr>
        <w:t>。</w:t>
      </w:r>
    </w:p>
    <w:p w:rsidR="00817B01" w:rsidRPr="00817B01" w:rsidRDefault="00817B01" w:rsidP="00817B01">
      <w:pPr>
        <w:spacing w:line="360" w:lineRule="auto"/>
        <w:ind w:firstLine="540"/>
        <w:rPr>
          <w:rFonts w:ascii="宋体" w:hAnsi="宋体"/>
          <w:b/>
          <w:sz w:val="24"/>
        </w:rPr>
      </w:pPr>
      <w:r w:rsidRPr="00817B01">
        <w:rPr>
          <w:rFonts w:ascii="宋体" w:hAnsi="宋体" w:hint="eastAsia"/>
          <w:b/>
          <w:sz w:val="24"/>
        </w:rPr>
        <w:t>二、拟续聘会计事务所履行的程序</w:t>
      </w:r>
    </w:p>
    <w:p w:rsidR="00817B01" w:rsidRDefault="00817B01" w:rsidP="00817B01">
      <w:pPr>
        <w:spacing w:line="360" w:lineRule="auto"/>
        <w:ind w:firstLine="540"/>
        <w:rPr>
          <w:rFonts w:ascii="宋体" w:hAnsi="宋体"/>
          <w:sz w:val="24"/>
        </w:rPr>
      </w:pPr>
      <w:r w:rsidRPr="00817B01">
        <w:rPr>
          <w:rFonts w:ascii="宋体" w:hAnsi="宋体" w:hint="eastAsia"/>
          <w:sz w:val="24"/>
        </w:rPr>
        <w:t>（一）审计委员会在</w:t>
      </w:r>
      <w:r w:rsidR="00207C98">
        <w:rPr>
          <w:rFonts w:ascii="宋体" w:hAnsi="宋体" w:hint="eastAsia"/>
          <w:sz w:val="24"/>
        </w:rPr>
        <w:t>续聘</w:t>
      </w:r>
      <w:r w:rsidRPr="00817B01">
        <w:rPr>
          <w:rFonts w:ascii="宋体" w:hAnsi="宋体" w:hint="eastAsia"/>
          <w:sz w:val="24"/>
        </w:rPr>
        <w:t>会计师事务所过程中的履职情况及审查意见</w:t>
      </w:r>
    </w:p>
    <w:p w:rsidR="00817B01" w:rsidRDefault="002E17DB" w:rsidP="00A66838">
      <w:pPr>
        <w:spacing w:line="360" w:lineRule="auto"/>
        <w:ind w:firstLine="540"/>
        <w:rPr>
          <w:rFonts w:ascii="宋体" w:hAnsi="宋体"/>
          <w:sz w:val="24"/>
        </w:rPr>
      </w:pPr>
      <w:r>
        <w:rPr>
          <w:rFonts w:ascii="宋体" w:hAnsi="宋体" w:hint="eastAsia"/>
          <w:sz w:val="24"/>
        </w:rPr>
        <w:t>公司董事会审计委员会</w:t>
      </w:r>
      <w:r w:rsidR="00A66838">
        <w:rPr>
          <w:rFonts w:ascii="宋体" w:hAnsi="宋体" w:hint="eastAsia"/>
          <w:sz w:val="24"/>
        </w:rPr>
        <w:t>认为</w:t>
      </w:r>
      <w:r w:rsidR="0036359C">
        <w:rPr>
          <w:rFonts w:ascii="宋体" w:hAnsi="宋体" w:hint="eastAsia"/>
          <w:sz w:val="24"/>
        </w:rPr>
        <w:t>中汇</w:t>
      </w:r>
      <w:r w:rsidR="00A66838" w:rsidRPr="00A66838">
        <w:rPr>
          <w:rFonts w:ascii="宋体" w:hAnsi="宋体" w:hint="eastAsia"/>
          <w:sz w:val="24"/>
        </w:rPr>
        <w:t>会计师事务所所有执行审计业务的人员，在公司审计期间未获取除审计业务约定书约定以外的任何现金及其他任何形式经济利益，会计师事务所及审计成员遵守了职业道德基本原则中关于保持独立性的要求。审计组成人员具有承办本次审计业务所必需的专业知识和相关的任职资格，能够胜任本次审计工作，同时也能保持应有的关注和职业谨慎性。根据其</w:t>
      </w:r>
      <w:r w:rsidR="00D45300">
        <w:rPr>
          <w:rFonts w:ascii="宋体" w:hAnsi="宋体" w:hint="eastAsia"/>
          <w:sz w:val="24"/>
        </w:rPr>
        <w:t>2019</w:t>
      </w:r>
      <w:r w:rsidR="00A66838" w:rsidRPr="00A66838">
        <w:rPr>
          <w:rFonts w:ascii="宋体" w:hAnsi="宋体" w:hint="eastAsia"/>
          <w:sz w:val="24"/>
        </w:rPr>
        <w:t>年度的审计工作情况及服务意识、职业操守和</w:t>
      </w:r>
      <w:proofErr w:type="gramStart"/>
      <w:r w:rsidR="00A66838" w:rsidRPr="00A66838">
        <w:rPr>
          <w:rFonts w:ascii="宋体" w:hAnsi="宋体" w:hint="eastAsia"/>
          <w:sz w:val="24"/>
        </w:rPr>
        <w:t>履职能</w:t>
      </w:r>
      <w:proofErr w:type="gramEnd"/>
      <w:r w:rsidR="00A66838" w:rsidRPr="00A66838">
        <w:rPr>
          <w:rFonts w:ascii="宋体" w:hAnsi="宋体" w:hint="eastAsia"/>
          <w:sz w:val="24"/>
        </w:rPr>
        <w:t>力，提议续聘中汇会计师事务所（特殊普通合伙）作为本公司2020年度财务报告及内部控制审计机构，聘期一年</w:t>
      </w:r>
      <w:r w:rsidR="00A66838">
        <w:rPr>
          <w:rFonts w:ascii="宋体" w:hAnsi="宋体" w:hint="eastAsia"/>
          <w:sz w:val="24"/>
        </w:rPr>
        <w:t>，同意将《</w:t>
      </w:r>
      <w:r w:rsidR="00A66838" w:rsidRPr="00A66838">
        <w:rPr>
          <w:rFonts w:ascii="宋体" w:hAnsi="宋体" w:hint="eastAsia"/>
          <w:sz w:val="24"/>
        </w:rPr>
        <w:t>江苏吴中实业股份有限公司董事会审计委员会关于2019年度审计工作的评价和2020年度续聘会计师事务所的议案</w:t>
      </w:r>
      <w:r w:rsidR="00A66838">
        <w:rPr>
          <w:rFonts w:ascii="宋体" w:hAnsi="宋体" w:hint="eastAsia"/>
          <w:sz w:val="24"/>
        </w:rPr>
        <w:t>》提交公司董事会审</w:t>
      </w:r>
      <w:r w:rsidR="00A66838">
        <w:rPr>
          <w:rFonts w:ascii="宋体" w:hAnsi="宋体" w:hint="eastAsia"/>
          <w:sz w:val="24"/>
        </w:rPr>
        <w:lastRenderedPageBreak/>
        <w:t>议。</w:t>
      </w:r>
    </w:p>
    <w:p w:rsidR="00817B01" w:rsidRDefault="00817B01" w:rsidP="00817B01">
      <w:pPr>
        <w:spacing w:line="360" w:lineRule="auto"/>
        <w:ind w:firstLine="540"/>
        <w:rPr>
          <w:rFonts w:ascii="宋体" w:hAnsi="宋体"/>
          <w:sz w:val="24"/>
        </w:rPr>
      </w:pPr>
      <w:r w:rsidRPr="00817B01">
        <w:rPr>
          <w:rFonts w:ascii="宋体" w:hAnsi="宋体" w:hint="eastAsia"/>
          <w:sz w:val="24"/>
        </w:rPr>
        <w:t>（二）独立董事关于本次</w:t>
      </w:r>
      <w:r w:rsidR="00207C98">
        <w:rPr>
          <w:rFonts w:ascii="宋体" w:hAnsi="宋体" w:hint="eastAsia"/>
          <w:sz w:val="24"/>
        </w:rPr>
        <w:t>续聘</w:t>
      </w:r>
      <w:r w:rsidR="00207C98" w:rsidRPr="00817B01">
        <w:rPr>
          <w:rFonts w:ascii="宋体" w:hAnsi="宋体" w:hint="eastAsia"/>
          <w:sz w:val="24"/>
        </w:rPr>
        <w:t>会计师事务所</w:t>
      </w:r>
      <w:r w:rsidRPr="00817B01">
        <w:rPr>
          <w:rFonts w:ascii="宋体" w:hAnsi="宋体" w:hint="eastAsia"/>
          <w:sz w:val="24"/>
        </w:rPr>
        <w:t>的事前认可及独立意见</w:t>
      </w:r>
    </w:p>
    <w:p w:rsidR="00817B01" w:rsidRDefault="0083330B" w:rsidP="00817B01">
      <w:pPr>
        <w:spacing w:line="360" w:lineRule="auto"/>
        <w:ind w:firstLine="540"/>
        <w:rPr>
          <w:rFonts w:ascii="宋体" w:hAnsi="宋体"/>
          <w:sz w:val="24"/>
        </w:rPr>
      </w:pPr>
      <w:r>
        <w:rPr>
          <w:rFonts w:ascii="宋体" w:hAnsi="宋体" w:hint="eastAsia"/>
          <w:sz w:val="24"/>
        </w:rPr>
        <w:t>独立董事事前认可意见：</w:t>
      </w:r>
      <w:r w:rsidRPr="0083330B">
        <w:rPr>
          <w:rFonts w:ascii="宋体" w:hAnsi="宋体" w:hint="eastAsia"/>
          <w:sz w:val="24"/>
        </w:rPr>
        <w:t>公司拟续聘会计师事务所的审议程序符合有关法律、法规和《公司章程》 的规定；中汇会计师事务所（特殊普通合伙）具备证券、期货相关业务执业资格，具备为上市公司提供审计服务的经验和能力，能够为公司提供真实公允的审计服务，满足公司2020年度财务和内部控制审计工作的要求；公司此次续聘会计师事务所不会损害公司和全体股东的利益，不存在侵害中小股东利益的情形。综上，我们同意将该议案提交公司第九届董事会第八次会议</w:t>
      </w:r>
      <w:r>
        <w:rPr>
          <w:rFonts w:ascii="宋体" w:hAnsi="宋体" w:hint="eastAsia"/>
          <w:sz w:val="24"/>
        </w:rPr>
        <w:t>进行审议。</w:t>
      </w:r>
    </w:p>
    <w:p w:rsidR="0083330B" w:rsidRPr="0083330B" w:rsidRDefault="0083330B" w:rsidP="00817B01">
      <w:pPr>
        <w:spacing w:line="360" w:lineRule="auto"/>
        <w:ind w:firstLine="540"/>
        <w:rPr>
          <w:rFonts w:ascii="宋体" w:hAnsi="宋体"/>
          <w:sz w:val="24"/>
        </w:rPr>
      </w:pPr>
      <w:r>
        <w:rPr>
          <w:rFonts w:ascii="宋体" w:hAnsi="宋体" w:hint="eastAsia"/>
          <w:sz w:val="24"/>
        </w:rPr>
        <w:t>独立董事意见：</w:t>
      </w:r>
      <w:r w:rsidRPr="0083330B">
        <w:rPr>
          <w:rFonts w:ascii="宋体" w:hAnsi="宋体" w:hint="eastAsia"/>
          <w:sz w:val="24"/>
        </w:rPr>
        <w:t>中汇会计师事务所（特殊普通合伙）具备证券从业资格，具备为公司提供审计服务的经验与能力，能够满足公司审计工作要求，不会损害公司和全体股东的利益。中汇会计师事务所（特殊普通合伙）在担任公司财务报告及内部控制审计机构期间，工作勤勉尽责，独立、客观、公正，具备继续为公司提供年度审计服务的能力和要求；我们同意继续聘任中汇会计师事务所（特殊普通合伙）担任公司2020年度的财务报告及内部控制审计机构，并同意将该事项提交公司股东大会审议。</w:t>
      </w:r>
    </w:p>
    <w:p w:rsidR="00817B01" w:rsidRDefault="00817B01" w:rsidP="00817B01">
      <w:pPr>
        <w:spacing w:line="360" w:lineRule="auto"/>
        <w:ind w:firstLine="540"/>
        <w:rPr>
          <w:rFonts w:ascii="宋体" w:hAnsi="宋体"/>
          <w:sz w:val="24"/>
        </w:rPr>
      </w:pPr>
      <w:r w:rsidRPr="00817B01">
        <w:rPr>
          <w:rFonts w:ascii="宋体" w:hAnsi="宋体" w:hint="eastAsia"/>
          <w:sz w:val="24"/>
        </w:rPr>
        <w:t>（三）董事会对本次</w:t>
      </w:r>
      <w:r w:rsidR="00207C98">
        <w:rPr>
          <w:rFonts w:ascii="宋体" w:hAnsi="宋体" w:hint="eastAsia"/>
          <w:sz w:val="24"/>
        </w:rPr>
        <w:t>续聘</w:t>
      </w:r>
      <w:r w:rsidR="00207C98" w:rsidRPr="00817B01">
        <w:rPr>
          <w:rFonts w:ascii="宋体" w:hAnsi="宋体" w:hint="eastAsia"/>
          <w:sz w:val="24"/>
        </w:rPr>
        <w:t>会计师事务所</w:t>
      </w:r>
      <w:r w:rsidR="00207C98">
        <w:rPr>
          <w:rFonts w:ascii="宋体" w:hAnsi="宋体" w:hint="eastAsia"/>
          <w:sz w:val="24"/>
        </w:rPr>
        <w:t>相关议案的审议和表决情况</w:t>
      </w:r>
    </w:p>
    <w:p w:rsidR="00817B01" w:rsidRDefault="00E13E1C" w:rsidP="00817B01">
      <w:pPr>
        <w:spacing w:line="360" w:lineRule="auto"/>
        <w:ind w:firstLine="540"/>
        <w:rPr>
          <w:rFonts w:ascii="宋体" w:hAnsi="宋体"/>
          <w:sz w:val="24"/>
        </w:rPr>
      </w:pPr>
      <w:r>
        <w:rPr>
          <w:rFonts w:ascii="宋体" w:hAnsi="宋体" w:hint="eastAsia"/>
          <w:sz w:val="24"/>
        </w:rPr>
        <w:t>2020年3月12日，公司召开第九届董事会第八次会议，以全票同意审议通过了《</w:t>
      </w:r>
      <w:r w:rsidRPr="00E13E1C">
        <w:rPr>
          <w:rFonts w:ascii="宋体" w:hAnsi="宋体" w:hint="eastAsia"/>
          <w:sz w:val="24"/>
        </w:rPr>
        <w:t>江苏吴中实业股份有限公司董事会审计委员会关于2019年度审计工作的评价和2020年度续聘会计师事务所的议案</w:t>
      </w:r>
      <w:r>
        <w:rPr>
          <w:rFonts w:ascii="宋体" w:hAnsi="宋体" w:hint="eastAsia"/>
          <w:sz w:val="24"/>
        </w:rPr>
        <w:t>》，同意续聘</w:t>
      </w:r>
      <w:r w:rsidRPr="00E13E1C">
        <w:rPr>
          <w:rFonts w:ascii="宋体" w:hAnsi="宋体" w:hint="eastAsia"/>
          <w:sz w:val="24"/>
        </w:rPr>
        <w:t>中汇会计师事务所（特殊普通合伙）作为本公司2020年度财务报告及内部控制审计机构，聘期一年。</w:t>
      </w:r>
    </w:p>
    <w:p w:rsidR="00817B01" w:rsidRDefault="00817B01" w:rsidP="00817B01">
      <w:pPr>
        <w:spacing w:line="360" w:lineRule="auto"/>
        <w:ind w:firstLine="540"/>
        <w:rPr>
          <w:rFonts w:ascii="宋体" w:hAnsi="宋体"/>
          <w:sz w:val="24"/>
        </w:rPr>
      </w:pPr>
      <w:r w:rsidRPr="00817B01">
        <w:rPr>
          <w:rFonts w:ascii="宋体" w:hAnsi="宋体" w:hint="eastAsia"/>
          <w:sz w:val="24"/>
        </w:rPr>
        <w:t>（四）本次</w:t>
      </w:r>
      <w:r w:rsidR="00207C98">
        <w:rPr>
          <w:rFonts w:ascii="宋体" w:hAnsi="宋体" w:hint="eastAsia"/>
          <w:sz w:val="24"/>
        </w:rPr>
        <w:t>续聘</w:t>
      </w:r>
      <w:r w:rsidRPr="00817B01">
        <w:rPr>
          <w:rFonts w:ascii="宋体" w:hAnsi="宋体" w:hint="eastAsia"/>
          <w:sz w:val="24"/>
        </w:rPr>
        <w:t>会计师事务所事项尚需提交公司股东大会审议，并自公司股东大会审议通过之日起生效。</w:t>
      </w:r>
    </w:p>
    <w:p w:rsidR="00867EC2" w:rsidRPr="002D2330" w:rsidRDefault="00867EC2" w:rsidP="00867EC2">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0A47DF" w:rsidRDefault="000A47DF" w:rsidP="00867EC2">
      <w:pPr>
        <w:spacing w:line="360" w:lineRule="auto"/>
        <w:ind w:firstLineChars="1800" w:firstLine="4320"/>
        <w:jc w:val="right"/>
        <w:rPr>
          <w:rFonts w:ascii="宋体" w:hAnsi="宋体"/>
          <w:sz w:val="24"/>
        </w:rPr>
      </w:pPr>
    </w:p>
    <w:p w:rsidR="00867EC2" w:rsidRDefault="00867EC2" w:rsidP="00867EC2">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867EC2" w:rsidRDefault="00867EC2" w:rsidP="00867EC2">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867EC2" w:rsidRDefault="00867EC2" w:rsidP="00867EC2">
      <w:pPr>
        <w:spacing w:line="360" w:lineRule="auto"/>
        <w:ind w:firstLineChars="2175" w:firstLine="5220"/>
        <w:jc w:val="right"/>
        <w:rPr>
          <w:rFonts w:ascii="宋体" w:hAnsi="宋体"/>
          <w:sz w:val="24"/>
        </w:rPr>
      </w:pPr>
      <w:r w:rsidRPr="00A3746E">
        <w:rPr>
          <w:rFonts w:ascii="宋体" w:hAnsi="宋体" w:hint="eastAsia"/>
          <w:sz w:val="24"/>
        </w:rPr>
        <w:t>20</w:t>
      </w:r>
      <w:r w:rsidR="007507C1">
        <w:rPr>
          <w:rFonts w:ascii="宋体" w:hAnsi="宋体" w:hint="eastAsia"/>
          <w:sz w:val="24"/>
        </w:rPr>
        <w:t>20</w:t>
      </w:r>
      <w:r w:rsidRPr="00A3746E">
        <w:rPr>
          <w:rFonts w:ascii="宋体" w:hAnsi="宋体" w:hint="eastAsia"/>
          <w:sz w:val="24"/>
        </w:rPr>
        <w:t>年</w:t>
      </w:r>
      <w:r w:rsidR="007507C1">
        <w:rPr>
          <w:rFonts w:ascii="宋体" w:hAnsi="宋体" w:hint="eastAsia"/>
          <w:sz w:val="24"/>
        </w:rPr>
        <w:t>3</w:t>
      </w:r>
      <w:r w:rsidRPr="00A3746E">
        <w:rPr>
          <w:rFonts w:ascii="宋体" w:hAnsi="宋体" w:hint="eastAsia"/>
          <w:sz w:val="24"/>
        </w:rPr>
        <w:t>月</w:t>
      </w:r>
      <w:r w:rsidR="007507C1">
        <w:rPr>
          <w:rFonts w:ascii="宋体" w:hAnsi="宋体" w:hint="eastAsia"/>
          <w:sz w:val="24"/>
        </w:rPr>
        <w:t>16</w:t>
      </w:r>
      <w:r w:rsidRPr="00A3746E">
        <w:rPr>
          <w:rFonts w:ascii="宋体" w:hAnsi="宋体" w:hint="eastAsia"/>
          <w:sz w:val="24"/>
        </w:rPr>
        <w:t>日</w:t>
      </w:r>
    </w:p>
    <w:sectPr w:rsidR="00867E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A04" w:rsidRDefault="00F86A04" w:rsidP="00B825D8">
      <w:r>
        <w:separator/>
      </w:r>
    </w:p>
  </w:endnote>
  <w:endnote w:type="continuationSeparator" w:id="0">
    <w:p w:rsidR="00F86A04" w:rsidRDefault="00F86A04" w:rsidP="00B8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A04" w:rsidRDefault="00F86A04" w:rsidP="00B825D8">
      <w:r>
        <w:separator/>
      </w:r>
    </w:p>
  </w:footnote>
  <w:footnote w:type="continuationSeparator" w:id="0">
    <w:p w:rsidR="00F86A04" w:rsidRDefault="00F86A04" w:rsidP="00B82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067"/>
    <w:multiLevelType w:val="singleLevel"/>
    <w:tmpl w:val="04090001"/>
    <w:lvl w:ilvl="0">
      <w:start w:val="1"/>
      <w:numFmt w:val="bullet"/>
      <w:lvlText w:val=""/>
      <w:lvlJc w:val="left"/>
      <w:pPr>
        <w:tabs>
          <w:tab w:val="num"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784"/>
    <w:rsid w:val="00014D70"/>
    <w:rsid w:val="0003171D"/>
    <w:rsid w:val="000377FA"/>
    <w:rsid w:val="000A47DF"/>
    <w:rsid w:val="000B2840"/>
    <w:rsid w:val="000B471C"/>
    <w:rsid w:val="000C1EBF"/>
    <w:rsid w:val="000C334F"/>
    <w:rsid w:val="000D5160"/>
    <w:rsid w:val="00115DE0"/>
    <w:rsid w:val="00125EB5"/>
    <w:rsid w:val="00141A30"/>
    <w:rsid w:val="0014235B"/>
    <w:rsid w:val="001449C0"/>
    <w:rsid w:val="00167B35"/>
    <w:rsid w:val="00184711"/>
    <w:rsid w:val="001A6F91"/>
    <w:rsid w:val="001E24B1"/>
    <w:rsid w:val="00207C98"/>
    <w:rsid w:val="00226381"/>
    <w:rsid w:val="00241269"/>
    <w:rsid w:val="002442A3"/>
    <w:rsid w:val="00244CA8"/>
    <w:rsid w:val="0025726D"/>
    <w:rsid w:val="0025795B"/>
    <w:rsid w:val="0027220C"/>
    <w:rsid w:val="002808AB"/>
    <w:rsid w:val="002B7CCB"/>
    <w:rsid w:val="002D2369"/>
    <w:rsid w:val="002E17DB"/>
    <w:rsid w:val="002E3664"/>
    <w:rsid w:val="00324EB8"/>
    <w:rsid w:val="00345027"/>
    <w:rsid w:val="0036359C"/>
    <w:rsid w:val="003870CC"/>
    <w:rsid w:val="003B5345"/>
    <w:rsid w:val="003D3FFF"/>
    <w:rsid w:val="003E355B"/>
    <w:rsid w:val="003E611D"/>
    <w:rsid w:val="004502F4"/>
    <w:rsid w:val="00463A87"/>
    <w:rsid w:val="004A01A5"/>
    <w:rsid w:val="004E363D"/>
    <w:rsid w:val="004F1F15"/>
    <w:rsid w:val="00515F09"/>
    <w:rsid w:val="005712CB"/>
    <w:rsid w:val="00577CBB"/>
    <w:rsid w:val="005A49B9"/>
    <w:rsid w:val="005B4F18"/>
    <w:rsid w:val="005C3668"/>
    <w:rsid w:val="005F7FC6"/>
    <w:rsid w:val="0060613D"/>
    <w:rsid w:val="00613790"/>
    <w:rsid w:val="00615D49"/>
    <w:rsid w:val="006412D7"/>
    <w:rsid w:val="00662769"/>
    <w:rsid w:val="00683AED"/>
    <w:rsid w:val="00695D72"/>
    <w:rsid w:val="006B197C"/>
    <w:rsid w:val="006B29CA"/>
    <w:rsid w:val="006B2B65"/>
    <w:rsid w:val="006C5D79"/>
    <w:rsid w:val="006D33D8"/>
    <w:rsid w:val="006D7E73"/>
    <w:rsid w:val="006E36D5"/>
    <w:rsid w:val="006F165C"/>
    <w:rsid w:val="007014FC"/>
    <w:rsid w:val="007134BF"/>
    <w:rsid w:val="00730D6E"/>
    <w:rsid w:val="007507C1"/>
    <w:rsid w:val="00794177"/>
    <w:rsid w:val="00802A0A"/>
    <w:rsid w:val="00813FAD"/>
    <w:rsid w:val="00817B01"/>
    <w:rsid w:val="0083330B"/>
    <w:rsid w:val="00855EF2"/>
    <w:rsid w:val="00867EC2"/>
    <w:rsid w:val="00893296"/>
    <w:rsid w:val="008935D4"/>
    <w:rsid w:val="008B050D"/>
    <w:rsid w:val="008C473B"/>
    <w:rsid w:val="008E182A"/>
    <w:rsid w:val="008E57CC"/>
    <w:rsid w:val="008F6AB5"/>
    <w:rsid w:val="0090509B"/>
    <w:rsid w:val="00907D4E"/>
    <w:rsid w:val="00933FA5"/>
    <w:rsid w:val="00955A3F"/>
    <w:rsid w:val="00961C50"/>
    <w:rsid w:val="009626AA"/>
    <w:rsid w:val="00990D42"/>
    <w:rsid w:val="009E123A"/>
    <w:rsid w:val="009E210A"/>
    <w:rsid w:val="00A267F9"/>
    <w:rsid w:val="00A45784"/>
    <w:rsid w:val="00A47C97"/>
    <w:rsid w:val="00A57867"/>
    <w:rsid w:val="00A66838"/>
    <w:rsid w:val="00AA10D4"/>
    <w:rsid w:val="00AA5774"/>
    <w:rsid w:val="00AC7ABF"/>
    <w:rsid w:val="00B07E79"/>
    <w:rsid w:val="00B31A8D"/>
    <w:rsid w:val="00B37E5C"/>
    <w:rsid w:val="00B47F4C"/>
    <w:rsid w:val="00B562A7"/>
    <w:rsid w:val="00B825D8"/>
    <w:rsid w:val="00B93CE6"/>
    <w:rsid w:val="00BB065F"/>
    <w:rsid w:val="00BB5F62"/>
    <w:rsid w:val="00BF2501"/>
    <w:rsid w:val="00BF68F7"/>
    <w:rsid w:val="00C14435"/>
    <w:rsid w:val="00C4428C"/>
    <w:rsid w:val="00C9411D"/>
    <w:rsid w:val="00CA24CA"/>
    <w:rsid w:val="00CC65AD"/>
    <w:rsid w:val="00CD5891"/>
    <w:rsid w:val="00CD6EAB"/>
    <w:rsid w:val="00CE1F4F"/>
    <w:rsid w:val="00CF40EA"/>
    <w:rsid w:val="00D04CBB"/>
    <w:rsid w:val="00D21B8D"/>
    <w:rsid w:val="00D26D15"/>
    <w:rsid w:val="00D37C75"/>
    <w:rsid w:val="00D45281"/>
    <w:rsid w:val="00D45300"/>
    <w:rsid w:val="00D53DC4"/>
    <w:rsid w:val="00D773FE"/>
    <w:rsid w:val="00D90214"/>
    <w:rsid w:val="00D90BC6"/>
    <w:rsid w:val="00E003D0"/>
    <w:rsid w:val="00E025CD"/>
    <w:rsid w:val="00E05034"/>
    <w:rsid w:val="00E05DAC"/>
    <w:rsid w:val="00E13E1C"/>
    <w:rsid w:val="00E220DE"/>
    <w:rsid w:val="00E40DCB"/>
    <w:rsid w:val="00E73DAA"/>
    <w:rsid w:val="00E74755"/>
    <w:rsid w:val="00E9529E"/>
    <w:rsid w:val="00E96761"/>
    <w:rsid w:val="00EA6444"/>
    <w:rsid w:val="00EB7FBA"/>
    <w:rsid w:val="00EF6E03"/>
    <w:rsid w:val="00F032CF"/>
    <w:rsid w:val="00F03FA2"/>
    <w:rsid w:val="00F07EAF"/>
    <w:rsid w:val="00F13AFE"/>
    <w:rsid w:val="00F551C7"/>
    <w:rsid w:val="00F5739B"/>
    <w:rsid w:val="00F632C3"/>
    <w:rsid w:val="00F86A04"/>
    <w:rsid w:val="00F91D7D"/>
    <w:rsid w:val="00FA2B97"/>
    <w:rsid w:val="00FA5496"/>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7EC2"/>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B825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25D8"/>
    <w:rPr>
      <w:rFonts w:ascii="Times New Roman" w:eastAsia="宋体" w:hAnsi="Times New Roman" w:cs="Times New Roman"/>
      <w:sz w:val="18"/>
      <w:szCs w:val="18"/>
    </w:rPr>
  </w:style>
  <w:style w:type="paragraph" w:styleId="a4">
    <w:name w:val="footer"/>
    <w:basedOn w:val="a"/>
    <w:link w:val="Char0"/>
    <w:uiPriority w:val="99"/>
    <w:unhideWhenUsed/>
    <w:rsid w:val="00B825D8"/>
    <w:pPr>
      <w:tabs>
        <w:tab w:val="center" w:pos="4153"/>
        <w:tab w:val="right" w:pos="8306"/>
      </w:tabs>
      <w:snapToGrid w:val="0"/>
      <w:jc w:val="left"/>
    </w:pPr>
    <w:rPr>
      <w:sz w:val="18"/>
      <w:szCs w:val="18"/>
    </w:rPr>
  </w:style>
  <w:style w:type="character" w:customStyle="1" w:styleId="Char0">
    <w:name w:val="页脚 Char"/>
    <w:basedOn w:val="a0"/>
    <w:link w:val="a4"/>
    <w:uiPriority w:val="99"/>
    <w:rsid w:val="00B825D8"/>
    <w:rPr>
      <w:rFonts w:ascii="Times New Roman" w:eastAsia="宋体" w:hAnsi="Times New Roman" w:cs="Times New Roman"/>
      <w:sz w:val="18"/>
      <w:szCs w:val="18"/>
    </w:rPr>
  </w:style>
  <w:style w:type="paragraph" w:styleId="a5">
    <w:name w:val="Balloon Text"/>
    <w:basedOn w:val="a"/>
    <w:link w:val="Char1"/>
    <w:uiPriority w:val="99"/>
    <w:semiHidden/>
    <w:unhideWhenUsed/>
    <w:rsid w:val="00226381"/>
    <w:rPr>
      <w:sz w:val="18"/>
      <w:szCs w:val="18"/>
    </w:rPr>
  </w:style>
  <w:style w:type="character" w:customStyle="1" w:styleId="Char1">
    <w:name w:val="批注框文本 Char"/>
    <w:basedOn w:val="a0"/>
    <w:link w:val="a5"/>
    <w:uiPriority w:val="99"/>
    <w:semiHidden/>
    <w:rsid w:val="00226381"/>
    <w:rPr>
      <w:rFonts w:ascii="Times New Roman" w:eastAsia="宋体" w:hAnsi="Times New Roman" w:cs="Times New Roman"/>
      <w:sz w:val="18"/>
      <w:szCs w:val="18"/>
    </w:rPr>
  </w:style>
  <w:style w:type="paragraph" w:styleId="a6">
    <w:name w:val="List Paragraph"/>
    <w:basedOn w:val="a"/>
    <w:uiPriority w:val="1"/>
    <w:qFormat/>
    <w:rsid w:val="000A47DF"/>
    <w:pPr>
      <w:ind w:left="220" w:firstLine="599"/>
    </w:pPr>
    <w:rPr>
      <w:rFonts w:ascii="宋体" w:hAnsi="宋体" w:cs="宋体"/>
      <w:lang w:val="zh-CN" w:bidi="zh-CN"/>
    </w:rPr>
  </w:style>
  <w:style w:type="table" w:styleId="a7">
    <w:name w:val="Table Grid"/>
    <w:basedOn w:val="a1"/>
    <w:rsid w:val="000A47D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7EC2"/>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B825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25D8"/>
    <w:rPr>
      <w:rFonts w:ascii="Times New Roman" w:eastAsia="宋体" w:hAnsi="Times New Roman" w:cs="Times New Roman"/>
      <w:sz w:val="18"/>
      <w:szCs w:val="18"/>
    </w:rPr>
  </w:style>
  <w:style w:type="paragraph" w:styleId="a4">
    <w:name w:val="footer"/>
    <w:basedOn w:val="a"/>
    <w:link w:val="Char0"/>
    <w:uiPriority w:val="99"/>
    <w:unhideWhenUsed/>
    <w:rsid w:val="00B825D8"/>
    <w:pPr>
      <w:tabs>
        <w:tab w:val="center" w:pos="4153"/>
        <w:tab w:val="right" w:pos="8306"/>
      </w:tabs>
      <w:snapToGrid w:val="0"/>
      <w:jc w:val="left"/>
    </w:pPr>
    <w:rPr>
      <w:sz w:val="18"/>
      <w:szCs w:val="18"/>
    </w:rPr>
  </w:style>
  <w:style w:type="character" w:customStyle="1" w:styleId="Char0">
    <w:name w:val="页脚 Char"/>
    <w:basedOn w:val="a0"/>
    <w:link w:val="a4"/>
    <w:uiPriority w:val="99"/>
    <w:rsid w:val="00B825D8"/>
    <w:rPr>
      <w:rFonts w:ascii="Times New Roman" w:eastAsia="宋体" w:hAnsi="Times New Roman" w:cs="Times New Roman"/>
      <w:sz w:val="18"/>
      <w:szCs w:val="18"/>
    </w:rPr>
  </w:style>
  <w:style w:type="paragraph" w:styleId="a5">
    <w:name w:val="Balloon Text"/>
    <w:basedOn w:val="a"/>
    <w:link w:val="Char1"/>
    <w:uiPriority w:val="99"/>
    <w:semiHidden/>
    <w:unhideWhenUsed/>
    <w:rsid w:val="00226381"/>
    <w:rPr>
      <w:sz w:val="18"/>
      <w:szCs w:val="18"/>
    </w:rPr>
  </w:style>
  <w:style w:type="character" w:customStyle="1" w:styleId="Char1">
    <w:name w:val="批注框文本 Char"/>
    <w:basedOn w:val="a0"/>
    <w:link w:val="a5"/>
    <w:uiPriority w:val="99"/>
    <w:semiHidden/>
    <w:rsid w:val="00226381"/>
    <w:rPr>
      <w:rFonts w:ascii="Times New Roman" w:eastAsia="宋体" w:hAnsi="Times New Roman" w:cs="Times New Roman"/>
      <w:sz w:val="18"/>
      <w:szCs w:val="18"/>
    </w:rPr>
  </w:style>
  <w:style w:type="paragraph" w:styleId="a6">
    <w:name w:val="List Paragraph"/>
    <w:basedOn w:val="a"/>
    <w:uiPriority w:val="1"/>
    <w:qFormat/>
    <w:rsid w:val="000A47DF"/>
    <w:pPr>
      <w:ind w:left="220" w:firstLine="599"/>
    </w:pPr>
    <w:rPr>
      <w:rFonts w:ascii="宋体" w:hAnsi="宋体" w:cs="宋体"/>
      <w:lang w:val="zh-CN" w:bidi="zh-CN"/>
    </w:rPr>
  </w:style>
  <w:style w:type="table" w:styleId="a7">
    <w:name w:val="Table Grid"/>
    <w:basedOn w:val="a1"/>
    <w:rsid w:val="000A47D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546</Words>
  <Characters>3116</Characters>
  <Application>Microsoft Office Word</Application>
  <DocSecurity>0</DocSecurity>
  <Lines>25</Lines>
  <Paragraphs>7</Paragraphs>
  <ScaleCrop>false</ScaleCrop>
  <Company>Microsoft</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李红仙</cp:lastModifiedBy>
  <cp:revision>2</cp:revision>
  <dcterms:created xsi:type="dcterms:W3CDTF">2020-03-12T07:00:00Z</dcterms:created>
  <dcterms:modified xsi:type="dcterms:W3CDTF">2020-03-12T07:00:00Z</dcterms:modified>
</cp:coreProperties>
</file>