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29" w:rsidRPr="001015DE" w:rsidRDefault="00794D29" w:rsidP="00794D29">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D47BA4">
        <w:rPr>
          <w:rFonts w:ascii="宋体" w:hAnsi="宋体" w:cs="Arial" w:hint="eastAsia"/>
          <w:color w:val="000000"/>
          <w:kern w:val="0"/>
          <w:sz w:val="24"/>
        </w:rPr>
        <w:t>公告编号：临201</w:t>
      </w:r>
      <w:r w:rsidR="002B6CBF" w:rsidRPr="00D47BA4">
        <w:rPr>
          <w:rFonts w:ascii="宋体" w:hAnsi="宋体" w:cs="Arial" w:hint="eastAsia"/>
          <w:color w:val="000000"/>
          <w:kern w:val="0"/>
          <w:sz w:val="24"/>
        </w:rPr>
        <w:t>9</w:t>
      </w:r>
      <w:r w:rsidRPr="00D47BA4">
        <w:rPr>
          <w:rFonts w:ascii="宋体" w:hAnsi="宋体" w:cs="Arial" w:hint="eastAsia"/>
          <w:color w:val="000000"/>
          <w:kern w:val="0"/>
          <w:sz w:val="24"/>
        </w:rPr>
        <w:t>-</w:t>
      </w:r>
      <w:r w:rsidR="00D47BA4">
        <w:rPr>
          <w:rFonts w:ascii="宋体" w:hAnsi="宋体" w:cs="Arial" w:hint="eastAsia"/>
          <w:color w:val="000000"/>
          <w:kern w:val="0"/>
          <w:sz w:val="24"/>
        </w:rPr>
        <w:t>017</w:t>
      </w:r>
    </w:p>
    <w:p w:rsidR="00794D29" w:rsidRPr="00AF2112" w:rsidRDefault="00794D29" w:rsidP="00794D29">
      <w:pPr>
        <w:ind w:rightChars="-73" w:right="-153"/>
        <w:jc w:val="center"/>
        <w:rPr>
          <w:rFonts w:ascii="黑体" w:eastAsia="黑体" w:hAnsi="宋体"/>
          <w:b/>
          <w:bCs/>
          <w:color w:val="FF0000"/>
          <w:sz w:val="32"/>
        </w:rPr>
      </w:pPr>
    </w:p>
    <w:p w:rsidR="00822E0C" w:rsidRDefault="00822E0C" w:rsidP="00822E0C">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江苏吴中实业股份有限公司</w:t>
      </w:r>
    </w:p>
    <w:p w:rsidR="00822E0C" w:rsidRDefault="00822E0C" w:rsidP="00822E0C">
      <w:pPr>
        <w:spacing w:line="360" w:lineRule="auto"/>
        <w:jc w:val="center"/>
        <w:rPr>
          <w:rFonts w:ascii="黑体" w:eastAsia="黑体" w:hAnsi="宋体"/>
          <w:b/>
          <w:bCs/>
          <w:color w:val="FF0000"/>
          <w:sz w:val="32"/>
        </w:rPr>
      </w:pPr>
      <w:r>
        <w:rPr>
          <w:rFonts w:ascii="黑体" w:eastAsia="黑体" w:hAnsi="宋体" w:hint="eastAsia"/>
          <w:b/>
          <w:bCs/>
          <w:color w:val="FF0000"/>
          <w:sz w:val="32"/>
        </w:rPr>
        <w:t>关于全资子公司响水恒利达科技化工有限公司</w:t>
      </w:r>
    </w:p>
    <w:p w:rsidR="00794D29" w:rsidRDefault="00822E0C" w:rsidP="00822E0C">
      <w:pPr>
        <w:ind w:rightChars="-73" w:right="-153"/>
        <w:jc w:val="center"/>
        <w:rPr>
          <w:rFonts w:ascii="黑体" w:eastAsia="黑体" w:hAnsi="宋体"/>
          <w:b/>
          <w:bCs/>
          <w:color w:val="FF0000"/>
          <w:sz w:val="32"/>
        </w:rPr>
      </w:pPr>
      <w:r>
        <w:rPr>
          <w:rFonts w:ascii="黑体" w:eastAsia="黑体" w:hAnsi="宋体" w:hint="eastAsia"/>
          <w:b/>
          <w:bCs/>
          <w:color w:val="FF0000"/>
          <w:sz w:val="32"/>
        </w:rPr>
        <w:t>的风险提示性公告</w:t>
      </w:r>
    </w:p>
    <w:p w:rsidR="00182E39" w:rsidRDefault="00182E39" w:rsidP="00182E39">
      <w:pPr>
        <w:ind w:rightChars="-73" w:right="-153"/>
        <w:jc w:val="center"/>
        <w:rPr>
          <w:rFonts w:ascii="宋体" w:hAnsi="宋体" w:cs="宋体"/>
          <w:b/>
          <w:color w:val="000000"/>
          <w:kern w:val="0"/>
          <w:sz w:val="24"/>
        </w:rPr>
      </w:pPr>
    </w:p>
    <w:p w:rsidR="00794D29" w:rsidRPr="00C64350" w:rsidRDefault="00794D29" w:rsidP="00794D29">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794D29" w:rsidRPr="00EE3428" w:rsidRDefault="00794D29" w:rsidP="003558DA">
      <w:pPr>
        <w:spacing w:line="360" w:lineRule="auto"/>
        <w:rPr>
          <w:rFonts w:ascii="宋体" w:hAnsi="宋体"/>
          <w:sz w:val="24"/>
        </w:rPr>
      </w:pPr>
    </w:p>
    <w:p w:rsidR="004B0645" w:rsidRDefault="002F05BE" w:rsidP="00F1432F">
      <w:pPr>
        <w:spacing w:line="360" w:lineRule="auto"/>
        <w:ind w:firstLine="480"/>
        <w:rPr>
          <w:rFonts w:asciiTheme="minorEastAsia" w:hAnsiTheme="minorEastAsia"/>
          <w:sz w:val="24"/>
        </w:rPr>
      </w:pPr>
      <w:r w:rsidRPr="002F05BE">
        <w:rPr>
          <w:rFonts w:ascii="宋体" w:hAnsi="宋体" w:hint="eastAsia"/>
          <w:sz w:val="24"/>
        </w:rPr>
        <w:t>江苏吴中实业股份有限公司（以下简称“公司”）</w:t>
      </w:r>
      <w:r w:rsidR="004B0645" w:rsidRPr="004B0645">
        <w:rPr>
          <w:rFonts w:ascii="宋体" w:hAnsi="宋体" w:hint="eastAsia"/>
          <w:sz w:val="24"/>
        </w:rPr>
        <w:t>全资子公司响水恒利达科技化工有限公司（以下简称“响水恒利达”）由于受江苏省盐城市响水县陈家港化工园区某化工企业于2019年3月21日下午发生爆炸事故影响而暂时处于停产状态（具体见公司</w:t>
      </w:r>
      <w:r w:rsidR="004B0645">
        <w:rPr>
          <w:rFonts w:ascii="宋体" w:hAnsi="宋体" w:hint="eastAsia"/>
          <w:sz w:val="24"/>
        </w:rPr>
        <w:t>于2019年3月23日在《中国证券报》、《上海证券报》及上海证券交易所网站上披露的《</w:t>
      </w:r>
      <w:r w:rsidR="004B0645" w:rsidRPr="004B0645">
        <w:rPr>
          <w:rFonts w:ascii="宋体" w:hAnsi="宋体" w:hint="eastAsia"/>
          <w:sz w:val="24"/>
        </w:rPr>
        <w:t>江苏吴中实业股份有限公司关于全资子公司响水恒利达科技化工有限公司的提示性公告</w:t>
      </w:r>
      <w:r w:rsidR="004B0645">
        <w:rPr>
          <w:rFonts w:ascii="宋体" w:hAnsi="宋体" w:hint="eastAsia"/>
          <w:sz w:val="24"/>
        </w:rPr>
        <w:t>》</w:t>
      </w:r>
      <w:r w:rsidR="004B0645">
        <w:rPr>
          <w:rFonts w:asciiTheme="minorEastAsia" w:eastAsiaTheme="minorEastAsia" w:hAnsiTheme="minorEastAsia" w:hint="eastAsia"/>
          <w:color w:val="000000"/>
          <w:sz w:val="24"/>
        </w:rPr>
        <w:t>）。</w:t>
      </w:r>
      <w:r w:rsidR="004B0645" w:rsidRPr="00F72105">
        <w:rPr>
          <w:rFonts w:asciiTheme="minorEastAsia" w:hAnsiTheme="minorEastAsia" w:hint="eastAsia"/>
          <w:sz w:val="24"/>
        </w:rPr>
        <w:t>为保证所有投资者获取信息的公平、准确、完整，并及时了解公司经营动态，根据</w:t>
      </w:r>
      <w:r w:rsidR="006967C9" w:rsidRPr="004B54B8">
        <w:rPr>
          <w:rFonts w:ascii="宋体" w:hAnsi="宋体"/>
          <w:sz w:val="24"/>
        </w:rPr>
        <w:t>《上海证券交易所</w:t>
      </w:r>
      <w:r w:rsidR="006967C9">
        <w:rPr>
          <w:rFonts w:ascii="宋体" w:hAnsi="宋体" w:hint="eastAsia"/>
          <w:sz w:val="24"/>
        </w:rPr>
        <w:t>股票</w:t>
      </w:r>
      <w:r w:rsidR="006967C9">
        <w:rPr>
          <w:rFonts w:ascii="宋体" w:hAnsi="宋体"/>
          <w:sz w:val="24"/>
        </w:rPr>
        <w:t>上市</w:t>
      </w:r>
      <w:r w:rsidR="006967C9" w:rsidRPr="004B54B8">
        <w:rPr>
          <w:rFonts w:ascii="宋体" w:hAnsi="宋体"/>
          <w:sz w:val="24"/>
        </w:rPr>
        <w:t>规则》</w:t>
      </w:r>
      <w:r w:rsidR="006967C9">
        <w:rPr>
          <w:rFonts w:ascii="宋体" w:hAnsi="宋体" w:hint="eastAsia"/>
          <w:sz w:val="24"/>
        </w:rPr>
        <w:t>、</w:t>
      </w:r>
      <w:r w:rsidR="004B0645" w:rsidRPr="00F72105">
        <w:rPr>
          <w:rFonts w:asciiTheme="minorEastAsia" w:hAnsiTheme="minorEastAsia" w:hint="eastAsia"/>
          <w:sz w:val="24"/>
        </w:rPr>
        <w:t>《</w:t>
      </w:r>
      <w:r w:rsidR="004B0645" w:rsidRPr="004638FB">
        <w:rPr>
          <w:rFonts w:ascii="宋体" w:hAnsi="宋体" w:hint="eastAsia"/>
          <w:sz w:val="24"/>
        </w:rPr>
        <w:t>上市公司行业信息披露指引第十八号——化工》</w:t>
      </w:r>
      <w:r w:rsidR="006967C9">
        <w:rPr>
          <w:rFonts w:ascii="宋体" w:hAnsi="宋体" w:hint="eastAsia"/>
          <w:sz w:val="24"/>
        </w:rPr>
        <w:t>等</w:t>
      </w:r>
      <w:r w:rsidR="004B0645" w:rsidRPr="00F72105">
        <w:rPr>
          <w:rFonts w:asciiTheme="minorEastAsia" w:hAnsiTheme="minorEastAsia" w:hint="eastAsia"/>
          <w:sz w:val="24"/>
        </w:rPr>
        <w:t>相关规定，现将</w:t>
      </w:r>
      <w:r w:rsidR="004B0645">
        <w:rPr>
          <w:rFonts w:asciiTheme="minorEastAsia" w:hAnsiTheme="minorEastAsia" w:hint="eastAsia"/>
          <w:sz w:val="24"/>
        </w:rPr>
        <w:t>该事项的有关进展情况</w:t>
      </w:r>
      <w:r w:rsidR="004B0645" w:rsidRPr="00F72105">
        <w:rPr>
          <w:rFonts w:asciiTheme="minorEastAsia" w:hAnsiTheme="minorEastAsia" w:hint="eastAsia"/>
          <w:sz w:val="24"/>
        </w:rPr>
        <w:t>公告</w:t>
      </w:r>
      <w:r w:rsidR="004B0645">
        <w:rPr>
          <w:rFonts w:asciiTheme="minorEastAsia" w:hAnsiTheme="minorEastAsia" w:hint="eastAsia"/>
          <w:sz w:val="24"/>
        </w:rPr>
        <w:t>如下：</w:t>
      </w:r>
    </w:p>
    <w:p w:rsidR="004B0645" w:rsidRPr="004B0645" w:rsidRDefault="004B0645" w:rsidP="00F1432F">
      <w:pPr>
        <w:spacing w:line="360" w:lineRule="auto"/>
        <w:ind w:firstLine="480"/>
        <w:rPr>
          <w:rFonts w:ascii="宋体" w:hAnsi="宋体"/>
          <w:b/>
          <w:sz w:val="24"/>
        </w:rPr>
      </w:pPr>
      <w:r w:rsidRPr="004B0645">
        <w:rPr>
          <w:rFonts w:ascii="宋体" w:hAnsi="宋体" w:hint="eastAsia"/>
          <w:b/>
          <w:sz w:val="24"/>
        </w:rPr>
        <w:t>一、</w:t>
      </w:r>
      <w:r w:rsidR="002B6CBF">
        <w:rPr>
          <w:rFonts w:ascii="宋体" w:hAnsi="宋体" w:hint="eastAsia"/>
          <w:b/>
          <w:sz w:val="24"/>
        </w:rPr>
        <w:t>截至本报告披露日，</w:t>
      </w:r>
      <w:r w:rsidR="00746505">
        <w:rPr>
          <w:rFonts w:ascii="宋体" w:hAnsi="宋体" w:hint="eastAsia"/>
          <w:b/>
          <w:sz w:val="24"/>
        </w:rPr>
        <w:t>该</w:t>
      </w:r>
      <w:r w:rsidR="002B6CBF">
        <w:rPr>
          <w:rFonts w:ascii="宋体" w:hAnsi="宋体" w:hint="eastAsia"/>
          <w:b/>
          <w:sz w:val="24"/>
        </w:rPr>
        <w:t>事项主要进展</w:t>
      </w:r>
    </w:p>
    <w:p w:rsidR="004B0645" w:rsidRDefault="002B6CBF" w:rsidP="00F1432F">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1、经过公司、响水恒利达和当地政府的积极救援，响水恒利达部分受伤员工</w:t>
      </w:r>
      <w:r w:rsidR="00150E3A">
        <w:rPr>
          <w:rFonts w:asciiTheme="minorEastAsia" w:eastAsiaTheme="minorEastAsia" w:hAnsiTheme="minorEastAsia" w:hint="eastAsia"/>
          <w:color w:val="000000"/>
          <w:sz w:val="24"/>
        </w:rPr>
        <w:t>均</w:t>
      </w:r>
      <w:r>
        <w:rPr>
          <w:rFonts w:asciiTheme="minorEastAsia" w:eastAsiaTheme="minorEastAsia" w:hAnsiTheme="minorEastAsia" w:hint="eastAsia"/>
          <w:color w:val="000000"/>
          <w:sz w:val="24"/>
        </w:rPr>
        <w:t>已得到妥善安置，响水恒利达仍处于</w:t>
      </w:r>
      <w:r w:rsidR="00746505">
        <w:rPr>
          <w:rFonts w:asciiTheme="minorEastAsia" w:eastAsiaTheme="minorEastAsia" w:hAnsiTheme="minorEastAsia" w:hint="eastAsia"/>
          <w:color w:val="000000"/>
          <w:sz w:val="24"/>
        </w:rPr>
        <w:t>暂时</w:t>
      </w:r>
      <w:r>
        <w:rPr>
          <w:rFonts w:asciiTheme="minorEastAsia" w:eastAsiaTheme="minorEastAsia" w:hAnsiTheme="minorEastAsia" w:hint="eastAsia"/>
          <w:color w:val="000000"/>
          <w:sz w:val="24"/>
        </w:rPr>
        <w:t>停产状态。</w:t>
      </w:r>
    </w:p>
    <w:p w:rsidR="00B64ADC" w:rsidRDefault="00D47BA4" w:rsidP="00F1432F">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00B64ADC">
        <w:rPr>
          <w:rFonts w:asciiTheme="minorEastAsia" w:eastAsiaTheme="minorEastAsia" w:hAnsiTheme="minorEastAsia" w:hint="eastAsia"/>
          <w:color w:val="000000"/>
          <w:sz w:val="24"/>
        </w:rPr>
        <w:t>、</w:t>
      </w:r>
      <w:r w:rsidR="00746505">
        <w:rPr>
          <w:rFonts w:asciiTheme="minorEastAsia" w:eastAsiaTheme="minorEastAsia" w:hAnsiTheme="minorEastAsia" w:hint="eastAsia"/>
          <w:color w:val="000000"/>
          <w:sz w:val="24"/>
        </w:rPr>
        <w:t>2019年4月5日，</w:t>
      </w:r>
      <w:r w:rsidR="00B64ADC">
        <w:rPr>
          <w:rFonts w:asciiTheme="minorEastAsia" w:eastAsiaTheme="minorEastAsia" w:hAnsiTheme="minorEastAsia" w:hint="eastAsia"/>
          <w:color w:val="000000"/>
          <w:sz w:val="24"/>
        </w:rPr>
        <w:t>《盐城晚报》的微博发布了以下</w:t>
      </w:r>
      <w:r w:rsidR="00883565">
        <w:rPr>
          <w:rFonts w:asciiTheme="minorEastAsia" w:eastAsiaTheme="minorEastAsia" w:hAnsiTheme="minorEastAsia" w:hint="eastAsia"/>
          <w:color w:val="000000"/>
          <w:sz w:val="24"/>
        </w:rPr>
        <w:t>消息</w:t>
      </w:r>
      <w:r w:rsidR="00B64ADC">
        <w:rPr>
          <w:rFonts w:asciiTheme="minorEastAsia" w:eastAsiaTheme="minorEastAsia" w:hAnsiTheme="minorEastAsia" w:hint="eastAsia"/>
          <w:color w:val="000000"/>
          <w:sz w:val="24"/>
        </w:rPr>
        <w:t>：</w:t>
      </w:r>
      <w:r w:rsidR="00AB634A">
        <w:rPr>
          <w:rFonts w:asciiTheme="minorEastAsia" w:eastAsiaTheme="minorEastAsia" w:hAnsiTheme="minorEastAsia" w:hint="eastAsia"/>
          <w:color w:val="000000"/>
          <w:sz w:val="24"/>
        </w:rPr>
        <w:t>“</w:t>
      </w:r>
      <w:r w:rsidR="00B64ADC" w:rsidRPr="00B64ADC">
        <w:rPr>
          <w:rFonts w:asciiTheme="minorEastAsia" w:eastAsiaTheme="minorEastAsia" w:hAnsiTheme="minorEastAsia"/>
          <w:color w:val="000000"/>
          <w:sz w:val="24"/>
        </w:rPr>
        <w:t>【盐城决定关闭响水化工园区】昨天，本市决定彻底关闭响水化工园区，将陈家港镇列入全市改善农民群众住房条件</w:t>
      </w:r>
      <w:r w:rsidR="00984BF1">
        <w:rPr>
          <w:rFonts w:asciiTheme="minorEastAsia" w:eastAsiaTheme="minorEastAsia" w:hAnsiTheme="minorEastAsia" w:hint="eastAsia"/>
          <w:color w:val="000000"/>
          <w:sz w:val="24"/>
        </w:rPr>
        <w:t>‘</w:t>
      </w:r>
      <w:r w:rsidR="00984BF1" w:rsidRPr="00B64ADC">
        <w:rPr>
          <w:rFonts w:asciiTheme="minorEastAsia" w:eastAsiaTheme="minorEastAsia" w:hAnsiTheme="minorEastAsia"/>
          <w:color w:val="000000"/>
          <w:sz w:val="24"/>
        </w:rPr>
        <w:t>十镇百村</w:t>
      </w:r>
      <w:r w:rsidR="00984BF1">
        <w:rPr>
          <w:rFonts w:asciiTheme="minorEastAsia" w:eastAsiaTheme="minorEastAsia" w:hAnsiTheme="minorEastAsia" w:hint="eastAsia"/>
          <w:color w:val="000000"/>
          <w:sz w:val="24"/>
        </w:rPr>
        <w:t>’</w:t>
      </w:r>
      <w:r w:rsidR="00B64ADC" w:rsidRPr="00B64ADC">
        <w:rPr>
          <w:rFonts w:asciiTheme="minorEastAsia" w:eastAsiaTheme="minorEastAsia" w:hAnsiTheme="minorEastAsia"/>
          <w:color w:val="000000"/>
          <w:sz w:val="24"/>
        </w:rPr>
        <w:t>试点，加快实现乡村振兴。同时，要举一反三做好全市面上化工整治工作，根据省化工行业整治提升方案，进一步抬高本市化工园区、化工企业整治标准，支持各地区建设</w:t>
      </w:r>
      <w:r w:rsidR="00984BF1">
        <w:rPr>
          <w:rFonts w:asciiTheme="minorEastAsia" w:eastAsiaTheme="minorEastAsia" w:hAnsiTheme="minorEastAsia" w:hint="eastAsia"/>
          <w:color w:val="000000"/>
          <w:sz w:val="24"/>
        </w:rPr>
        <w:t>‘</w:t>
      </w:r>
      <w:r w:rsidR="00984BF1" w:rsidRPr="00B64ADC">
        <w:rPr>
          <w:rFonts w:asciiTheme="minorEastAsia" w:eastAsiaTheme="minorEastAsia" w:hAnsiTheme="minorEastAsia"/>
          <w:color w:val="000000"/>
          <w:sz w:val="24"/>
        </w:rPr>
        <w:t>无化区</w:t>
      </w:r>
      <w:r w:rsidR="00984BF1">
        <w:rPr>
          <w:rFonts w:asciiTheme="minorEastAsia" w:eastAsiaTheme="minorEastAsia" w:hAnsiTheme="minorEastAsia" w:hint="eastAsia"/>
          <w:color w:val="000000"/>
          <w:sz w:val="24"/>
        </w:rPr>
        <w:t>’</w:t>
      </w:r>
      <w:r w:rsidR="00B64ADC" w:rsidRPr="00B64ADC">
        <w:rPr>
          <w:rFonts w:asciiTheme="minorEastAsia" w:eastAsiaTheme="minorEastAsia" w:hAnsiTheme="minorEastAsia"/>
          <w:color w:val="000000"/>
          <w:sz w:val="24"/>
        </w:rPr>
        <w:t>。</w:t>
      </w:r>
    </w:p>
    <w:p w:rsidR="00AB634A" w:rsidRPr="00AB634A" w:rsidRDefault="00AB634A" w:rsidP="00AB634A">
      <w:pPr>
        <w:spacing w:line="360" w:lineRule="auto"/>
        <w:ind w:firstLine="480"/>
        <w:rPr>
          <w:rFonts w:asciiTheme="minorEastAsia" w:eastAsiaTheme="minorEastAsia" w:hAnsiTheme="minorEastAsia"/>
          <w:color w:val="000000"/>
          <w:sz w:val="24"/>
        </w:rPr>
      </w:pPr>
      <w:r w:rsidRPr="00AB634A">
        <w:rPr>
          <w:rFonts w:asciiTheme="minorEastAsia" w:eastAsiaTheme="minorEastAsia" w:hAnsiTheme="minorEastAsia"/>
          <w:color w:val="000000"/>
          <w:sz w:val="24"/>
        </w:rPr>
        <w:t>本市正在积极稳妥做好善后工作，继续全力救治伤员，扎实做好房屋修缮等工作，努力让失去工作的职工尽快走上新的岗位，维护群众正常生产生活秩序。</w:t>
      </w:r>
      <w:r>
        <w:rPr>
          <w:rFonts w:asciiTheme="minorEastAsia" w:eastAsiaTheme="minorEastAsia" w:hAnsiTheme="minorEastAsia" w:hint="eastAsia"/>
          <w:color w:val="000000"/>
          <w:sz w:val="24"/>
        </w:rPr>
        <w:t>”</w:t>
      </w:r>
    </w:p>
    <w:p w:rsidR="00C82CCE" w:rsidRPr="00877C3A" w:rsidRDefault="00877C3A" w:rsidP="00DB6768">
      <w:pPr>
        <w:spacing w:line="360" w:lineRule="auto"/>
        <w:ind w:firstLine="480"/>
        <w:rPr>
          <w:rFonts w:ascii="宋体" w:hAnsi="宋体"/>
          <w:b/>
          <w:sz w:val="24"/>
        </w:rPr>
      </w:pPr>
      <w:r w:rsidRPr="00877C3A">
        <w:rPr>
          <w:rFonts w:ascii="宋体" w:hAnsi="宋体" w:hint="eastAsia"/>
          <w:b/>
          <w:sz w:val="24"/>
        </w:rPr>
        <w:lastRenderedPageBreak/>
        <w:t>二、对公司的</w:t>
      </w:r>
      <w:r w:rsidR="006967C9">
        <w:rPr>
          <w:rFonts w:ascii="宋体" w:hAnsi="宋体" w:hint="eastAsia"/>
          <w:b/>
          <w:sz w:val="24"/>
        </w:rPr>
        <w:t>主要</w:t>
      </w:r>
      <w:r w:rsidRPr="00877C3A">
        <w:rPr>
          <w:rFonts w:ascii="宋体" w:hAnsi="宋体" w:hint="eastAsia"/>
          <w:b/>
          <w:sz w:val="24"/>
        </w:rPr>
        <w:t>影响及</w:t>
      </w:r>
      <w:r w:rsidR="00242B13">
        <w:rPr>
          <w:rFonts w:ascii="宋体" w:hAnsi="宋体" w:hint="eastAsia"/>
          <w:b/>
          <w:sz w:val="24"/>
        </w:rPr>
        <w:t>主要</w:t>
      </w:r>
      <w:r w:rsidRPr="00877C3A">
        <w:rPr>
          <w:rFonts w:ascii="宋体" w:hAnsi="宋体" w:hint="eastAsia"/>
          <w:b/>
          <w:sz w:val="24"/>
        </w:rPr>
        <w:t>风险提示</w:t>
      </w:r>
    </w:p>
    <w:p w:rsidR="00117949" w:rsidRPr="00D95030" w:rsidRDefault="00434355" w:rsidP="00117949">
      <w:pPr>
        <w:spacing w:line="360" w:lineRule="auto"/>
        <w:ind w:firstLine="480"/>
        <w:rPr>
          <w:rFonts w:ascii="宋体" w:hAnsi="宋体" w:cs="宋体"/>
          <w:kern w:val="0"/>
          <w:sz w:val="24"/>
        </w:rPr>
      </w:pPr>
      <w:r>
        <w:rPr>
          <w:rFonts w:ascii="宋体" w:hAnsi="宋体" w:cs="宋体" w:hint="eastAsia"/>
          <w:kern w:val="0"/>
          <w:sz w:val="24"/>
        </w:rPr>
        <w:t>1、</w:t>
      </w:r>
      <w:r w:rsidR="00117949">
        <w:rPr>
          <w:rFonts w:ascii="宋体" w:hAnsi="宋体" w:cs="宋体" w:hint="eastAsia"/>
          <w:kern w:val="0"/>
          <w:sz w:val="24"/>
        </w:rPr>
        <w:t>由于目前关于响水化工园区彻底关闭事项尚无正式的相关处理方案和措施，响水恒利达后续如何处理存在较大的不确定性。公司</w:t>
      </w:r>
      <w:r w:rsidR="00117949" w:rsidRPr="00117949">
        <w:rPr>
          <w:rFonts w:ascii="宋体" w:hAnsi="宋体" w:cs="宋体" w:hint="eastAsia"/>
          <w:kern w:val="0"/>
          <w:sz w:val="24"/>
        </w:rPr>
        <w:t>将与政府相关部门保持沟通，</w:t>
      </w:r>
      <w:r w:rsidR="00117949">
        <w:rPr>
          <w:rFonts w:ascii="宋体" w:hAnsi="宋体" w:cs="宋体" w:hint="eastAsia"/>
          <w:kern w:val="0"/>
          <w:sz w:val="24"/>
        </w:rPr>
        <w:t>密切关注事态进展，如</w:t>
      </w:r>
      <w:r w:rsidR="00117949" w:rsidRPr="005D7710">
        <w:rPr>
          <w:rFonts w:ascii="宋体" w:hAnsi="宋体" w:cs="宋体" w:hint="eastAsia"/>
          <w:kern w:val="0"/>
          <w:sz w:val="24"/>
        </w:rPr>
        <w:t>响水化工园区彻底关闭</w:t>
      </w:r>
      <w:r w:rsidR="00117949">
        <w:rPr>
          <w:rFonts w:ascii="宋体" w:hAnsi="宋体" w:cs="宋体" w:hint="eastAsia"/>
          <w:kern w:val="0"/>
          <w:sz w:val="24"/>
        </w:rPr>
        <w:t>，</w:t>
      </w:r>
      <w:r w:rsidR="0085588A" w:rsidRPr="00D95030">
        <w:rPr>
          <w:rFonts w:ascii="宋体" w:hAnsi="宋体" w:cs="宋体" w:hint="eastAsia"/>
          <w:kern w:val="0"/>
          <w:sz w:val="24"/>
        </w:rPr>
        <w:t>响水恒利达将无法在该园区内进行生产，</w:t>
      </w:r>
      <w:r w:rsidR="00117949" w:rsidRPr="00D95030">
        <w:rPr>
          <w:rFonts w:ascii="宋体" w:hAnsi="宋体" w:cs="宋体" w:hint="eastAsia"/>
          <w:kern w:val="0"/>
          <w:sz w:val="24"/>
        </w:rPr>
        <w:t>公司</w:t>
      </w:r>
      <w:r w:rsidR="0085588A" w:rsidRPr="00D95030">
        <w:rPr>
          <w:rFonts w:ascii="宋体" w:hAnsi="宋体" w:cs="宋体" w:hint="eastAsia"/>
          <w:kern w:val="0"/>
          <w:sz w:val="24"/>
        </w:rPr>
        <w:t>后续</w:t>
      </w:r>
      <w:r w:rsidR="00117949" w:rsidRPr="00D95030">
        <w:rPr>
          <w:rFonts w:ascii="宋体" w:hAnsi="宋体" w:cs="宋体" w:hint="eastAsia"/>
          <w:kern w:val="0"/>
          <w:sz w:val="24"/>
        </w:rPr>
        <w:t>将根据政府相关部门的要求，认真组织讨论研究响水恒利达后续关停</w:t>
      </w:r>
      <w:r w:rsidR="009D24BE" w:rsidRPr="00D95030">
        <w:rPr>
          <w:rFonts w:ascii="宋体" w:hAnsi="宋体" w:cs="宋体" w:hint="eastAsia"/>
          <w:kern w:val="0"/>
          <w:sz w:val="24"/>
        </w:rPr>
        <w:t>并转</w:t>
      </w:r>
      <w:r w:rsidR="00117949" w:rsidRPr="00D95030">
        <w:rPr>
          <w:rFonts w:ascii="宋体" w:hAnsi="宋体" w:cs="宋体" w:hint="eastAsia"/>
          <w:kern w:val="0"/>
          <w:sz w:val="24"/>
        </w:rPr>
        <w:t>等具体方向性决策，并严格履行相关决策程序。</w:t>
      </w:r>
    </w:p>
    <w:p w:rsidR="009542FD" w:rsidRDefault="00434355" w:rsidP="00434355">
      <w:pPr>
        <w:spacing w:line="360" w:lineRule="auto"/>
        <w:ind w:firstLine="480"/>
        <w:rPr>
          <w:rFonts w:ascii="宋体" w:hAnsi="宋体" w:cs="宋体"/>
          <w:kern w:val="0"/>
          <w:sz w:val="24"/>
        </w:rPr>
      </w:pPr>
      <w:r w:rsidRPr="00D95030">
        <w:rPr>
          <w:rFonts w:ascii="宋体" w:hAnsi="宋体" w:cs="宋体" w:hint="eastAsia"/>
          <w:kern w:val="0"/>
          <w:sz w:val="24"/>
        </w:rPr>
        <w:t>2、</w:t>
      </w:r>
      <w:r w:rsidR="00B64ADC" w:rsidRPr="00D95030">
        <w:rPr>
          <w:rFonts w:ascii="宋体" w:hAnsi="宋体" w:cs="宋体" w:hint="eastAsia"/>
          <w:kern w:val="0"/>
          <w:sz w:val="24"/>
        </w:rPr>
        <w:t>受上述各项不确定客观因素的影响，</w:t>
      </w:r>
      <w:r w:rsidR="006967C9" w:rsidRPr="00D95030">
        <w:rPr>
          <w:rFonts w:ascii="宋体" w:hAnsi="宋体" w:cs="宋体" w:hint="eastAsia"/>
          <w:kern w:val="0"/>
          <w:sz w:val="24"/>
        </w:rPr>
        <w:t>经与评估机构和年审会计师沟通，</w:t>
      </w:r>
      <w:r w:rsidR="005D7710" w:rsidRPr="00D95030">
        <w:rPr>
          <w:rFonts w:ascii="宋体" w:hAnsi="宋体" w:cs="宋体" w:hint="eastAsia"/>
          <w:kern w:val="0"/>
          <w:sz w:val="24"/>
        </w:rPr>
        <w:t>公司</w:t>
      </w:r>
      <w:r w:rsidR="00440568" w:rsidRPr="00D95030">
        <w:rPr>
          <w:rFonts w:ascii="宋体" w:hAnsi="宋体" w:cs="宋体" w:hint="eastAsia"/>
          <w:kern w:val="0"/>
          <w:sz w:val="24"/>
        </w:rPr>
        <w:t>预计</w:t>
      </w:r>
      <w:r w:rsidR="006967C9" w:rsidRPr="00D95030">
        <w:rPr>
          <w:rFonts w:ascii="宋体" w:hAnsi="宋体" w:cs="宋体" w:hint="eastAsia"/>
          <w:kern w:val="0"/>
          <w:sz w:val="24"/>
        </w:rPr>
        <w:t>需对收购响水恒利达</w:t>
      </w:r>
      <w:r w:rsidR="00B64ADC" w:rsidRPr="00D95030">
        <w:rPr>
          <w:rFonts w:ascii="宋体" w:hAnsi="宋体" w:cs="宋体" w:hint="eastAsia"/>
          <w:kern w:val="0"/>
          <w:sz w:val="24"/>
        </w:rPr>
        <w:t>100%股权所形成商誉的计提商誉减值事项进行再次评估</w:t>
      </w:r>
      <w:r w:rsidR="006934D6" w:rsidRPr="00D95030">
        <w:rPr>
          <w:rFonts w:ascii="宋体" w:hAnsi="宋体" w:cs="宋体" w:hint="eastAsia"/>
          <w:kern w:val="0"/>
          <w:sz w:val="24"/>
        </w:rPr>
        <w:t>。经公司财务管理中心初步测算，</w:t>
      </w:r>
      <w:r w:rsidR="009D24BE" w:rsidRPr="00D95030">
        <w:rPr>
          <w:rFonts w:ascii="宋体" w:hAnsi="宋体" w:cs="宋体" w:hint="eastAsia"/>
          <w:kern w:val="0"/>
          <w:sz w:val="24"/>
        </w:rPr>
        <w:t>可能会出现对收购响水恒利达100%股权所形成商誉进行大额计提，</w:t>
      </w:r>
      <w:r w:rsidR="006967C9" w:rsidRPr="00D95030">
        <w:rPr>
          <w:rFonts w:ascii="宋体" w:hAnsi="宋体" w:cs="宋体" w:hint="eastAsia"/>
          <w:kern w:val="0"/>
          <w:sz w:val="24"/>
        </w:rPr>
        <w:t>预计2018年拟计提商誉减值</w:t>
      </w:r>
      <w:r w:rsidR="005B26E3" w:rsidRPr="00D95030">
        <w:rPr>
          <w:rFonts w:ascii="宋体" w:hAnsi="宋体" w:cs="宋体" w:hint="eastAsia"/>
          <w:kern w:val="0"/>
          <w:sz w:val="24"/>
        </w:rPr>
        <w:t>数额将</w:t>
      </w:r>
      <w:r w:rsidR="000F0713" w:rsidRPr="00D95030">
        <w:rPr>
          <w:rFonts w:ascii="宋体" w:hAnsi="宋体" w:cs="宋体" w:hint="eastAsia"/>
          <w:kern w:val="0"/>
          <w:sz w:val="24"/>
        </w:rPr>
        <w:t>在</w:t>
      </w:r>
      <w:r w:rsidR="00FB349E" w:rsidRPr="00D95030">
        <w:rPr>
          <w:rFonts w:ascii="宋体" w:hAnsi="宋体" w:cs="宋体"/>
          <w:kern w:val="0"/>
          <w:sz w:val="24"/>
        </w:rPr>
        <w:t>原来业绩预告</w:t>
      </w:r>
      <w:r w:rsidR="000F0713" w:rsidRPr="00D95030">
        <w:rPr>
          <w:rFonts w:ascii="宋体" w:hAnsi="宋体" w:cs="宋体" w:hint="eastAsia"/>
          <w:kern w:val="0"/>
          <w:sz w:val="24"/>
        </w:rPr>
        <w:t>（具体见公司于2019年1月31日在《中国证券报》、《上海证券报》及上海证券交易所网站上披露的相关公告）</w:t>
      </w:r>
      <w:r w:rsidR="00FB349E" w:rsidRPr="00D95030">
        <w:rPr>
          <w:rFonts w:ascii="宋体" w:hAnsi="宋体" w:cs="宋体"/>
          <w:kern w:val="0"/>
          <w:sz w:val="24"/>
        </w:rPr>
        <w:t>的基础上</w:t>
      </w:r>
      <w:r w:rsidR="005B26E3" w:rsidRPr="00D95030">
        <w:rPr>
          <w:rFonts w:ascii="宋体" w:hAnsi="宋体" w:cs="宋体" w:hint="eastAsia"/>
          <w:kern w:val="0"/>
          <w:sz w:val="24"/>
        </w:rPr>
        <w:t>进行</w:t>
      </w:r>
      <w:r w:rsidR="00150E3A" w:rsidRPr="00D95030">
        <w:rPr>
          <w:rFonts w:ascii="宋体" w:hAnsi="宋体" w:cs="宋体" w:hint="eastAsia"/>
          <w:kern w:val="0"/>
          <w:sz w:val="24"/>
        </w:rPr>
        <w:t>调整</w:t>
      </w:r>
      <w:r w:rsidR="000E3F26" w:rsidRPr="00D95030">
        <w:rPr>
          <w:rFonts w:ascii="宋体" w:hAnsi="宋体" w:cs="宋体" w:hint="eastAsia"/>
          <w:kern w:val="0"/>
          <w:sz w:val="24"/>
        </w:rPr>
        <w:t>；</w:t>
      </w:r>
      <w:r w:rsidR="0085588A" w:rsidRPr="00D95030">
        <w:rPr>
          <w:rFonts w:ascii="宋体" w:hAnsi="宋体" w:cs="宋体" w:hint="eastAsia"/>
          <w:kern w:val="0"/>
          <w:sz w:val="24"/>
        </w:rPr>
        <w:t>如果对收购响水恒利达100%股权所形成商誉进行全额计提，</w:t>
      </w:r>
      <w:r w:rsidR="000E3F26" w:rsidRPr="00D95030">
        <w:rPr>
          <w:rFonts w:ascii="宋体" w:hAnsi="宋体" w:cs="宋体" w:hint="eastAsia"/>
          <w:kern w:val="0"/>
          <w:sz w:val="24"/>
        </w:rPr>
        <w:t>将会导致公司2</w:t>
      </w:r>
      <w:r w:rsidR="000E3F26" w:rsidRPr="00D95030">
        <w:rPr>
          <w:rFonts w:ascii="宋体" w:hAnsi="宋体" w:cs="宋体"/>
          <w:kern w:val="0"/>
          <w:sz w:val="24"/>
        </w:rPr>
        <w:t>018</w:t>
      </w:r>
      <w:r w:rsidR="000E3F26" w:rsidRPr="00D95030">
        <w:rPr>
          <w:rFonts w:ascii="宋体" w:hAnsi="宋体" w:cs="宋体" w:hint="eastAsia"/>
          <w:kern w:val="0"/>
          <w:sz w:val="24"/>
        </w:rPr>
        <w:t>年业绩出现亏损</w:t>
      </w:r>
      <w:r w:rsidR="0085588A" w:rsidRPr="00D95030">
        <w:rPr>
          <w:rFonts w:ascii="宋体" w:hAnsi="宋体" w:cs="宋体" w:hint="eastAsia"/>
          <w:kern w:val="0"/>
          <w:sz w:val="24"/>
        </w:rPr>
        <w:t>（该</w:t>
      </w:r>
      <w:r w:rsidR="000E3F26" w:rsidRPr="00D95030">
        <w:rPr>
          <w:rFonts w:ascii="宋体" w:hAnsi="宋体" w:cs="宋体" w:hint="eastAsia"/>
          <w:kern w:val="0"/>
          <w:sz w:val="24"/>
        </w:rPr>
        <w:t>事项尚存在不确定性</w:t>
      </w:r>
      <w:r w:rsidR="0085588A" w:rsidRPr="00D95030">
        <w:rPr>
          <w:rFonts w:ascii="宋体" w:hAnsi="宋体" w:cs="宋体" w:hint="eastAsia"/>
          <w:kern w:val="0"/>
          <w:sz w:val="24"/>
        </w:rPr>
        <w:t>）。</w:t>
      </w:r>
      <w:r w:rsidR="00DC3EEF" w:rsidRPr="00D95030">
        <w:rPr>
          <w:rFonts w:ascii="宋体" w:hAnsi="宋体" w:cs="宋体" w:hint="eastAsia"/>
          <w:kern w:val="0"/>
          <w:sz w:val="24"/>
        </w:rPr>
        <w:t>鉴于该项工作的工作量较大且事项本身存在诸多不确定性因素，</w:t>
      </w:r>
      <w:r w:rsidR="00B64ADC" w:rsidRPr="00D95030">
        <w:rPr>
          <w:rFonts w:ascii="宋体" w:hAnsi="宋体" w:cs="宋体" w:hint="eastAsia"/>
          <w:kern w:val="0"/>
          <w:sz w:val="24"/>
        </w:rPr>
        <w:t>公司目前已</w:t>
      </w:r>
      <w:r w:rsidR="002B6CBF" w:rsidRPr="00D95030">
        <w:rPr>
          <w:rFonts w:ascii="宋体" w:hAnsi="宋体" w:cs="宋体" w:hint="eastAsia"/>
          <w:kern w:val="0"/>
          <w:sz w:val="24"/>
        </w:rPr>
        <w:t>组织各中介机构</w:t>
      </w:r>
      <w:r w:rsidR="00382467" w:rsidRPr="00D95030">
        <w:rPr>
          <w:rFonts w:ascii="宋体" w:hAnsi="宋体" w:cs="宋体" w:hint="eastAsia"/>
          <w:kern w:val="0"/>
          <w:sz w:val="24"/>
        </w:rPr>
        <w:t>积极开展工作</w:t>
      </w:r>
      <w:r w:rsidR="00746505" w:rsidRPr="00D95030">
        <w:rPr>
          <w:rFonts w:ascii="宋体" w:hAnsi="宋体" w:cs="宋体" w:hint="eastAsia"/>
          <w:kern w:val="0"/>
          <w:sz w:val="24"/>
        </w:rPr>
        <w:t>，</w:t>
      </w:r>
      <w:r w:rsidR="00376AA7" w:rsidRPr="00D95030">
        <w:rPr>
          <w:rFonts w:ascii="宋体" w:hAnsi="宋体" w:cs="宋体" w:hint="eastAsia"/>
          <w:kern w:val="0"/>
          <w:sz w:val="24"/>
        </w:rPr>
        <w:t>以便</w:t>
      </w:r>
      <w:bookmarkStart w:id="0" w:name="_GoBack"/>
      <w:bookmarkEnd w:id="0"/>
      <w:r w:rsidR="002B6CBF" w:rsidRPr="00D47BA4">
        <w:rPr>
          <w:rFonts w:ascii="宋体" w:hAnsi="宋体" w:cs="宋体" w:hint="eastAsia"/>
          <w:kern w:val="0"/>
          <w:sz w:val="24"/>
        </w:rPr>
        <w:t>尽快</w:t>
      </w:r>
      <w:r w:rsidR="00382467" w:rsidRPr="00D47BA4">
        <w:rPr>
          <w:rFonts w:ascii="宋体" w:hAnsi="宋体" w:cs="宋体" w:hint="eastAsia"/>
          <w:kern w:val="0"/>
          <w:sz w:val="24"/>
        </w:rPr>
        <w:t>确定</w:t>
      </w:r>
      <w:r w:rsidR="002B6CBF" w:rsidRPr="00D47BA4">
        <w:rPr>
          <w:rFonts w:ascii="宋体" w:hAnsi="宋体" w:cs="宋体" w:hint="eastAsia"/>
          <w:kern w:val="0"/>
          <w:sz w:val="24"/>
        </w:rPr>
        <w:t>上述事项对公司产生的</w:t>
      </w:r>
      <w:r w:rsidR="00376AA7" w:rsidRPr="00D47BA4">
        <w:rPr>
          <w:rFonts w:ascii="宋体" w:hAnsi="宋体" w:cs="宋体" w:hint="eastAsia"/>
          <w:kern w:val="0"/>
          <w:sz w:val="24"/>
        </w:rPr>
        <w:t>具体</w:t>
      </w:r>
      <w:r w:rsidR="002B6CBF" w:rsidRPr="00D47BA4">
        <w:rPr>
          <w:rFonts w:ascii="宋体" w:hAnsi="宋体" w:cs="宋体" w:hint="eastAsia"/>
          <w:kern w:val="0"/>
          <w:sz w:val="24"/>
        </w:rPr>
        <w:t>影响。</w:t>
      </w:r>
      <w:r w:rsidR="00376AA7" w:rsidRPr="00AD4BC7">
        <w:rPr>
          <w:rFonts w:asciiTheme="minorEastAsia" w:eastAsiaTheme="minorEastAsia" w:hAnsiTheme="minorEastAsia" w:cs="宋体" w:hint="eastAsia"/>
          <w:color w:val="000000"/>
          <w:kern w:val="0"/>
          <w:sz w:val="24"/>
        </w:rPr>
        <w:t>具体准确的财务数据</w:t>
      </w:r>
      <w:r w:rsidR="006934D6">
        <w:rPr>
          <w:rFonts w:asciiTheme="minorEastAsia" w:eastAsiaTheme="minorEastAsia" w:hAnsiTheme="minorEastAsia" w:cs="宋体" w:hint="eastAsia"/>
          <w:color w:val="000000"/>
          <w:kern w:val="0"/>
          <w:sz w:val="24"/>
        </w:rPr>
        <w:t>需</w:t>
      </w:r>
      <w:r w:rsidR="00376AA7" w:rsidRPr="00AD4BC7">
        <w:rPr>
          <w:rFonts w:asciiTheme="minorEastAsia" w:eastAsiaTheme="minorEastAsia" w:hAnsiTheme="minorEastAsia" w:cs="宋体" w:hint="eastAsia"/>
          <w:color w:val="000000"/>
          <w:kern w:val="0"/>
          <w:sz w:val="24"/>
        </w:rPr>
        <w:t>以公司正式披露的经审计后的</w:t>
      </w:r>
      <w:r w:rsidR="00376AA7">
        <w:rPr>
          <w:rFonts w:asciiTheme="minorEastAsia" w:eastAsiaTheme="minorEastAsia" w:hAnsiTheme="minorEastAsia" w:cs="宋体" w:hint="eastAsia"/>
          <w:color w:val="000000"/>
          <w:kern w:val="0"/>
          <w:sz w:val="24"/>
        </w:rPr>
        <w:t>2018</w:t>
      </w:r>
      <w:r w:rsidR="00376AA7" w:rsidRPr="00AD4BC7">
        <w:rPr>
          <w:rFonts w:asciiTheme="minorEastAsia" w:eastAsiaTheme="minorEastAsia" w:hAnsiTheme="minorEastAsia" w:cs="宋体" w:hint="eastAsia"/>
          <w:color w:val="000000"/>
          <w:kern w:val="0"/>
          <w:sz w:val="24"/>
        </w:rPr>
        <w:t>年年报为准</w:t>
      </w:r>
      <w:r w:rsidR="00376AA7">
        <w:rPr>
          <w:rFonts w:ascii="宋体" w:hAnsi="宋体" w:cs="宋体" w:hint="eastAsia"/>
          <w:kern w:val="0"/>
          <w:sz w:val="24"/>
        </w:rPr>
        <w:t>。</w:t>
      </w:r>
    </w:p>
    <w:p w:rsidR="00242B13" w:rsidRPr="00242B13" w:rsidRDefault="00376AA7" w:rsidP="00F27162">
      <w:pPr>
        <w:spacing w:line="360" w:lineRule="auto"/>
        <w:ind w:firstLine="480"/>
        <w:rPr>
          <w:rFonts w:ascii="宋体" w:hAnsi="宋体"/>
          <w:sz w:val="24"/>
        </w:rPr>
      </w:pPr>
      <w:r>
        <w:rPr>
          <w:rFonts w:ascii="宋体" w:hAnsi="宋体" w:hint="eastAsia"/>
          <w:sz w:val="24"/>
        </w:rPr>
        <w:t>此外，</w:t>
      </w:r>
      <w:r>
        <w:rPr>
          <w:rFonts w:ascii="宋体" w:hAnsi="宋体"/>
          <w:sz w:val="24"/>
        </w:rPr>
        <w:t>公司</w:t>
      </w:r>
      <w:r w:rsidR="00242B13" w:rsidRPr="004B54B8">
        <w:rPr>
          <w:rFonts w:ascii="宋体" w:hAnsi="宋体"/>
          <w:sz w:val="24"/>
        </w:rPr>
        <w:t>将</w:t>
      </w:r>
      <w:r w:rsidR="00883565">
        <w:rPr>
          <w:rFonts w:ascii="宋体" w:hAnsi="宋体" w:hint="eastAsia"/>
          <w:sz w:val="24"/>
        </w:rPr>
        <w:t>与</w:t>
      </w:r>
      <w:r w:rsidR="004B0645">
        <w:rPr>
          <w:rFonts w:ascii="宋体" w:hAnsi="宋体" w:hint="eastAsia"/>
          <w:sz w:val="24"/>
        </w:rPr>
        <w:t>相关政府部门</w:t>
      </w:r>
      <w:r w:rsidR="00883565">
        <w:rPr>
          <w:rFonts w:ascii="宋体" w:hAnsi="宋体" w:hint="eastAsia"/>
          <w:sz w:val="24"/>
        </w:rPr>
        <w:t>保持沟通，</w:t>
      </w:r>
      <w:r w:rsidR="00150E3A">
        <w:rPr>
          <w:rFonts w:ascii="宋体" w:hAnsi="宋体" w:hint="eastAsia"/>
          <w:sz w:val="24"/>
        </w:rPr>
        <w:t>并</w:t>
      </w:r>
      <w:r w:rsidR="00883565">
        <w:rPr>
          <w:rFonts w:ascii="宋体" w:hAnsi="宋体" w:hint="eastAsia"/>
          <w:sz w:val="24"/>
        </w:rPr>
        <w:t>持续关注</w:t>
      </w:r>
      <w:r w:rsidR="00746505">
        <w:rPr>
          <w:rFonts w:ascii="宋体" w:hAnsi="宋体" w:hint="eastAsia"/>
          <w:sz w:val="24"/>
        </w:rPr>
        <w:t>后续处理方案和措施</w:t>
      </w:r>
      <w:r w:rsidR="004B0645">
        <w:rPr>
          <w:rFonts w:ascii="宋体" w:hAnsi="宋体" w:hint="eastAsia"/>
          <w:sz w:val="24"/>
        </w:rPr>
        <w:t>，</w:t>
      </w:r>
      <w:r w:rsidR="00242B13" w:rsidRPr="004B54B8">
        <w:rPr>
          <w:rFonts w:ascii="宋体" w:hAnsi="宋体"/>
          <w:sz w:val="24"/>
        </w:rPr>
        <w:t>严格依据《上海证券交易所</w:t>
      </w:r>
      <w:r w:rsidR="00BF5A4D">
        <w:rPr>
          <w:rFonts w:ascii="宋体" w:hAnsi="宋体" w:hint="eastAsia"/>
          <w:sz w:val="24"/>
        </w:rPr>
        <w:t>股票</w:t>
      </w:r>
      <w:r w:rsidR="00BF5A4D">
        <w:rPr>
          <w:rFonts w:ascii="宋体" w:hAnsi="宋体"/>
          <w:sz w:val="24"/>
        </w:rPr>
        <w:t>上市</w:t>
      </w:r>
      <w:r w:rsidR="00242B13" w:rsidRPr="004B54B8">
        <w:rPr>
          <w:rFonts w:ascii="宋体" w:hAnsi="宋体"/>
          <w:sz w:val="24"/>
        </w:rPr>
        <w:t>规则》和《上市公司行业信息披露指引第十八号——化工》等相关法律法规的要求，及时做好信息披露工作，敬请广大投资者</w:t>
      </w:r>
      <w:r w:rsidR="005D7710">
        <w:rPr>
          <w:rFonts w:ascii="宋体" w:hAnsi="宋体" w:hint="eastAsia"/>
          <w:sz w:val="24"/>
        </w:rPr>
        <w:t>理性投资，</w:t>
      </w:r>
      <w:r w:rsidR="00242B13" w:rsidRPr="004B54B8">
        <w:rPr>
          <w:rFonts w:ascii="宋体" w:hAnsi="宋体"/>
          <w:sz w:val="24"/>
        </w:rPr>
        <w:t>注意风险。</w:t>
      </w:r>
    </w:p>
    <w:p w:rsidR="00794D29" w:rsidRDefault="00794D29" w:rsidP="003558DA">
      <w:pPr>
        <w:pStyle w:val="Default"/>
        <w:spacing w:line="360" w:lineRule="auto"/>
        <w:ind w:firstLine="480"/>
      </w:pPr>
      <w:r>
        <w:rPr>
          <w:rFonts w:hint="eastAsia"/>
        </w:rPr>
        <w:t>特此公告。</w:t>
      </w:r>
    </w:p>
    <w:p w:rsidR="00794D29" w:rsidRDefault="00794D29" w:rsidP="003558DA">
      <w:pPr>
        <w:pStyle w:val="Default"/>
        <w:spacing w:line="360" w:lineRule="auto"/>
        <w:ind w:firstLine="480"/>
      </w:pPr>
    </w:p>
    <w:p w:rsidR="00794D29" w:rsidRPr="00B26CA1" w:rsidRDefault="00794D29" w:rsidP="003558DA">
      <w:pPr>
        <w:pStyle w:val="Default"/>
        <w:spacing w:line="360" w:lineRule="auto"/>
        <w:ind w:firstLine="480"/>
      </w:pPr>
    </w:p>
    <w:p w:rsidR="00794D29" w:rsidRDefault="00794D29" w:rsidP="003558DA">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794D29" w:rsidRDefault="00794D29" w:rsidP="003558DA">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883FF6" w:rsidRPr="00242B13" w:rsidRDefault="00794D29" w:rsidP="00242B13">
      <w:pPr>
        <w:pStyle w:val="a7"/>
        <w:spacing w:line="360" w:lineRule="auto"/>
        <w:ind w:leftChars="0" w:left="0" w:firstLineChars="2175" w:firstLine="5220"/>
        <w:jc w:val="right"/>
        <w:rPr>
          <w:rFonts w:ascii="宋体" w:hAnsi="宋体"/>
        </w:rPr>
      </w:pPr>
      <w:r w:rsidRPr="000C6723">
        <w:rPr>
          <w:rFonts w:ascii="宋体" w:hAnsi="宋体" w:hint="eastAsia"/>
        </w:rPr>
        <w:t>201</w:t>
      </w:r>
      <w:r w:rsidR="00746505">
        <w:rPr>
          <w:rFonts w:ascii="宋体" w:hAnsi="宋体" w:hint="eastAsia"/>
        </w:rPr>
        <w:t>9</w:t>
      </w:r>
      <w:r w:rsidRPr="000C6723">
        <w:rPr>
          <w:rFonts w:ascii="宋体" w:hAnsi="宋体" w:hint="eastAsia"/>
        </w:rPr>
        <w:t>年</w:t>
      </w:r>
      <w:r w:rsidR="00746505">
        <w:rPr>
          <w:rFonts w:ascii="宋体" w:hAnsi="宋体" w:hint="eastAsia"/>
        </w:rPr>
        <w:t>4</w:t>
      </w:r>
      <w:r w:rsidRPr="000C6723">
        <w:rPr>
          <w:rFonts w:ascii="宋体" w:hAnsi="宋体" w:hint="eastAsia"/>
        </w:rPr>
        <w:t>月</w:t>
      </w:r>
      <w:r w:rsidR="00746505">
        <w:rPr>
          <w:rFonts w:ascii="宋体" w:hAnsi="宋体" w:hint="eastAsia"/>
        </w:rPr>
        <w:t>8</w:t>
      </w:r>
      <w:r w:rsidRPr="000C6723">
        <w:rPr>
          <w:rFonts w:ascii="宋体" w:hAnsi="宋体" w:hint="eastAsia"/>
        </w:rPr>
        <w:t>日</w:t>
      </w:r>
    </w:p>
    <w:sectPr w:rsidR="00883FF6" w:rsidRPr="00242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B9E" w:rsidRDefault="005B6B9E" w:rsidP="00794D29">
      <w:r>
        <w:separator/>
      </w:r>
    </w:p>
  </w:endnote>
  <w:endnote w:type="continuationSeparator" w:id="0">
    <w:p w:rsidR="005B6B9E" w:rsidRDefault="005B6B9E" w:rsidP="007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B9E" w:rsidRDefault="005B6B9E" w:rsidP="00794D29">
      <w:r>
        <w:separator/>
      </w:r>
    </w:p>
  </w:footnote>
  <w:footnote w:type="continuationSeparator" w:id="0">
    <w:p w:rsidR="005B6B9E" w:rsidRDefault="005B6B9E" w:rsidP="0079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start w:val="1"/>
      <w:numFmt w:val="bullet"/>
      <w:lvlText w:val=""/>
      <w:lvlJc w:val="left"/>
      <w:pPr>
        <w:tabs>
          <w:tab w:val="num" w:pos="1820"/>
        </w:tabs>
        <w:ind w:left="1820" w:hanging="420"/>
      </w:pPr>
      <w:rPr>
        <w:rFonts w:ascii="Wingdings" w:hAnsi="Wingdings" w:hint="default"/>
      </w:rPr>
    </w:lvl>
    <w:lvl w:ilvl="3" w:tplc="04090001">
      <w:start w:val="1"/>
      <w:numFmt w:val="bullet"/>
      <w:lvlText w:val=""/>
      <w:lvlJc w:val="left"/>
      <w:pPr>
        <w:tabs>
          <w:tab w:val="num" w:pos="2240"/>
        </w:tabs>
        <w:ind w:left="2240" w:hanging="420"/>
      </w:pPr>
      <w:rPr>
        <w:rFonts w:ascii="Wingdings" w:hAnsi="Wingdings" w:hint="default"/>
      </w:rPr>
    </w:lvl>
    <w:lvl w:ilvl="4" w:tplc="04090003">
      <w:start w:val="1"/>
      <w:numFmt w:val="bullet"/>
      <w:lvlText w:val=""/>
      <w:lvlJc w:val="left"/>
      <w:pPr>
        <w:tabs>
          <w:tab w:val="num" w:pos="2660"/>
        </w:tabs>
        <w:ind w:left="2660" w:hanging="420"/>
      </w:pPr>
      <w:rPr>
        <w:rFonts w:ascii="Wingdings" w:hAnsi="Wingdings" w:hint="default"/>
      </w:rPr>
    </w:lvl>
    <w:lvl w:ilvl="5" w:tplc="04090005">
      <w:start w:val="1"/>
      <w:numFmt w:val="bullet"/>
      <w:lvlText w:val=""/>
      <w:lvlJc w:val="left"/>
      <w:pPr>
        <w:tabs>
          <w:tab w:val="num" w:pos="3080"/>
        </w:tabs>
        <w:ind w:left="3080" w:hanging="420"/>
      </w:pPr>
      <w:rPr>
        <w:rFonts w:ascii="Wingdings" w:hAnsi="Wingdings" w:hint="default"/>
      </w:rPr>
    </w:lvl>
    <w:lvl w:ilvl="6" w:tplc="04090001">
      <w:start w:val="1"/>
      <w:numFmt w:val="bullet"/>
      <w:lvlText w:val=""/>
      <w:lvlJc w:val="left"/>
      <w:pPr>
        <w:tabs>
          <w:tab w:val="num" w:pos="3500"/>
        </w:tabs>
        <w:ind w:left="3500" w:hanging="420"/>
      </w:pPr>
      <w:rPr>
        <w:rFonts w:ascii="Wingdings" w:hAnsi="Wingdings" w:hint="default"/>
      </w:rPr>
    </w:lvl>
    <w:lvl w:ilvl="7" w:tplc="04090003">
      <w:start w:val="1"/>
      <w:numFmt w:val="bullet"/>
      <w:lvlText w:val=""/>
      <w:lvlJc w:val="left"/>
      <w:pPr>
        <w:tabs>
          <w:tab w:val="num" w:pos="3920"/>
        </w:tabs>
        <w:ind w:left="3920" w:hanging="420"/>
      </w:pPr>
      <w:rPr>
        <w:rFonts w:ascii="Wingdings" w:hAnsi="Wingdings" w:hint="default"/>
      </w:rPr>
    </w:lvl>
    <w:lvl w:ilvl="8" w:tplc="04090005">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D62"/>
    <w:rsid w:val="00005165"/>
    <w:rsid w:val="00031290"/>
    <w:rsid w:val="0003673E"/>
    <w:rsid w:val="0004169E"/>
    <w:rsid w:val="0004425A"/>
    <w:rsid w:val="00046314"/>
    <w:rsid w:val="00066871"/>
    <w:rsid w:val="00070E13"/>
    <w:rsid w:val="00073FB0"/>
    <w:rsid w:val="000868D6"/>
    <w:rsid w:val="000933C3"/>
    <w:rsid w:val="000A5890"/>
    <w:rsid w:val="000D1E7B"/>
    <w:rsid w:val="000D202B"/>
    <w:rsid w:val="000E3F26"/>
    <w:rsid w:val="000F0713"/>
    <w:rsid w:val="000F42AC"/>
    <w:rsid w:val="000F4E40"/>
    <w:rsid w:val="00117949"/>
    <w:rsid w:val="00136AF3"/>
    <w:rsid w:val="00150E3A"/>
    <w:rsid w:val="00182E39"/>
    <w:rsid w:val="00186187"/>
    <w:rsid w:val="001A2DC5"/>
    <w:rsid w:val="001A351D"/>
    <w:rsid w:val="001D111A"/>
    <w:rsid w:val="001D6C5B"/>
    <w:rsid w:val="001F1A4B"/>
    <w:rsid w:val="002040AD"/>
    <w:rsid w:val="00237E4E"/>
    <w:rsid w:val="00240E64"/>
    <w:rsid w:val="00242B13"/>
    <w:rsid w:val="002443AD"/>
    <w:rsid w:val="00251327"/>
    <w:rsid w:val="00257A0F"/>
    <w:rsid w:val="002625C6"/>
    <w:rsid w:val="00286167"/>
    <w:rsid w:val="002933C5"/>
    <w:rsid w:val="002977C4"/>
    <w:rsid w:val="002B6CBF"/>
    <w:rsid w:val="002C0D9A"/>
    <w:rsid w:val="002F05BE"/>
    <w:rsid w:val="002F1239"/>
    <w:rsid w:val="002F423C"/>
    <w:rsid w:val="003238C8"/>
    <w:rsid w:val="00335854"/>
    <w:rsid w:val="0034608E"/>
    <w:rsid w:val="003470D8"/>
    <w:rsid w:val="003558DA"/>
    <w:rsid w:val="00361D7E"/>
    <w:rsid w:val="00376AA7"/>
    <w:rsid w:val="0038120C"/>
    <w:rsid w:val="003818CB"/>
    <w:rsid w:val="00382467"/>
    <w:rsid w:val="00384BAD"/>
    <w:rsid w:val="00387D2D"/>
    <w:rsid w:val="0039139B"/>
    <w:rsid w:val="00391D2B"/>
    <w:rsid w:val="00393420"/>
    <w:rsid w:val="003952E4"/>
    <w:rsid w:val="003955E9"/>
    <w:rsid w:val="003B3F0A"/>
    <w:rsid w:val="003C2E66"/>
    <w:rsid w:val="003C40CC"/>
    <w:rsid w:val="003E325B"/>
    <w:rsid w:val="004065C1"/>
    <w:rsid w:val="0042013F"/>
    <w:rsid w:val="00431D5C"/>
    <w:rsid w:val="00434097"/>
    <w:rsid w:val="00434355"/>
    <w:rsid w:val="00440568"/>
    <w:rsid w:val="00441081"/>
    <w:rsid w:val="00444B0B"/>
    <w:rsid w:val="00444C02"/>
    <w:rsid w:val="00462DF4"/>
    <w:rsid w:val="00464391"/>
    <w:rsid w:val="004653F3"/>
    <w:rsid w:val="00465487"/>
    <w:rsid w:val="00476B12"/>
    <w:rsid w:val="00476DEA"/>
    <w:rsid w:val="00482B46"/>
    <w:rsid w:val="004A735D"/>
    <w:rsid w:val="004B0645"/>
    <w:rsid w:val="004B33BC"/>
    <w:rsid w:val="004D07C9"/>
    <w:rsid w:val="004F1076"/>
    <w:rsid w:val="004F30E0"/>
    <w:rsid w:val="004F608F"/>
    <w:rsid w:val="0052148E"/>
    <w:rsid w:val="00522CDD"/>
    <w:rsid w:val="005447A6"/>
    <w:rsid w:val="005654FD"/>
    <w:rsid w:val="0057366B"/>
    <w:rsid w:val="0057767E"/>
    <w:rsid w:val="00591057"/>
    <w:rsid w:val="005916F8"/>
    <w:rsid w:val="00595116"/>
    <w:rsid w:val="00596B88"/>
    <w:rsid w:val="005A21BF"/>
    <w:rsid w:val="005B26E3"/>
    <w:rsid w:val="005B6B9E"/>
    <w:rsid w:val="005C0167"/>
    <w:rsid w:val="005D7710"/>
    <w:rsid w:val="005E09A1"/>
    <w:rsid w:val="005F2B90"/>
    <w:rsid w:val="00617D8F"/>
    <w:rsid w:val="006308F8"/>
    <w:rsid w:val="00636A83"/>
    <w:rsid w:val="006375E6"/>
    <w:rsid w:val="00645191"/>
    <w:rsid w:val="0066453A"/>
    <w:rsid w:val="006710E6"/>
    <w:rsid w:val="00680150"/>
    <w:rsid w:val="006934D6"/>
    <w:rsid w:val="006967C9"/>
    <w:rsid w:val="006A052E"/>
    <w:rsid w:val="006B4517"/>
    <w:rsid w:val="006C06BB"/>
    <w:rsid w:val="006C79A7"/>
    <w:rsid w:val="006F3D8C"/>
    <w:rsid w:val="00707C28"/>
    <w:rsid w:val="00723F25"/>
    <w:rsid w:val="00725576"/>
    <w:rsid w:val="007438B8"/>
    <w:rsid w:val="00746505"/>
    <w:rsid w:val="007502F1"/>
    <w:rsid w:val="00754AD6"/>
    <w:rsid w:val="007666AB"/>
    <w:rsid w:val="0077017A"/>
    <w:rsid w:val="007742AE"/>
    <w:rsid w:val="00792198"/>
    <w:rsid w:val="00794D29"/>
    <w:rsid w:val="007960FF"/>
    <w:rsid w:val="007A0B8A"/>
    <w:rsid w:val="007C5E1D"/>
    <w:rsid w:val="0081134F"/>
    <w:rsid w:val="00822E0C"/>
    <w:rsid w:val="008302B8"/>
    <w:rsid w:val="0085588A"/>
    <w:rsid w:val="008769B1"/>
    <w:rsid w:val="00877C3A"/>
    <w:rsid w:val="00883565"/>
    <w:rsid w:val="00883FF6"/>
    <w:rsid w:val="00887BB6"/>
    <w:rsid w:val="008B1BB9"/>
    <w:rsid w:val="008D12F7"/>
    <w:rsid w:val="008D337C"/>
    <w:rsid w:val="008D33E9"/>
    <w:rsid w:val="008E2F21"/>
    <w:rsid w:val="008E60F4"/>
    <w:rsid w:val="00917606"/>
    <w:rsid w:val="009371F8"/>
    <w:rsid w:val="00951333"/>
    <w:rsid w:val="009542FD"/>
    <w:rsid w:val="00960E7B"/>
    <w:rsid w:val="00976504"/>
    <w:rsid w:val="00984BF1"/>
    <w:rsid w:val="00991816"/>
    <w:rsid w:val="009A0E55"/>
    <w:rsid w:val="009C4CF7"/>
    <w:rsid w:val="009D24BE"/>
    <w:rsid w:val="00A03B17"/>
    <w:rsid w:val="00A369D1"/>
    <w:rsid w:val="00A43FCB"/>
    <w:rsid w:val="00A72EDB"/>
    <w:rsid w:val="00AB3AA5"/>
    <w:rsid w:val="00AB634A"/>
    <w:rsid w:val="00AB7AE5"/>
    <w:rsid w:val="00AD6935"/>
    <w:rsid w:val="00AF2112"/>
    <w:rsid w:val="00B02B21"/>
    <w:rsid w:val="00B1317B"/>
    <w:rsid w:val="00B24B26"/>
    <w:rsid w:val="00B2535F"/>
    <w:rsid w:val="00B45D62"/>
    <w:rsid w:val="00B55E7E"/>
    <w:rsid w:val="00B64ADC"/>
    <w:rsid w:val="00B723E4"/>
    <w:rsid w:val="00B86CC6"/>
    <w:rsid w:val="00BA3EBD"/>
    <w:rsid w:val="00BB4742"/>
    <w:rsid w:val="00BF3812"/>
    <w:rsid w:val="00BF5A4D"/>
    <w:rsid w:val="00C22FC8"/>
    <w:rsid w:val="00C6610B"/>
    <w:rsid w:val="00C72026"/>
    <w:rsid w:val="00C82CCE"/>
    <w:rsid w:val="00C8546E"/>
    <w:rsid w:val="00C9121B"/>
    <w:rsid w:val="00C91DC2"/>
    <w:rsid w:val="00CA0752"/>
    <w:rsid w:val="00CA2941"/>
    <w:rsid w:val="00CC4D0C"/>
    <w:rsid w:val="00CD240F"/>
    <w:rsid w:val="00CD4AC9"/>
    <w:rsid w:val="00CE2A39"/>
    <w:rsid w:val="00CE52A4"/>
    <w:rsid w:val="00CF26E0"/>
    <w:rsid w:val="00D02799"/>
    <w:rsid w:val="00D0704A"/>
    <w:rsid w:val="00D10A9E"/>
    <w:rsid w:val="00D14D83"/>
    <w:rsid w:val="00D24D14"/>
    <w:rsid w:val="00D457C5"/>
    <w:rsid w:val="00D47BA4"/>
    <w:rsid w:val="00D6301B"/>
    <w:rsid w:val="00D7422E"/>
    <w:rsid w:val="00D85BFA"/>
    <w:rsid w:val="00D87489"/>
    <w:rsid w:val="00D95030"/>
    <w:rsid w:val="00D97FA9"/>
    <w:rsid w:val="00DA268D"/>
    <w:rsid w:val="00DA49C1"/>
    <w:rsid w:val="00DB5605"/>
    <w:rsid w:val="00DB6768"/>
    <w:rsid w:val="00DC3EEF"/>
    <w:rsid w:val="00DC4DA1"/>
    <w:rsid w:val="00DC6311"/>
    <w:rsid w:val="00DC76D2"/>
    <w:rsid w:val="00DD2885"/>
    <w:rsid w:val="00DD2F11"/>
    <w:rsid w:val="00DE2EF5"/>
    <w:rsid w:val="00DE52DE"/>
    <w:rsid w:val="00E03B3D"/>
    <w:rsid w:val="00E0691E"/>
    <w:rsid w:val="00E0777E"/>
    <w:rsid w:val="00E34DA4"/>
    <w:rsid w:val="00E47D81"/>
    <w:rsid w:val="00E6504F"/>
    <w:rsid w:val="00E83288"/>
    <w:rsid w:val="00E85452"/>
    <w:rsid w:val="00EA0A95"/>
    <w:rsid w:val="00EB27B7"/>
    <w:rsid w:val="00ED38D1"/>
    <w:rsid w:val="00EE3428"/>
    <w:rsid w:val="00F1432F"/>
    <w:rsid w:val="00F25707"/>
    <w:rsid w:val="00F27162"/>
    <w:rsid w:val="00F27AB4"/>
    <w:rsid w:val="00F30588"/>
    <w:rsid w:val="00F31287"/>
    <w:rsid w:val="00F5336F"/>
    <w:rsid w:val="00F55AC0"/>
    <w:rsid w:val="00F823EC"/>
    <w:rsid w:val="00F844B2"/>
    <w:rsid w:val="00F91EB0"/>
    <w:rsid w:val="00FA1A6D"/>
    <w:rsid w:val="00FA5A2B"/>
    <w:rsid w:val="00FA6669"/>
    <w:rsid w:val="00FB349E"/>
    <w:rsid w:val="00FB3CC7"/>
    <w:rsid w:val="00FD7BF2"/>
    <w:rsid w:val="00FE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EF629B-F484-4F78-ABD8-F5CB71D1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4D29"/>
    <w:rPr>
      <w:sz w:val="18"/>
      <w:szCs w:val="18"/>
    </w:rPr>
  </w:style>
  <w:style w:type="paragraph" w:styleId="a5">
    <w:name w:val="footer"/>
    <w:basedOn w:val="a"/>
    <w:link w:val="a6"/>
    <w:uiPriority w:val="99"/>
    <w:unhideWhenUsed/>
    <w:rsid w:val="00794D29"/>
    <w:pPr>
      <w:tabs>
        <w:tab w:val="center" w:pos="4153"/>
        <w:tab w:val="right" w:pos="8306"/>
      </w:tabs>
      <w:snapToGrid w:val="0"/>
      <w:jc w:val="left"/>
    </w:pPr>
    <w:rPr>
      <w:sz w:val="18"/>
      <w:szCs w:val="18"/>
    </w:rPr>
  </w:style>
  <w:style w:type="character" w:customStyle="1" w:styleId="a6">
    <w:name w:val="页脚 字符"/>
    <w:basedOn w:val="a0"/>
    <w:link w:val="a5"/>
    <w:uiPriority w:val="99"/>
    <w:rsid w:val="00794D29"/>
    <w:rPr>
      <w:sz w:val="18"/>
      <w:szCs w:val="18"/>
    </w:rPr>
  </w:style>
  <w:style w:type="paragraph" w:styleId="a7">
    <w:name w:val="Date"/>
    <w:basedOn w:val="a"/>
    <w:next w:val="a"/>
    <w:link w:val="a8"/>
    <w:rsid w:val="00794D29"/>
    <w:pPr>
      <w:ind w:leftChars="2500" w:left="100"/>
    </w:pPr>
    <w:rPr>
      <w:sz w:val="24"/>
    </w:rPr>
  </w:style>
  <w:style w:type="character" w:customStyle="1" w:styleId="a8">
    <w:name w:val="日期 字符"/>
    <w:basedOn w:val="a0"/>
    <w:link w:val="a7"/>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 w:type="paragraph" w:styleId="a9">
    <w:name w:val="List Paragraph"/>
    <w:basedOn w:val="a"/>
    <w:uiPriority w:val="34"/>
    <w:qFormat/>
    <w:rsid w:val="00DB6768"/>
    <w:pPr>
      <w:ind w:firstLineChars="200" w:firstLine="420"/>
    </w:pPr>
  </w:style>
  <w:style w:type="paragraph" w:styleId="aa">
    <w:name w:val="Balloon Text"/>
    <w:basedOn w:val="a"/>
    <w:link w:val="ab"/>
    <w:uiPriority w:val="99"/>
    <w:semiHidden/>
    <w:unhideWhenUsed/>
    <w:rsid w:val="007A0B8A"/>
    <w:rPr>
      <w:sz w:val="18"/>
      <w:szCs w:val="18"/>
    </w:rPr>
  </w:style>
  <w:style w:type="character" w:customStyle="1" w:styleId="ab">
    <w:name w:val="批注框文本 字符"/>
    <w:basedOn w:val="a0"/>
    <w:link w:val="aa"/>
    <w:uiPriority w:val="99"/>
    <w:semiHidden/>
    <w:rsid w:val="007A0B8A"/>
    <w:rPr>
      <w:rFonts w:ascii="Times New Roman" w:eastAsia="宋体" w:hAnsi="Times New Roman" w:cs="Times New Roman"/>
      <w:sz w:val="18"/>
      <w:szCs w:val="18"/>
    </w:rPr>
  </w:style>
  <w:style w:type="paragraph" w:styleId="HTML">
    <w:name w:val="HTML Preformatted"/>
    <w:basedOn w:val="a"/>
    <w:link w:val="HTML0"/>
    <w:uiPriority w:val="99"/>
    <w:semiHidden/>
    <w:unhideWhenUsed/>
    <w:rsid w:val="00B64A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B64ADC"/>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27114">
      <w:bodyDiv w:val="1"/>
      <w:marLeft w:val="0"/>
      <w:marRight w:val="0"/>
      <w:marTop w:val="0"/>
      <w:marBottom w:val="0"/>
      <w:divBdr>
        <w:top w:val="none" w:sz="0" w:space="0" w:color="auto"/>
        <w:left w:val="none" w:sz="0" w:space="0" w:color="auto"/>
        <w:bottom w:val="none" w:sz="0" w:space="0" w:color="auto"/>
        <w:right w:val="none" w:sz="0" w:space="0" w:color="auto"/>
      </w:divBdr>
    </w:div>
    <w:div w:id="1049380919">
      <w:bodyDiv w:val="1"/>
      <w:marLeft w:val="0"/>
      <w:marRight w:val="0"/>
      <w:marTop w:val="0"/>
      <w:marBottom w:val="0"/>
      <w:divBdr>
        <w:top w:val="none" w:sz="0" w:space="0" w:color="auto"/>
        <w:left w:val="none" w:sz="0" w:space="0" w:color="auto"/>
        <w:bottom w:val="none" w:sz="0" w:space="0" w:color="auto"/>
        <w:right w:val="none" w:sz="0" w:space="0" w:color="auto"/>
      </w:divBdr>
    </w:div>
    <w:div w:id="2073649377">
      <w:bodyDiv w:val="1"/>
      <w:marLeft w:val="0"/>
      <w:marRight w:val="0"/>
      <w:marTop w:val="0"/>
      <w:marBottom w:val="0"/>
      <w:divBdr>
        <w:top w:val="none" w:sz="0" w:space="0" w:color="auto"/>
        <w:left w:val="none" w:sz="0" w:space="0" w:color="auto"/>
        <w:bottom w:val="none" w:sz="0" w:space="0" w:color="auto"/>
        <w:right w:val="none" w:sz="0" w:space="0" w:color="auto"/>
      </w:divBdr>
    </w:div>
    <w:div w:id="20999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jswz</dc:creator>
  <cp:lastModifiedBy>chenjh@600200.com</cp:lastModifiedBy>
  <cp:revision>144</cp:revision>
  <cp:lastPrinted>2019-04-07T05:26:00Z</cp:lastPrinted>
  <dcterms:created xsi:type="dcterms:W3CDTF">2018-04-13T05:26:00Z</dcterms:created>
  <dcterms:modified xsi:type="dcterms:W3CDTF">2019-04-07T08:20:00Z</dcterms:modified>
</cp:coreProperties>
</file>