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167" w:rsidRPr="00657A6C" w:rsidRDefault="002B3167" w:rsidP="002B3167">
      <w:pPr>
        <w:autoSpaceDE w:val="0"/>
        <w:autoSpaceDN w:val="0"/>
        <w:adjustRightInd w:val="0"/>
        <w:spacing w:line="360" w:lineRule="auto"/>
        <w:rPr>
          <w:rFonts w:ascii="宋体" w:hAnsi="宋体" w:cs="Arial"/>
          <w:kern w:val="0"/>
          <w:sz w:val="24"/>
        </w:rPr>
      </w:pPr>
      <w:r w:rsidRPr="00657A6C">
        <w:rPr>
          <w:rFonts w:ascii="宋体" w:hAnsi="宋体" w:cs="宋体" w:hint="eastAsia"/>
          <w:kern w:val="0"/>
          <w:sz w:val="24"/>
        </w:rPr>
        <w:t>证券代码：</w:t>
      </w:r>
      <w:r w:rsidRPr="00657A6C">
        <w:rPr>
          <w:rFonts w:ascii="宋体" w:hAnsi="宋体" w:cs="Arial"/>
          <w:kern w:val="0"/>
          <w:sz w:val="24"/>
        </w:rPr>
        <w:t>600</w:t>
      </w:r>
      <w:r w:rsidRPr="00657A6C">
        <w:rPr>
          <w:rFonts w:ascii="宋体" w:hAnsi="宋体" w:cs="Arial" w:hint="eastAsia"/>
          <w:kern w:val="0"/>
          <w:sz w:val="24"/>
        </w:rPr>
        <w:t xml:space="preserve">200  </w:t>
      </w:r>
      <w:r w:rsidRPr="00657A6C">
        <w:rPr>
          <w:rFonts w:ascii="宋体" w:hAnsi="宋体" w:cs="Arial"/>
          <w:kern w:val="0"/>
          <w:sz w:val="24"/>
        </w:rPr>
        <w:t xml:space="preserve"> </w:t>
      </w:r>
      <w:r w:rsidRPr="00657A6C">
        <w:rPr>
          <w:rFonts w:ascii="宋体" w:hAnsi="宋体" w:cs="Arial" w:hint="eastAsia"/>
          <w:kern w:val="0"/>
          <w:sz w:val="24"/>
        </w:rPr>
        <w:t xml:space="preserve">      </w:t>
      </w:r>
      <w:r w:rsidRPr="00657A6C">
        <w:rPr>
          <w:rFonts w:ascii="宋体" w:hAnsi="宋体" w:cs="宋体" w:hint="eastAsia"/>
          <w:kern w:val="0"/>
          <w:sz w:val="24"/>
        </w:rPr>
        <w:t>证券简称：江苏吴中</w:t>
      </w:r>
      <w:r w:rsidRPr="00657A6C">
        <w:rPr>
          <w:rFonts w:ascii="宋体" w:hAnsi="宋体" w:cs="宋体"/>
          <w:kern w:val="0"/>
          <w:sz w:val="24"/>
        </w:rPr>
        <w:t xml:space="preserve"> </w:t>
      </w:r>
      <w:r w:rsidRPr="00657A6C">
        <w:rPr>
          <w:rFonts w:ascii="宋体" w:hAnsi="宋体" w:cs="宋体" w:hint="eastAsia"/>
          <w:kern w:val="0"/>
          <w:sz w:val="24"/>
        </w:rPr>
        <w:t xml:space="preserve">      </w:t>
      </w:r>
      <w:r w:rsidRPr="00243A95">
        <w:rPr>
          <w:rFonts w:ascii="宋体" w:hAnsi="宋体" w:cs="Arial" w:hint="eastAsia"/>
          <w:kern w:val="0"/>
          <w:sz w:val="24"/>
        </w:rPr>
        <w:t>公告编号：临</w:t>
      </w:r>
      <w:r w:rsidRPr="00F74C92">
        <w:rPr>
          <w:rFonts w:ascii="宋体" w:hAnsi="宋体" w:cs="Arial" w:hint="eastAsia"/>
          <w:kern w:val="0"/>
          <w:sz w:val="24"/>
        </w:rPr>
        <w:t>2020-00</w:t>
      </w:r>
      <w:r w:rsidR="00B25487">
        <w:rPr>
          <w:rFonts w:ascii="宋体" w:hAnsi="宋体" w:cs="Arial" w:hint="eastAsia"/>
          <w:kern w:val="0"/>
          <w:sz w:val="24"/>
        </w:rPr>
        <w:t>4</w:t>
      </w:r>
    </w:p>
    <w:p w:rsidR="002B3167" w:rsidRPr="00657A6C" w:rsidRDefault="002B3167" w:rsidP="002B3167">
      <w:pPr>
        <w:autoSpaceDE w:val="0"/>
        <w:autoSpaceDN w:val="0"/>
        <w:adjustRightInd w:val="0"/>
        <w:spacing w:line="360" w:lineRule="auto"/>
        <w:jc w:val="center"/>
        <w:rPr>
          <w:rFonts w:ascii="黑体" w:eastAsia="黑体" w:hAnsi="宋体" w:cs="黑体"/>
          <w:kern w:val="0"/>
          <w:sz w:val="30"/>
          <w:szCs w:val="30"/>
        </w:rPr>
      </w:pPr>
    </w:p>
    <w:p w:rsidR="002B3167" w:rsidRPr="002335C1" w:rsidRDefault="002B3167" w:rsidP="002B3167">
      <w:pPr>
        <w:spacing w:line="360" w:lineRule="auto"/>
        <w:jc w:val="center"/>
        <w:rPr>
          <w:rFonts w:ascii="黑体" w:eastAsia="黑体" w:hAnsi="宋体"/>
          <w:b/>
          <w:bCs/>
          <w:color w:val="FF0000"/>
          <w:sz w:val="32"/>
          <w:szCs w:val="32"/>
        </w:rPr>
      </w:pPr>
      <w:r w:rsidRPr="002335C1">
        <w:rPr>
          <w:rFonts w:ascii="黑体" w:eastAsia="黑体" w:hAnsi="宋体" w:hint="eastAsia"/>
          <w:b/>
          <w:bCs/>
          <w:color w:val="FF0000"/>
          <w:sz w:val="32"/>
          <w:szCs w:val="32"/>
        </w:rPr>
        <w:t>江苏吴中实业股份有限公司</w:t>
      </w:r>
    </w:p>
    <w:p w:rsidR="002B3167" w:rsidRPr="002335C1" w:rsidRDefault="002B3167" w:rsidP="002B3167">
      <w:pPr>
        <w:spacing w:line="360" w:lineRule="auto"/>
        <w:jc w:val="center"/>
        <w:rPr>
          <w:rFonts w:ascii="黑体" w:eastAsia="黑体" w:hAnsi="宋体"/>
          <w:b/>
          <w:bCs/>
          <w:color w:val="FF0000"/>
          <w:sz w:val="32"/>
          <w:szCs w:val="32"/>
        </w:rPr>
      </w:pPr>
      <w:r>
        <w:rPr>
          <w:rFonts w:ascii="黑体" w:eastAsia="黑体" w:hAnsi="宋体" w:hint="eastAsia"/>
          <w:b/>
          <w:bCs/>
          <w:color w:val="FF0000"/>
          <w:sz w:val="32"/>
          <w:szCs w:val="32"/>
        </w:rPr>
        <w:t>股票交易</w:t>
      </w:r>
      <w:r w:rsidR="00B25487">
        <w:rPr>
          <w:rFonts w:ascii="黑体" w:eastAsia="黑体" w:hAnsi="宋体" w:hint="eastAsia"/>
          <w:b/>
          <w:bCs/>
          <w:color w:val="FF0000"/>
          <w:sz w:val="32"/>
          <w:szCs w:val="32"/>
        </w:rPr>
        <w:t>风险提示</w:t>
      </w:r>
      <w:r w:rsidRPr="002335C1">
        <w:rPr>
          <w:rFonts w:ascii="黑体" w:eastAsia="黑体" w:hAnsi="宋体" w:hint="eastAsia"/>
          <w:b/>
          <w:bCs/>
          <w:color w:val="FF0000"/>
          <w:sz w:val="32"/>
          <w:szCs w:val="32"/>
        </w:rPr>
        <w:t>公告</w:t>
      </w:r>
    </w:p>
    <w:p w:rsidR="002B3167" w:rsidRDefault="002B3167" w:rsidP="002B3167">
      <w:pPr>
        <w:autoSpaceDE w:val="0"/>
        <w:autoSpaceDN w:val="0"/>
        <w:adjustRightInd w:val="0"/>
        <w:spacing w:line="360" w:lineRule="auto"/>
        <w:ind w:firstLineChars="200" w:firstLine="482"/>
        <w:rPr>
          <w:rFonts w:ascii="ˎ̥" w:hAnsi="ˎ̥" w:hint="eastAsia"/>
          <w:b/>
          <w:color w:val="000000"/>
          <w:sz w:val="24"/>
        </w:rPr>
      </w:pPr>
    </w:p>
    <w:p w:rsidR="002B3167" w:rsidRPr="00467916" w:rsidRDefault="002B3167" w:rsidP="002B3167">
      <w:pPr>
        <w:autoSpaceDE w:val="0"/>
        <w:autoSpaceDN w:val="0"/>
        <w:adjustRightInd w:val="0"/>
        <w:spacing w:line="360" w:lineRule="auto"/>
        <w:ind w:firstLineChars="200" w:firstLine="482"/>
        <w:rPr>
          <w:rFonts w:ascii="ˎ̥" w:hAnsi="ˎ̥" w:hint="eastAsia"/>
          <w:b/>
          <w:color w:val="000000"/>
          <w:sz w:val="24"/>
        </w:rPr>
      </w:pPr>
      <w:r w:rsidRPr="00467916">
        <w:rPr>
          <w:rFonts w:ascii="ˎ̥" w:hAnsi="ˎ̥" w:hint="eastAsia"/>
          <w:b/>
          <w:color w:val="000000"/>
          <w:sz w:val="24"/>
        </w:rPr>
        <w:t>本公司董事会及全体董事保证本公告内容不存在任何虚假记载、误导性陈述或者重大遗漏，并对其内容的真实性、准确性和完整性承担个别及连带责任。</w:t>
      </w:r>
    </w:p>
    <w:p w:rsidR="002B3167" w:rsidRDefault="002B3167" w:rsidP="002B3167">
      <w:pPr>
        <w:autoSpaceDE w:val="0"/>
        <w:autoSpaceDN w:val="0"/>
        <w:adjustRightInd w:val="0"/>
        <w:spacing w:line="360" w:lineRule="auto"/>
        <w:ind w:firstLineChars="200" w:firstLine="480"/>
        <w:rPr>
          <w:rFonts w:ascii="ˎ̥" w:hAnsi="ˎ̥" w:hint="eastAsia"/>
          <w:color w:val="000000"/>
          <w:sz w:val="24"/>
        </w:rPr>
      </w:pPr>
    </w:p>
    <w:p w:rsidR="002B3167" w:rsidRDefault="002B3167" w:rsidP="002B3167">
      <w:pPr>
        <w:widowControl/>
        <w:spacing w:line="360" w:lineRule="auto"/>
        <w:jc w:val="left"/>
        <w:rPr>
          <w:rFonts w:ascii="宋体" w:hAnsi="宋体" w:cs="宋体"/>
          <w:b/>
          <w:color w:val="000000"/>
          <w:kern w:val="0"/>
          <w:sz w:val="24"/>
        </w:rPr>
      </w:pPr>
      <w:r w:rsidRPr="008D57C6">
        <w:rPr>
          <w:rFonts w:ascii="宋体" w:hAnsi="宋体" w:cs="宋体" w:hint="eastAsia"/>
          <w:b/>
          <w:color w:val="000000"/>
          <w:kern w:val="0"/>
          <w:sz w:val="24"/>
        </w:rPr>
        <w:t>重要内容提示：</w:t>
      </w:r>
    </w:p>
    <w:p w:rsidR="002B3167" w:rsidRDefault="00B25487" w:rsidP="00FE4CFC">
      <w:pPr>
        <w:pStyle w:val="a5"/>
        <w:widowControl/>
        <w:numPr>
          <w:ilvl w:val="0"/>
          <w:numId w:val="1"/>
        </w:numPr>
        <w:spacing w:line="360" w:lineRule="auto"/>
        <w:ind w:firstLineChars="0"/>
        <w:jc w:val="left"/>
        <w:rPr>
          <w:rFonts w:ascii="宋体" w:hAnsi="宋体" w:cs="宋体"/>
          <w:color w:val="000000"/>
          <w:kern w:val="0"/>
          <w:sz w:val="24"/>
        </w:rPr>
      </w:pPr>
      <w:r w:rsidRPr="009B06C3">
        <w:rPr>
          <w:rFonts w:ascii="宋体" w:hAnsi="宋体" w:cs="宋体" w:hint="eastAsia"/>
          <w:color w:val="000000"/>
          <w:kern w:val="0"/>
          <w:sz w:val="24"/>
        </w:rPr>
        <w:t>截至2020年1月2</w:t>
      </w:r>
      <w:r>
        <w:rPr>
          <w:rFonts w:ascii="宋体" w:hAnsi="宋体" w:cs="宋体" w:hint="eastAsia"/>
          <w:color w:val="000000"/>
          <w:kern w:val="0"/>
          <w:sz w:val="24"/>
        </w:rPr>
        <w:t>3</w:t>
      </w:r>
      <w:r w:rsidRPr="009B06C3">
        <w:rPr>
          <w:rFonts w:ascii="宋体" w:hAnsi="宋体" w:cs="宋体" w:hint="eastAsia"/>
          <w:color w:val="000000"/>
          <w:kern w:val="0"/>
          <w:sz w:val="24"/>
        </w:rPr>
        <w:t>日收盘</w:t>
      </w:r>
      <w:r w:rsidR="00C274E2">
        <w:rPr>
          <w:rFonts w:ascii="宋体" w:hAnsi="宋体" w:cs="宋体" w:hint="eastAsia"/>
          <w:color w:val="000000"/>
          <w:kern w:val="0"/>
          <w:sz w:val="24"/>
        </w:rPr>
        <w:t>，</w:t>
      </w:r>
      <w:r w:rsidR="00C274E2" w:rsidRPr="00243A95">
        <w:rPr>
          <w:rFonts w:ascii="宋体" w:hAnsi="宋体" w:cs="宋体" w:hint="eastAsia"/>
          <w:color w:val="000000"/>
          <w:kern w:val="0"/>
          <w:sz w:val="24"/>
        </w:rPr>
        <w:t>江苏吴中实业股份有限公司（以下简称“公司”或“上市公司”）</w:t>
      </w:r>
      <w:r w:rsidRPr="009165CD">
        <w:rPr>
          <w:rFonts w:ascii="宋体" w:hAnsi="宋体" w:cs="宋体" w:hint="eastAsia"/>
          <w:color w:val="000000"/>
          <w:kern w:val="0"/>
          <w:sz w:val="24"/>
        </w:rPr>
        <w:t>动态市盈率为</w:t>
      </w:r>
      <w:r w:rsidR="009165CD" w:rsidRPr="009165CD">
        <w:rPr>
          <w:rFonts w:ascii="宋体" w:hAnsi="宋体" w:cs="宋体" w:hint="eastAsia"/>
          <w:color w:val="000000"/>
          <w:kern w:val="0"/>
          <w:sz w:val="24"/>
        </w:rPr>
        <w:t>71.20</w:t>
      </w:r>
      <w:r w:rsidRPr="009165CD">
        <w:rPr>
          <w:rFonts w:ascii="宋体" w:hAnsi="宋体" w:cs="宋体" w:hint="eastAsia"/>
          <w:color w:val="000000"/>
          <w:kern w:val="0"/>
          <w:sz w:val="24"/>
        </w:rPr>
        <w:t>倍，动态市盈率较高</w:t>
      </w:r>
      <w:r w:rsidR="00FE4CFC">
        <w:rPr>
          <w:rFonts w:ascii="宋体" w:hAnsi="宋体" w:cs="宋体" w:hint="eastAsia"/>
          <w:color w:val="000000"/>
          <w:kern w:val="0"/>
          <w:sz w:val="24"/>
        </w:rPr>
        <w:t>。</w:t>
      </w:r>
    </w:p>
    <w:p w:rsidR="00F74C92" w:rsidRDefault="00B25487" w:rsidP="00F74C92">
      <w:pPr>
        <w:pStyle w:val="a5"/>
        <w:widowControl/>
        <w:numPr>
          <w:ilvl w:val="0"/>
          <w:numId w:val="1"/>
        </w:numPr>
        <w:spacing w:line="360" w:lineRule="auto"/>
        <w:ind w:firstLineChars="0"/>
        <w:jc w:val="left"/>
        <w:rPr>
          <w:rFonts w:ascii="宋体" w:hAnsi="宋体" w:cs="宋体"/>
          <w:color w:val="000000"/>
          <w:kern w:val="0"/>
          <w:sz w:val="24"/>
        </w:rPr>
      </w:pPr>
      <w:r>
        <w:rPr>
          <w:rFonts w:asciiTheme="minorEastAsia" w:eastAsiaTheme="minorEastAsia" w:hAnsiTheme="minorEastAsia" w:hint="eastAsia"/>
          <w:sz w:val="24"/>
        </w:rPr>
        <w:t>公司2019</w:t>
      </w:r>
      <w:r w:rsidRPr="00647B9B">
        <w:rPr>
          <w:rFonts w:asciiTheme="minorEastAsia" w:eastAsiaTheme="minorEastAsia" w:hAnsiTheme="minorEastAsia" w:hint="eastAsia"/>
          <w:sz w:val="24"/>
        </w:rPr>
        <w:t>扣除非经常性损益后</w:t>
      </w:r>
      <w:r w:rsidRPr="00207142">
        <w:rPr>
          <w:rFonts w:asciiTheme="minorEastAsia" w:eastAsiaTheme="minorEastAsia" w:hAnsiTheme="minorEastAsia" w:hint="eastAsia"/>
          <w:sz w:val="24"/>
        </w:rPr>
        <w:t>预计</w:t>
      </w:r>
      <w:r>
        <w:rPr>
          <w:rFonts w:asciiTheme="minorEastAsia" w:eastAsiaTheme="minorEastAsia" w:hAnsiTheme="minorEastAsia" w:hint="eastAsia"/>
          <w:sz w:val="24"/>
        </w:rPr>
        <w:t>亏损8,000万元左右</w:t>
      </w:r>
      <w:r w:rsidR="009D3DC1" w:rsidRPr="00F74C92">
        <w:rPr>
          <w:rFonts w:ascii="宋体" w:hAnsi="宋体" w:cs="宋体" w:hint="eastAsia"/>
          <w:color w:val="000000"/>
          <w:kern w:val="0"/>
          <w:sz w:val="24"/>
        </w:rPr>
        <w:t>。</w:t>
      </w:r>
    </w:p>
    <w:p w:rsidR="00B25487" w:rsidRPr="00B25487" w:rsidRDefault="00B25487" w:rsidP="00F74C92">
      <w:pPr>
        <w:pStyle w:val="a5"/>
        <w:widowControl/>
        <w:numPr>
          <w:ilvl w:val="0"/>
          <w:numId w:val="1"/>
        </w:numPr>
        <w:spacing w:line="360" w:lineRule="auto"/>
        <w:ind w:firstLineChars="0"/>
        <w:jc w:val="left"/>
        <w:rPr>
          <w:rFonts w:ascii="宋体" w:hAnsi="宋体" w:cs="宋体"/>
          <w:color w:val="000000"/>
          <w:kern w:val="0"/>
          <w:sz w:val="24"/>
        </w:rPr>
      </w:pPr>
      <w:r w:rsidRPr="00E53559">
        <w:rPr>
          <w:rFonts w:asciiTheme="minorEastAsia" w:eastAsiaTheme="minorEastAsia" w:hAnsiTheme="minorEastAsia" w:hint="eastAsia"/>
          <w:sz w:val="24"/>
        </w:rPr>
        <w:t>目前尚无证据表明</w:t>
      </w:r>
      <w:r>
        <w:rPr>
          <w:rFonts w:asciiTheme="minorEastAsia" w:eastAsiaTheme="minorEastAsia" w:hAnsiTheme="minorEastAsia" w:hint="eastAsia"/>
          <w:sz w:val="24"/>
        </w:rPr>
        <w:t>盐酸阿比多尔片</w:t>
      </w:r>
      <w:r w:rsidRPr="00E53559">
        <w:rPr>
          <w:rFonts w:asciiTheme="minorEastAsia" w:eastAsiaTheme="minorEastAsia" w:hAnsiTheme="minorEastAsia" w:hint="eastAsia"/>
          <w:sz w:val="24"/>
        </w:rPr>
        <w:t>对新出现的“新型冠状病毒”有疗效。</w:t>
      </w:r>
    </w:p>
    <w:p w:rsidR="00B25487" w:rsidRPr="00B25487" w:rsidRDefault="00B25487" w:rsidP="00B25487">
      <w:pPr>
        <w:pStyle w:val="a5"/>
        <w:widowControl/>
        <w:numPr>
          <w:ilvl w:val="0"/>
          <w:numId w:val="1"/>
        </w:numPr>
        <w:spacing w:line="360" w:lineRule="auto"/>
        <w:ind w:firstLineChars="0"/>
        <w:jc w:val="left"/>
        <w:rPr>
          <w:rFonts w:asciiTheme="minorEastAsia" w:eastAsiaTheme="minorEastAsia" w:hAnsiTheme="minorEastAsia"/>
          <w:sz w:val="24"/>
        </w:rPr>
      </w:pPr>
      <w:r>
        <w:rPr>
          <w:rFonts w:asciiTheme="minorEastAsia" w:eastAsiaTheme="minorEastAsia" w:hAnsiTheme="minorEastAsia" w:hint="eastAsia"/>
          <w:sz w:val="24"/>
        </w:rPr>
        <w:t>公</w:t>
      </w:r>
      <w:r w:rsidRPr="00B25487">
        <w:rPr>
          <w:rFonts w:asciiTheme="minorEastAsia" w:eastAsiaTheme="minorEastAsia" w:hAnsiTheme="minorEastAsia"/>
          <w:sz w:val="24"/>
        </w:rPr>
        <w:t>司近期股票涨幅较大，敬请广大投资者理性决策，注意投资风险。</w:t>
      </w:r>
    </w:p>
    <w:p w:rsidR="009D3DC1" w:rsidRDefault="009D3DC1" w:rsidP="00D24359">
      <w:pPr>
        <w:widowControl/>
        <w:spacing w:line="360" w:lineRule="auto"/>
        <w:jc w:val="left"/>
        <w:rPr>
          <w:rFonts w:asciiTheme="minorEastAsia" w:eastAsiaTheme="minorEastAsia" w:hAnsiTheme="minorEastAsia" w:cs="宋体"/>
          <w:b/>
          <w:color w:val="000000"/>
          <w:kern w:val="0"/>
          <w:sz w:val="24"/>
        </w:rPr>
      </w:pPr>
    </w:p>
    <w:p w:rsidR="00B25487" w:rsidRPr="00B25487" w:rsidRDefault="00B14B21" w:rsidP="00B25487">
      <w:pPr>
        <w:spacing w:line="360" w:lineRule="auto"/>
        <w:ind w:firstLineChars="200" w:firstLine="480"/>
        <w:rPr>
          <w:rFonts w:asciiTheme="minorEastAsia" w:eastAsiaTheme="minorEastAsia" w:hAnsiTheme="minorEastAsia"/>
          <w:sz w:val="24"/>
        </w:rPr>
      </w:pPr>
      <w:r w:rsidRPr="00B25487">
        <w:rPr>
          <w:rFonts w:asciiTheme="minorEastAsia" w:eastAsiaTheme="minorEastAsia" w:hAnsiTheme="minorEastAsia" w:hint="eastAsia"/>
          <w:sz w:val="24"/>
        </w:rPr>
        <w:t>公司股票于</w:t>
      </w:r>
      <w:r w:rsidR="00FC145B" w:rsidRPr="00B25487">
        <w:rPr>
          <w:rFonts w:asciiTheme="minorEastAsia" w:eastAsiaTheme="minorEastAsia" w:hAnsiTheme="minorEastAsia" w:hint="eastAsia"/>
          <w:sz w:val="24"/>
        </w:rPr>
        <w:t>2020年1月20日、21日、22日</w:t>
      </w:r>
      <w:r w:rsidRPr="00B25487">
        <w:rPr>
          <w:rFonts w:asciiTheme="minorEastAsia" w:eastAsiaTheme="minorEastAsia" w:hAnsiTheme="minorEastAsia" w:hint="eastAsia"/>
          <w:sz w:val="24"/>
        </w:rPr>
        <w:t>连续</w:t>
      </w:r>
      <w:r w:rsidR="00FC145B" w:rsidRPr="00B25487">
        <w:rPr>
          <w:rFonts w:asciiTheme="minorEastAsia" w:eastAsiaTheme="minorEastAsia" w:hAnsiTheme="minorEastAsia" w:hint="eastAsia"/>
          <w:sz w:val="24"/>
        </w:rPr>
        <w:t>三</w:t>
      </w:r>
      <w:r w:rsidRPr="00B25487">
        <w:rPr>
          <w:rFonts w:asciiTheme="minorEastAsia" w:eastAsiaTheme="minorEastAsia" w:hAnsiTheme="minorEastAsia" w:hint="eastAsia"/>
          <w:sz w:val="24"/>
        </w:rPr>
        <w:t>个交易日内收盘价格涨幅</w:t>
      </w:r>
      <w:proofErr w:type="gramStart"/>
      <w:r w:rsidRPr="00B25487">
        <w:rPr>
          <w:rFonts w:asciiTheme="minorEastAsia" w:eastAsiaTheme="minorEastAsia" w:hAnsiTheme="minorEastAsia" w:hint="eastAsia"/>
          <w:sz w:val="24"/>
        </w:rPr>
        <w:t>偏离值</w:t>
      </w:r>
      <w:proofErr w:type="gramEnd"/>
      <w:r w:rsidRPr="00B25487">
        <w:rPr>
          <w:rFonts w:asciiTheme="minorEastAsia" w:eastAsiaTheme="minorEastAsia" w:hAnsiTheme="minorEastAsia" w:hint="eastAsia"/>
          <w:sz w:val="24"/>
        </w:rPr>
        <w:t>累计超过20%，</w:t>
      </w:r>
      <w:r w:rsidR="00B25487" w:rsidRPr="00B25487">
        <w:rPr>
          <w:rFonts w:asciiTheme="minorEastAsia" w:eastAsiaTheme="minorEastAsia" w:hAnsiTheme="minorEastAsia" w:hint="eastAsia"/>
          <w:sz w:val="24"/>
        </w:rPr>
        <w:t>公司已于2020年1月23日披露了《江苏吴中实业股份有限公司股票交易异常波动公告》（公告编号：临2020-003）</w:t>
      </w:r>
      <w:r w:rsidRPr="00B25487">
        <w:rPr>
          <w:rFonts w:asciiTheme="minorEastAsia" w:eastAsiaTheme="minorEastAsia" w:hAnsiTheme="minorEastAsia" w:hint="eastAsia"/>
          <w:sz w:val="24"/>
        </w:rPr>
        <w:t>。</w:t>
      </w:r>
      <w:r w:rsidR="00B25487" w:rsidRPr="00B25487">
        <w:rPr>
          <w:rFonts w:asciiTheme="minorEastAsia" w:eastAsiaTheme="minorEastAsia" w:hAnsiTheme="minorEastAsia"/>
          <w:sz w:val="24"/>
        </w:rPr>
        <w:t>1月</w:t>
      </w:r>
      <w:r w:rsidR="00B25487">
        <w:rPr>
          <w:rFonts w:asciiTheme="minorEastAsia" w:eastAsiaTheme="minorEastAsia" w:hAnsiTheme="minorEastAsia"/>
          <w:sz w:val="24"/>
        </w:rPr>
        <w:t>2</w:t>
      </w:r>
      <w:r w:rsidR="00B25487">
        <w:rPr>
          <w:rFonts w:asciiTheme="minorEastAsia" w:eastAsiaTheme="minorEastAsia" w:hAnsiTheme="minorEastAsia" w:hint="eastAsia"/>
          <w:sz w:val="24"/>
        </w:rPr>
        <w:t>3</w:t>
      </w:r>
      <w:r w:rsidR="00B25487" w:rsidRPr="00B25487">
        <w:rPr>
          <w:rFonts w:asciiTheme="minorEastAsia" w:eastAsiaTheme="minorEastAsia" w:hAnsiTheme="minorEastAsia"/>
          <w:sz w:val="24"/>
        </w:rPr>
        <w:t>日公司股票再次涨停</w:t>
      </w:r>
      <w:r w:rsidR="00B25487">
        <w:rPr>
          <w:rFonts w:asciiTheme="minorEastAsia" w:eastAsiaTheme="minorEastAsia" w:hAnsiTheme="minorEastAsia" w:hint="eastAsia"/>
          <w:sz w:val="24"/>
        </w:rPr>
        <w:t>，</w:t>
      </w:r>
      <w:r w:rsidR="00B25487" w:rsidRPr="00B25487">
        <w:rPr>
          <w:rFonts w:asciiTheme="minorEastAsia" w:eastAsiaTheme="minorEastAsia" w:hAnsiTheme="minorEastAsia"/>
          <w:sz w:val="24"/>
        </w:rPr>
        <w:t>鉴于近期公司股票波动较大，</w:t>
      </w:r>
      <w:r w:rsidR="00C17606">
        <w:rPr>
          <w:rFonts w:asciiTheme="minorEastAsia" w:eastAsiaTheme="minorEastAsia" w:hAnsiTheme="minorEastAsia" w:hint="eastAsia"/>
          <w:sz w:val="24"/>
        </w:rPr>
        <w:t>现</w:t>
      </w:r>
      <w:r w:rsidR="00B25487">
        <w:rPr>
          <w:rFonts w:asciiTheme="minorEastAsia" w:eastAsiaTheme="minorEastAsia" w:hAnsiTheme="minorEastAsia" w:hint="eastAsia"/>
          <w:sz w:val="24"/>
        </w:rPr>
        <w:t>就公司相关风险作如下提示：</w:t>
      </w:r>
    </w:p>
    <w:p w:rsidR="001C428D" w:rsidRPr="00B25487" w:rsidRDefault="00B25487" w:rsidP="00B25487">
      <w:pPr>
        <w:spacing w:line="360" w:lineRule="auto"/>
        <w:ind w:firstLineChars="200" w:firstLine="482"/>
        <w:rPr>
          <w:rFonts w:asciiTheme="minorEastAsia" w:eastAsiaTheme="minorEastAsia" w:hAnsiTheme="minorEastAsia"/>
          <w:b/>
          <w:sz w:val="24"/>
        </w:rPr>
      </w:pPr>
      <w:r w:rsidRPr="00B25487">
        <w:rPr>
          <w:rFonts w:asciiTheme="minorEastAsia" w:eastAsiaTheme="minorEastAsia" w:hAnsiTheme="minorEastAsia" w:hint="eastAsia"/>
          <w:b/>
          <w:sz w:val="24"/>
        </w:rPr>
        <w:t>一、公司目前动态市盈率</w:t>
      </w:r>
      <w:r w:rsidR="009165CD">
        <w:rPr>
          <w:rFonts w:asciiTheme="minorEastAsia" w:eastAsiaTheme="minorEastAsia" w:hAnsiTheme="minorEastAsia" w:hint="eastAsia"/>
          <w:b/>
          <w:sz w:val="24"/>
        </w:rPr>
        <w:t>较高</w:t>
      </w:r>
    </w:p>
    <w:p w:rsidR="00B14B21" w:rsidRPr="003F0F90" w:rsidRDefault="003F0F90" w:rsidP="007720E7">
      <w:pPr>
        <w:spacing w:line="360" w:lineRule="auto"/>
        <w:ind w:firstLine="480"/>
        <w:rPr>
          <w:rFonts w:ascii="宋体" w:hAnsi="宋体" w:cs="宋体"/>
          <w:color w:val="000000"/>
          <w:kern w:val="0"/>
          <w:sz w:val="24"/>
        </w:rPr>
      </w:pPr>
      <w:bookmarkStart w:id="0" w:name="_GoBack"/>
      <w:bookmarkEnd w:id="0"/>
      <w:r w:rsidRPr="00370C19">
        <w:rPr>
          <w:rFonts w:ascii="宋体" w:hAnsi="宋体" w:cs="宋体" w:hint="eastAsia"/>
          <w:color w:val="000000"/>
          <w:kern w:val="0"/>
          <w:sz w:val="24"/>
        </w:rPr>
        <w:t>根据中国证监会发布的行业分类结果，公司所处行业为综合行业。截至2020年1月2</w:t>
      </w:r>
      <w:r w:rsidR="00B25487" w:rsidRPr="00370C19">
        <w:rPr>
          <w:rFonts w:ascii="宋体" w:hAnsi="宋体" w:cs="宋体" w:hint="eastAsia"/>
          <w:color w:val="000000"/>
          <w:kern w:val="0"/>
          <w:sz w:val="24"/>
        </w:rPr>
        <w:t>3</w:t>
      </w:r>
      <w:r w:rsidRPr="00370C19">
        <w:rPr>
          <w:rFonts w:ascii="宋体" w:hAnsi="宋体" w:cs="宋体" w:hint="eastAsia"/>
          <w:color w:val="000000"/>
          <w:kern w:val="0"/>
          <w:sz w:val="24"/>
        </w:rPr>
        <w:t>日收盘，</w:t>
      </w:r>
      <w:r w:rsidR="00746C9C" w:rsidRPr="00370C19">
        <w:rPr>
          <w:rFonts w:ascii="宋体" w:hAnsi="宋体" w:cs="宋体" w:hint="eastAsia"/>
          <w:color w:val="000000"/>
          <w:kern w:val="0"/>
          <w:sz w:val="24"/>
        </w:rPr>
        <w:t>公司</w:t>
      </w:r>
      <w:r w:rsidR="00420759" w:rsidRPr="00370C19">
        <w:rPr>
          <w:rFonts w:ascii="宋体" w:hAnsi="宋体" w:cs="宋体" w:hint="eastAsia"/>
          <w:color w:val="000000"/>
          <w:kern w:val="0"/>
          <w:sz w:val="24"/>
        </w:rPr>
        <w:t>动态</w:t>
      </w:r>
      <w:r w:rsidR="00746C9C" w:rsidRPr="00370C19">
        <w:rPr>
          <w:rFonts w:ascii="宋体" w:hAnsi="宋体" w:cs="宋体" w:hint="eastAsia"/>
          <w:color w:val="000000"/>
          <w:kern w:val="0"/>
          <w:sz w:val="24"/>
        </w:rPr>
        <w:t>市盈率为</w:t>
      </w:r>
      <w:r w:rsidR="009165CD" w:rsidRPr="00370C19">
        <w:rPr>
          <w:rFonts w:ascii="宋体" w:hAnsi="宋体" w:cs="宋体" w:hint="eastAsia"/>
          <w:color w:val="000000"/>
          <w:kern w:val="0"/>
          <w:sz w:val="24"/>
        </w:rPr>
        <w:t>71.20</w:t>
      </w:r>
      <w:r w:rsidR="00746C9C" w:rsidRPr="00370C19">
        <w:rPr>
          <w:rFonts w:ascii="宋体" w:hAnsi="宋体" w:cs="宋体" w:hint="eastAsia"/>
          <w:color w:val="000000"/>
          <w:kern w:val="0"/>
          <w:sz w:val="24"/>
        </w:rPr>
        <w:t>倍</w:t>
      </w:r>
      <w:r w:rsidR="008C77BC" w:rsidRPr="00370C19">
        <w:rPr>
          <w:rFonts w:ascii="宋体" w:hAnsi="宋体" w:cs="宋体" w:hint="eastAsia"/>
          <w:color w:val="000000"/>
          <w:kern w:val="0"/>
          <w:sz w:val="24"/>
        </w:rPr>
        <w:t>（公司2018年度亏损，经查询中证指数有限公司官网，无公司滚动市盈率数据）</w:t>
      </w:r>
      <w:r w:rsidR="007720E7" w:rsidRPr="00370C19">
        <w:rPr>
          <w:rFonts w:ascii="宋体" w:hAnsi="宋体" w:cs="宋体" w:hint="eastAsia"/>
          <w:color w:val="000000"/>
          <w:kern w:val="0"/>
          <w:sz w:val="24"/>
        </w:rPr>
        <w:t>，</w:t>
      </w:r>
      <w:r w:rsidR="009B06C3" w:rsidRPr="00370C19">
        <w:rPr>
          <w:rFonts w:ascii="宋体" w:hAnsi="宋体" w:cs="宋体" w:hint="eastAsia"/>
          <w:color w:val="000000"/>
          <w:kern w:val="0"/>
          <w:sz w:val="24"/>
        </w:rPr>
        <w:t>动态市盈率较高</w:t>
      </w:r>
      <w:r w:rsidR="00871D03" w:rsidRPr="00370C19">
        <w:rPr>
          <w:rFonts w:ascii="宋体" w:hAnsi="宋体" w:cs="宋体" w:hint="eastAsia"/>
          <w:color w:val="000000"/>
          <w:kern w:val="0"/>
          <w:sz w:val="24"/>
        </w:rPr>
        <w:t>，</w:t>
      </w:r>
      <w:r w:rsidR="00572F3A" w:rsidRPr="00370C19">
        <w:rPr>
          <w:rFonts w:ascii="宋体" w:hAnsi="宋体" w:cs="宋体" w:hint="eastAsia"/>
          <w:color w:val="000000"/>
          <w:kern w:val="0"/>
          <w:sz w:val="24"/>
        </w:rPr>
        <w:t>根据中证指数</w:t>
      </w:r>
      <w:proofErr w:type="gramStart"/>
      <w:r w:rsidR="00572F3A" w:rsidRPr="00370C19">
        <w:rPr>
          <w:rFonts w:ascii="宋体" w:hAnsi="宋体" w:cs="宋体" w:hint="eastAsia"/>
          <w:color w:val="000000"/>
          <w:kern w:val="0"/>
          <w:sz w:val="24"/>
        </w:rPr>
        <w:t>有限公司官网查询</w:t>
      </w:r>
      <w:proofErr w:type="gramEnd"/>
      <w:r w:rsidR="00572F3A" w:rsidRPr="00370C19">
        <w:rPr>
          <w:rFonts w:ascii="宋体" w:hAnsi="宋体" w:cs="宋体" w:hint="eastAsia"/>
          <w:color w:val="000000"/>
          <w:kern w:val="0"/>
          <w:sz w:val="24"/>
        </w:rPr>
        <w:t>，综合行业的滚动市盈率为</w:t>
      </w:r>
      <w:r w:rsidR="00370C19" w:rsidRPr="00370C19">
        <w:rPr>
          <w:rFonts w:ascii="宋体" w:hAnsi="宋体" w:cs="宋体" w:hint="eastAsia"/>
          <w:color w:val="000000"/>
          <w:kern w:val="0"/>
          <w:sz w:val="24"/>
        </w:rPr>
        <w:t>32</w:t>
      </w:r>
      <w:r w:rsidR="00370C19" w:rsidRPr="00370C19">
        <w:rPr>
          <w:rFonts w:ascii="宋体" w:hAnsi="宋体" w:cs="宋体"/>
          <w:color w:val="000000"/>
          <w:kern w:val="0"/>
          <w:sz w:val="24"/>
        </w:rPr>
        <w:t>.</w:t>
      </w:r>
      <w:r w:rsidR="00370C19" w:rsidRPr="00370C19">
        <w:rPr>
          <w:rFonts w:ascii="宋体" w:hAnsi="宋体" w:cs="宋体" w:hint="eastAsia"/>
          <w:color w:val="000000"/>
          <w:kern w:val="0"/>
          <w:sz w:val="24"/>
        </w:rPr>
        <w:t>24</w:t>
      </w:r>
      <w:r w:rsidR="00572F3A" w:rsidRPr="00370C19">
        <w:rPr>
          <w:rFonts w:ascii="宋体" w:hAnsi="宋体" w:cs="宋体" w:hint="eastAsia"/>
          <w:color w:val="000000"/>
          <w:kern w:val="0"/>
          <w:sz w:val="24"/>
        </w:rPr>
        <w:t>倍</w:t>
      </w:r>
      <w:r w:rsidR="00746C9C" w:rsidRPr="00370C19">
        <w:rPr>
          <w:rFonts w:ascii="宋体" w:hAnsi="宋体" w:cs="宋体" w:hint="eastAsia"/>
          <w:color w:val="000000"/>
          <w:kern w:val="0"/>
          <w:sz w:val="24"/>
        </w:rPr>
        <w:t>。</w:t>
      </w:r>
      <w:r w:rsidR="00CB5591" w:rsidRPr="00370C19">
        <w:rPr>
          <w:rFonts w:ascii="宋体" w:hAnsi="宋体" w:cs="宋体" w:hint="eastAsia"/>
          <w:color w:val="000000"/>
          <w:kern w:val="0"/>
          <w:sz w:val="24"/>
        </w:rPr>
        <w:t>敬请广大投资者注意二级市场交易风险，理性决策，审慎投资。</w:t>
      </w:r>
    </w:p>
    <w:p w:rsidR="00B14B21" w:rsidRPr="00B25487" w:rsidRDefault="00B25487" w:rsidP="00B25487">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二、</w:t>
      </w:r>
      <w:r w:rsidR="00647B9B" w:rsidRPr="00B25487">
        <w:rPr>
          <w:rFonts w:asciiTheme="minorEastAsia" w:eastAsiaTheme="minorEastAsia" w:hAnsiTheme="minorEastAsia" w:hint="eastAsia"/>
          <w:b/>
          <w:sz w:val="24"/>
        </w:rPr>
        <w:t>扣除非经常性损益后亏损</w:t>
      </w:r>
      <w:r w:rsidR="00EF0B9E" w:rsidRPr="00B25487">
        <w:rPr>
          <w:rFonts w:asciiTheme="minorEastAsia" w:eastAsiaTheme="minorEastAsia" w:hAnsiTheme="minorEastAsia" w:hint="eastAsia"/>
          <w:b/>
          <w:sz w:val="24"/>
        </w:rPr>
        <w:t>风险</w:t>
      </w:r>
    </w:p>
    <w:p w:rsidR="009C5FBD" w:rsidRPr="00207142" w:rsidRDefault="00D24359" w:rsidP="009C5FBD">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2020年1月22日，公司披露了《</w:t>
      </w:r>
      <w:r w:rsidRPr="00D24359">
        <w:rPr>
          <w:rFonts w:asciiTheme="minorEastAsia" w:eastAsiaTheme="minorEastAsia" w:hAnsiTheme="minorEastAsia" w:hint="eastAsia"/>
          <w:sz w:val="24"/>
        </w:rPr>
        <w:t>江苏吴中实业股份有限公司2019年年度业绩预盈公告</w:t>
      </w:r>
      <w:r>
        <w:rPr>
          <w:rFonts w:asciiTheme="minorEastAsia" w:eastAsiaTheme="minorEastAsia" w:hAnsiTheme="minorEastAsia" w:hint="eastAsia"/>
          <w:sz w:val="24"/>
        </w:rPr>
        <w:t>》，</w:t>
      </w:r>
      <w:r w:rsidR="009C5FBD" w:rsidRPr="00207142">
        <w:rPr>
          <w:rFonts w:asciiTheme="minorEastAsia" w:eastAsiaTheme="minorEastAsia" w:hAnsiTheme="minorEastAsia" w:hint="eastAsia"/>
          <w:sz w:val="24"/>
        </w:rPr>
        <w:t>预计2019年年度实现归属于上市公司股东的净利润与上年同期</w:t>
      </w:r>
      <w:r w:rsidR="009C5FBD" w:rsidRPr="00207142">
        <w:rPr>
          <w:rFonts w:asciiTheme="minorEastAsia" w:eastAsiaTheme="minorEastAsia" w:hAnsiTheme="minorEastAsia" w:hint="eastAsia"/>
          <w:sz w:val="24"/>
        </w:rPr>
        <w:lastRenderedPageBreak/>
        <w:t>（法定披露数据）相比，将实现扭亏为盈，实现归属于上市公司股东的净利润6,300万元左右。</w:t>
      </w:r>
    </w:p>
    <w:p w:rsidR="00B14B21" w:rsidRDefault="009C5FBD" w:rsidP="009C5FBD">
      <w:pPr>
        <w:spacing w:line="360" w:lineRule="auto"/>
        <w:ind w:firstLine="480"/>
        <w:rPr>
          <w:rFonts w:asciiTheme="minorEastAsia" w:eastAsiaTheme="minorEastAsia" w:hAnsiTheme="minorEastAsia"/>
          <w:sz w:val="24"/>
        </w:rPr>
      </w:pPr>
      <w:r w:rsidRPr="00207142">
        <w:rPr>
          <w:rFonts w:asciiTheme="minorEastAsia" w:eastAsiaTheme="minorEastAsia" w:hAnsiTheme="minorEastAsia" w:hint="eastAsia"/>
          <w:sz w:val="24"/>
        </w:rPr>
        <w:t>公司本次业绩预盈主要是由于转让子公司江苏中吴置业有限公司股权</w:t>
      </w:r>
      <w:r>
        <w:rPr>
          <w:rFonts w:asciiTheme="minorEastAsia" w:eastAsiaTheme="minorEastAsia" w:hAnsiTheme="minorEastAsia" w:hint="eastAsia"/>
          <w:sz w:val="24"/>
        </w:rPr>
        <w:t>等</w:t>
      </w:r>
      <w:r w:rsidRPr="001D7E6A">
        <w:rPr>
          <w:rFonts w:asciiTheme="minorEastAsia" w:eastAsiaTheme="minorEastAsia" w:hAnsiTheme="minorEastAsia" w:hint="eastAsia"/>
          <w:sz w:val="24"/>
        </w:rPr>
        <w:t>非经常性损益事项</w:t>
      </w:r>
      <w:r>
        <w:rPr>
          <w:rFonts w:asciiTheme="minorEastAsia" w:eastAsiaTheme="minorEastAsia" w:hAnsiTheme="minorEastAsia" w:hint="eastAsia"/>
          <w:sz w:val="24"/>
        </w:rPr>
        <w:t>所致，</w:t>
      </w:r>
      <w:r w:rsidRPr="00207142">
        <w:rPr>
          <w:rFonts w:asciiTheme="minorEastAsia" w:eastAsiaTheme="minorEastAsia" w:hAnsiTheme="minorEastAsia" w:hint="eastAsia"/>
          <w:sz w:val="24"/>
        </w:rPr>
        <w:t>预计归属于上市公司股东扣除非经常性损益后的净利润 -8,000万元左右。</w:t>
      </w:r>
      <w:r w:rsidRPr="009C5FBD">
        <w:rPr>
          <w:rFonts w:asciiTheme="minorEastAsia" w:eastAsiaTheme="minorEastAsia" w:hAnsiTheme="minorEastAsia" w:hint="eastAsia"/>
          <w:sz w:val="24"/>
        </w:rPr>
        <w:t>敬请广大投资者理性投资，注意投资风险。</w:t>
      </w:r>
    </w:p>
    <w:p w:rsidR="00B14B21" w:rsidRPr="00B25487" w:rsidRDefault="00B25487" w:rsidP="00B25487">
      <w:pPr>
        <w:spacing w:line="360" w:lineRule="auto"/>
        <w:ind w:firstLineChars="200" w:firstLine="482"/>
        <w:rPr>
          <w:rFonts w:asciiTheme="minorEastAsia" w:eastAsiaTheme="minorEastAsia" w:hAnsiTheme="minorEastAsia"/>
          <w:b/>
          <w:sz w:val="24"/>
        </w:rPr>
      </w:pPr>
      <w:r w:rsidRPr="00B25487">
        <w:rPr>
          <w:rFonts w:asciiTheme="minorEastAsia" w:eastAsiaTheme="minorEastAsia" w:hAnsiTheme="minorEastAsia" w:hint="eastAsia"/>
          <w:b/>
          <w:sz w:val="24"/>
        </w:rPr>
        <w:t>三、</w:t>
      </w:r>
      <w:r w:rsidRPr="00D352C9">
        <w:rPr>
          <w:rFonts w:asciiTheme="minorEastAsia" w:eastAsiaTheme="minorEastAsia" w:hAnsiTheme="minorEastAsia" w:hint="eastAsia"/>
          <w:b/>
          <w:sz w:val="24"/>
        </w:rPr>
        <w:t>关于</w:t>
      </w:r>
      <w:r w:rsidRPr="00196A66">
        <w:rPr>
          <w:rFonts w:asciiTheme="minorEastAsia" w:eastAsiaTheme="minorEastAsia" w:hAnsiTheme="minorEastAsia" w:hint="eastAsia"/>
          <w:b/>
          <w:sz w:val="24"/>
        </w:rPr>
        <w:t>盐酸阿比多尔片</w:t>
      </w:r>
      <w:r>
        <w:rPr>
          <w:rFonts w:asciiTheme="minorEastAsia" w:eastAsiaTheme="minorEastAsia" w:hAnsiTheme="minorEastAsia" w:hint="eastAsia"/>
          <w:b/>
          <w:sz w:val="24"/>
        </w:rPr>
        <w:t>的风险提示</w:t>
      </w:r>
    </w:p>
    <w:p w:rsidR="00B25487" w:rsidRDefault="00B25487" w:rsidP="00B25487">
      <w:p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公司已于2020年1月22日在《中国证券报》、《上海证券报》及上海证券交易所网站上披露了《江苏吴中实业股份有限公司风险提示公告》，具体如下：</w:t>
      </w:r>
    </w:p>
    <w:p w:rsidR="00B25487" w:rsidRDefault="00B25487" w:rsidP="00B25487">
      <w:pPr>
        <w:spacing w:line="360" w:lineRule="auto"/>
        <w:ind w:firstLine="480"/>
        <w:rPr>
          <w:rFonts w:asciiTheme="minorEastAsia" w:eastAsiaTheme="minorEastAsia" w:hAnsiTheme="minorEastAsia"/>
          <w:sz w:val="24"/>
        </w:rPr>
      </w:pPr>
      <w:r w:rsidRPr="00FC145B">
        <w:rPr>
          <w:rFonts w:asciiTheme="minorEastAsia" w:eastAsiaTheme="minorEastAsia" w:hAnsiTheme="minorEastAsia"/>
          <w:sz w:val="24"/>
        </w:rPr>
        <w:t>盐酸阿比多尔片为公司全资子公司江苏吴中医药集团有限公司在产在销产品之一。该产品为预防和治疗流行性感冒药，通过抑制流感病毒脂膜与宿主细胞的融合而阻断病毒的复制。目前尚无证据表明该产品对新出现的“新型冠状病毒”有</w:t>
      </w:r>
      <w:r>
        <w:rPr>
          <w:rFonts w:asciiTheme="minorEastAsia" w:eastAsiaTheme="minorEastAsia" w:hAnsiTheme="minorEastAsia"/>
          <w:sz w:val="24"/>
        </w:rPr>
        <w:t>疗效</w:t>
      </w:r>
      <w:r>
        <w:rPr>
          <w:rFonts w:asciiTheme="minorEastAsia" w:eastAsiaTheme="minorEastAsia" w:hAnsiTheme="minorEastAsia" w:hint="eastAsia"/>
          <w:sz w:val="24"/>
        </w:rPr>
        <w:t>。</w:t>
      </w:r>
    </w:p>
    <w:p w:rsidR="00B14B21" w:rsidRDefault="00B25487" w:rsidP="00B25487">
      <w:pPr>
        <w:spacing w:line="360" w:lineRule="auto"/>
        <w:ind w:firstLine="480"/>
        <w:rPr>
          <w:rFonts w:asciiTheme="minorEastAsia" w:eastAsiaTheme="minorEastAsia" w:hAnsiTheme="minorEastAsia"/>
          <w:sz w:val="24"/>
        </w:rPr>
      </w:pPr>
      <w:r>
        <w:rPr>
          <w:rFonts w:asciiTheme="minorEastAsia" w:eastAsiaTheme="minorEastAsia" w:hAnsiTheme="minorEastAsia"/>
          <w:sz w:val="24"/>
        </w:rPr>
        <w:t>2019</w:t>
      </w:r>
      <w:r w:rsidRPr="00FC145B">
        <w:rPr>
          <w:rFonts w:asciiTheme="minorEastAsia" w:eastAsiaTheme="minorEastAsia" w:hAnsiTheme="minorEastAsia"/>
          <w:sz w:val="24"/>
        </w:rPr>
        <w:t>年1-9 月，医药集团盐酸阿比多尔片销售收入为</w:t>
      </w:r>
      <w:r>
        <w:rPr>
          <w:rFonts w:asciiTheme="minorEastAsia" w:eastAsiaTheme="minorEastAsia" w:hAnsiTheme="minorEastAsia"/>
          <w:sz w:val="24"/>
        </w:rPr>
        <w:t>1,602.8</w:t>
      </w:r>
      <w:r w:rsidRPr="00FC145B">
        <w:rPr>
          <w:rFonts w:asciiTheme="minorEastAsia" w:eastAsiaTheme="minorEastAsia" w:hAnsiTheme="minorEastAsia"/>
          <w:sz w:val="24"/>
        </w:rPr>
        <w:t>万元，占上市公司营业收入1.06%；</w:t>
      </w:r>
      <w:r>
        <w:rPr>
          <w:rFonts w:asciiTheme="minorEastAsia" w:eastAsiaTheme="minorEastAsia" w:hAnsiTheme="minorEastAsia"/>
          <w:sz w:val="24"/>
        </w:rPr>
        <w:t>2018</w:t>
      </w:r>
      <w:r w:rsidRPr="00FC145B">
        <w:rPr>
          <w:rFonts w:asciiTheme="minorEastAsia" w:eastAsiaTheme="minorEastAsia" w:hAnsiTheme="minorEastAsia"/>
          <w:sz w:val="24"/>
        </w:rPr>
        <w:t>年同期销售收入为583.9万元，占上市公司营业收入0.42%。该药品销售收入占上市公司营业收入比例极小。</w:t>
      </w:r>
    </w:p>
    <w:p w:rsidR="003E7E4E" w:rsidRDefault="003E7E4E" w:rsidP="00E96F5F">
      <w:pPr>
        <w:spacing w:line="360" w:lineRule="auto"/>
        <w:ind w:firstLineChars="200" w:firstLine="480"/>
        <w:rPr>
          <w:rFonts w:asciiTheme="minorEastAsia" w:eastAsiaTheme="minorEastAsia" w:hAnsiTheme="minorEastAsia"/>
          <w:sz w:val="24"/>
        </w:rPr>
      </w:pPr>
    </w:p>
    <w:p w:rsidR="00B14B21" w:rsidRDefault="00E96F5F" w:rsidP="00E96F5F">
      <w:pPr>
        <w:spacing w:line="360" w:lineRule="auto"/>
        <w:ind w:firstLineChars="200" w:firstLine="480"/>
        <w:rPr>
          <w:rFonts w:asciiTheme="minorEastAsia" w:eastAsiaTheme="minorEastAsia" w:hAnsiTheme="minorEastAsia"/>
          <w:sz w:val="24"/>
        </w:rPr>
      </w:pPr>
      <w:r w:rsidRPr="00E96F5F">
        <w:rPr>
          <w:rFonts w:asciiTheme="minorEastAsia" w:eastAsiaTheme="minorEastAsia" w:hAnsiTheme="minorEastAsia" w:hint="eastAsia"/>
          <w:sz w:val="24"/>
        </w:rPr>
        <w:t>公司郑重提醒广大投资者，公司指定信息披露媒体为《中国证券报》、《上海证券报》</w:t>
      </w:r>
      <w:r>
        <w:rPr>
          <w:rFonts w:asciiTheme="minorEastAsia" w:eastAsiaTheme="minorEastAsia" w:hAnsiTheme="minorEastAsia" w:hint="eastAsia"/>
          <w:sz w:val="24"/>
        </w:rPr>
        <w:t>及</w:t>
      </w:r>
      <w:r w:rsidRPr="00E96F5F">
        <w:rPr>
          <w:rFonts w:asciiTheme="minorEastAsia" w:eastAsiaTheme="minorEastAsia" w:hAnsiTheme="minorEastAsia" w:hint="eastAsia"/>
          <w:sz w:val="24"/>
        </w:rPr>
        <w:t>上海证券交易所网站（www.sse.com.cn</w:t>
      </w:r>
      <w:r>
        <w:rPr>
          <w:rFonts w:asciiTheme="minorEastAsia" w:eastAsiaTheme="minorEastAsia" w:hAnsiTheme="minorEastAsia" w:hint="eastAsia"/>
          <w:sz w:val="24"/>
        </w:rPr>
        <w:t>）</w:t>
      </w:r>
      <w:r w:rsidRPr="00E96F5F">
        <w:rPr>
          <w:rFonts w:asciiTheme="minorEastAsia" w:eastAsiaTheme="minorEastAsia" w:hAnsiTheme="minorEastAsia" w:hint="eastAsia"/>
          <w:sz w:val="24"/>
        </w:rPr>
        <w:t>，公司所有信息均以上述指定媒体刊登的正式公告为准,敬请广大投资者理性投资,注意投资风险。</w:t>
      </w:r>
    </w:p>
    <w:p w:rsidR="00941DB9" w:rsidRDefault="00941DB9" w:rsidP="00941DB9">
      <w:pPr>
        <w:widowControl/>
        <w:spacing w:line="360" w:lineRule="auto"/>
        <w:ind w:firstLineChars="200" w:firstLine="480"/>
        <w:jc w:val="left"/>
        <w:rPr>
          <w:rFonts w:asciiTheme="minorEastAsia" w:eastAsiaTheme="minorEastAsia" w:hAnsiTheme="minorEastAsia" w:cs="宋体"/>
          <w:color w:val="000000"/>
          <w:kern w:val="0"/>
          <w:sz w:val="24"/>
        </w:rPr>
      </w:pPr>
      <w:r w:rsidRPr="00AD4BC7">
        <w:rPr>
          <w:rFonts w:asciiTheme="minorEastAsia" w:eastAsiaTheme="minorEastAsia" w:hAnsiTheme="minorEastAsia" w:cs="宋体" w:hint="eastAsia"/>
          <w:color w:val="000000"/>
          <w:kern w:val="0"/>
          <w:sz w:val="24"/>
        </w:rPr>
        <w:t>特此公告。</w:t>
      </w:r>
    </w:p>
    <w:p w:rsidR="00C17606" w:rsidRDefault="00C17606" w:rsidP="00941DB9">
      <w:pPr>
        <w:spacing w:line="360" w:lineRule="auto"/>
        <w:ind w:firstLineChars="1800" w:firstLine="4320"/>
        <w:jc w:val="right"/>
        <w:rPr>
          <w:rFonts w:ascii="宋体" w:hAnsi="宋体"/>
          <w:sz w:val="24"/>
        </w:rPr>
      </w:pPr>
    </w:p>
    <w:p w:rsidR="00941DB9" w:rsidRDefault="00941DB9" w:rsidP="00941DB9">
      <w:pPr>
        <w:spacing w:line="360" w:lineRule="auto"/>
        <w:ind w:firstLineChars="1800" w:firstLine="4320"/>
        <w:jc w:val="right"/>
        <w:rPr>
          <w:rFonts w:ascii="宋体" w:hAnsi="宋体"/>
          <w:sz w:val="24"/>
        </w:rPr>
      </w:pPr>
      <w:r>
        <w:rPr>
          <w:rFonts w:ascii="宋体" w:hAnsi="宋体" w:hint="eastAsia"/>
          <w:sz w:val="24"/>
        </w:rPr>
        <w:t>江苏吴中实业股份有限公司</w:t>
      </w:r>
    </w:p>
    <w:p w:rsidR="00941DB9" w:rsidRDefault="00941DB9" w:rsidP="00941DB9">
      <w:pPr>
        <w:spacing w:line="360" w:lineRule="auto"/>
        <w:ind w:right="720" w:firstLineChars="1800" w:firstLine="4320"/>
        <w:jc w:val="right"/>
        <w:rPr>
          <w:rFonts w:ascii="宋体" w:hAnsi="宋体"/>
          <w:sz w:val="24"/>
        </w:rPr>
      </w:pPr>
      <w:r>
        <w:rPr>
          <w:rFonts w:ascii="宋体" w:hAnsi="宋体" w:hint="eastAsia"/>
          <w:sz w:val="24"/>
        </w:rPr>
        <w:t xml:space="preserve">董事会      </w:t>
      </w:r>
    </w:p>
    <w:p w:rsidR="00941DB9" w:rsidRDefault="00941DB9" w:rsidP="00941DB9">
      <w:pPr>
        <w:spacing w:line="360" w:lineRule="auto"/>
        <w:ind w:firstLineChars="2175" w:firstLine="5220"/>
        <w:jc w:val="right"/>
        <w:rPr>
          <w:rFonts w:ascii="宋体" w:hAnsi="宋体"/>
          <w:sz w:val="24"/>
        </w:rPr>
      </w:pPr>
      <w:r w:rsidRPr="000B0B90">
        <w:rPr>
          <w:rFonts w:ascii="宋体" w:hAnsi="宋体" w:hint="eastAsia"/>
          <w:sz w:val="24"/>
        </w:rPr>
        <w:t>20</w:t>
      </w:r>
      <w:r>
        <w:rPr>
          <w:rFonts w:ascii="宋体" w:hAnsi="宋体" w:hint="eastAsia"/>
          <w:sz w:val="24"/>
        </w:rPr>
        <w:t>20</w:t>
      </w:r>
      <w:r w:rsidRPr="000B0B90">
        <w:rPr>
          <w:rFonts w:ascii="宋体" w:hAnsi="宋体" w:hint="eastAsia"/>
          <w:sz w:val="24"/>
        </w:rPr>
        <w:t>年1月</w:t>
      </w:r>
      <w:r w:rsidR="00C17606">
        <w:rPr>
          <w:rFonts w:ascii="宋体" w:hAnsi="宋体" w:hint="eastAsia"/>
          <w:sz w:val="24"/>
        </w:rPr>
        <w:t>31</w:t>
      </w:r>
      <w:r w:rsidRPr="000B0B90">
        <w:rPr>
          <w:rFonts w:ascii="宋体" w:hAnsi="宋体" w:hint="eastAsia"/>
          <w:sz w:val="24"/>
        </w:rPr>
        <w:t>日</w:t>
      </w:r>
    </w:p>
    <w:sectPr w:rsidR="00941D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38C" w:rsidRDefault="0047238C" w:rsidP="002B3167">
      <w:r>
        <w:separator/>
      </w:r>
    </w:p>
  </w:endnote>
  <w:endnote w:type="continuationSeparator" w:id="0">
    <w:p w:rsidR="0047238C" w:rsidRDefault="0047238C" w:rsidP="002B3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38C" w:rsidRDefault="0047238C" w:rsidP="002B3167">
      <w:r>
        <w:separator/>
      </w:r>
    </w:p>
  </w:footnote>
  <w:footnote w:type="continuationSeparator" w:id="0">
    <w:p w:rsidR="0047238C" w:rsidRDefault="0047238C" w:rsidP="002B31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35A89"/>
    <w:multiLevelType w:val="hybridMultilevel"/>
    <w:tmpl w:val="E07A4EB2"/>
    <w:lvl w:ilvl="0" w:tplc="04090001">
      <w:start w:val="1"/>
      <w:numFmt w:val="bullet"/>
      <w:lvlText w:val=""/>
      <w:lvlJc w:val="left"/>
      <w:pPr>
        <w:ind w:left="888" w:hanging="420"/>
      </w:pPr>
      <w:rPr>
        <w:rFonts w:ascii="Wingdings" w:hAnsi="Wingdings" w:hint="default"/>
      </w:rPr>
    </w:lvl>
    <w:lvl w:ilvl="1" w:tplc="04090003" w:tentative="1">
      <w:start w:val="1"/>
      <w:numFmt w:val="bullet"/>
      <w:lvlText w:val=""/>
      <w:lvlJc w:val="left"/>
      <w:pPr>
        <w:ind w:left="1308" w:hanging="420"/>
      </w:pPr>
      <w:rPr>
        <w:rFonts w:ascii="Wingdings" w:hAnsi="Wingdings" w:hint="default"/>
      </w:rPr>
    </w:lvl>
    <w:lvl w:ilvl="2" w:tplc="04090005" w:tentative="1">
      <w:start w:val="1"/>
      <w:numFmt w:val="bullet"/>
      <w:lvlText w:val=""/>
      <w:lvlJc w:val="left"/>
      <w:pPr>
        <w:ind w:left="1728" w:hanging="420"/>
      </w:pPr>
      <w:rPr>
        <w:rFonts w:ascii="Wingdings" w:hAnsi="Wingdings" w:hint="default"/>
      </w:rPr>
    </w:lvl>
    <w:lvl w:ilvl="3" w:tplc="04090001" w:tentative="1">
      <w:start w:val="1"/>
      <w:numFmt w:val="bullet"/>
      <w:lvlText w:val=""/>
      <w:lvlJc w:val="left"/>
      <w:pPr>
        <w:ind w:left="2148" w:hanging="420"/>
      </w:pPr>
      <w:rPr>
        <w:rFonts w:ascii="Wingdings" w:hAnsi="Wingdings" w:hint="default"/>
      </w:rPr>
    </w:lvl>
    <w:lvl w:ilvl="4" w:tplc="04090003" w:tentative="1">
      <w:start w:val="1"/>
      <w:numFmt w:val="bullet"/>
      <w:lvlText w:val=""/>
      <w:lvlJc w:val="left"/>
      <w:pPr>
        <w:ind w:left="2568" w:hanging="420"/>
      </w:pPr>
      <w:rPr>
        <w:rFonts w:ascii="Wingdings" w:hAnsi="Wingdings" w:hint="default"/>
      </w:rPr>
    </w:lvl>
    <w:lvl w:ilvl="5" w:tplc="04090005" w:tentative="1">
      <w:start w:val="1"/>
      <w:numFmt w:val="bullet"/>
      <w:lvlText w:val=""/>
      <w:lvlJc w:val="left"/>
      <w:pPr>
        <w:ind w:left="2988" w:hanging="420"/>
      </w:pPr>
      <w:rPr>
        <w:rFonts w:ascii="Wingdings" w:hAnsi="Wingdings" w:hint="default"/>
      </w:rPr>
    </w:lvl>
    <w:lvl w:ilvl="6" w:tplc="04090001" w:tentative="1">
      <w:start w:val="1"/>
      <w:numFmt w:val="bullet"/>
      <w:lvlText w:val=""/>
      <w:lvlJc w:val="left"/>
      <w:pPr>
        <w:ind w:left="3408" w:hanging="420"/>
      </w:pPr>
      <w:rPr>
        <w:rFonts w:ascii="Wingdings" w:hAnsi="Wingdings" w:hint="default"/>
      </w:rPr>
    </w:lvl>
    <w:lvl w:ilvl="7" w:tplc="04090003" w:tentative="1">
      <w:start w:val="1"/>
      <w:numFmt w:val="bullet"/>
      <w:lvlText w:val=""/>
      <w:lvlJc w:val="left"/>
      <w:pPr>
        <w:ind w:left="3828" w:hanging="420"/>
      </w:pPr>
      <w:rPr>
        <w:rFonts w:ascii="Wingdings" w:hAnsi="Wingdings" w:hint="default"/>
      </w:rPr>
    </w:lvl>
    <w:lvl w:ilvl="8" w:tplc="04090005" w:tentative="1">
      <w:start w:val="1"/>
      <w:numFmt w:val="bullet"/>
      <w:lvlText w:val=""/>
      <w:lvlJc w:val="left"/>
      <w:pPr>
        <w:ind w:left="4248"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6D2"/>
    <w:rsid w:val="00005696"/>
    <w:rsid w:val="0001153F"/>
    <w:rsid w:val="00015559"/>
    <w:rsid w:val="000162FB"/>
    <w:rsid w:val="000300BA"/>
    <w:rsid w:val="0003171D"/>
    <w:rsid w:val="000377FA"/>
    <w:rsid w:val="000514F9"/>
    <w:rsid w:val="0008262B"/>
    <w:rsid w:val="000C1EBF"/>
    <w:rsid w:val="000D5160"/>
    <w:rsid w:val="000D59A8"/>
    <w:rsid w:val="000E5928"/>
    <w:rsid w:val="001044FC"/>
    <w:rsid w:val="00115DE0"/>
    <w:rsid w:val="00125EB5"/>
    <w:rsid w:val="00127425"/>
    <w:rsid w:val="00141A30"/>
    <w:rsid w:val="0014235B"/>
    <w:rsid w:val="001430F0"/>
    <w:rsid w:val="001449C0"/>
    <w:rsid w:val="00163205"/>
    <w:rsid w:val="00167B35"/>
    <w:rsid w:val="00184711"/>
    <w:rsid w:val="00190F6C"/>
    <w:rsid w:val="001937C0"/>
    <w:rsid w:val="001A6D99"/>
    <w:rsid w:val="001A6F91"/>
    <w:rsid w:val="001C428D"/>
    <w:rsid w:val="001F698F"/>
    <w:rsid w:val="002101B8"/>
    <w:rsid w:val="00243988"/>
    <w:rsid w:val="002442A3"/>
    <w:rsid w:val="002470D3"/>
    <w:rsid w:val="00251C73"/>
    <w:rsid w:val="002555CC"/>
    <w:rsid w:val="0025726D"/>
    <w:rsid w:val="0025795B"/>
    <w:rsid w:val="00266464"/>
    <w:rsid w:val="0027220C"/>
    <w:rsid w:val="002808AB"/>
    <w:rsid w:val="00284CD2"/>
    <w:rsid w:val="002B3167"/>
    <w:rsid w:val="002B5713"/>
    <w:rsid w:val="002B7CCB"/>
    <w:rsid w:val="002C71E7"/>
    <w:rsid w:val="002D2369"/>
    <w:rsid w:val="002D31A6"/>
    <w:rsid w:val="002E784A"/>
    <w:rsid w:val="002F4E9F"/>
    <w:rsid w:val="002F74DC"/>
    <w:rsid w:val="00324EB8"/>
    <w:rsid w:val="00344D7A"/>
    <w:rsid w:val="00370C19"/>
    <w:rsid w:val="0037324C"/>
    <w:rsid w:val="00373349"/>
    <w:rsid w:val="003870CC"/>
    <w:rsid w:val="003A5140"/>
    <w:rsid w:val="003B5345"/>
    <w:rsid w:val="003C607D"/>
    <w:rsid w:val="003D0C3B"/>
    <w:rsid w:val="003D3FFF"/>
    <w:rsid w:val="003E355B"/>
    <w:rsid w:val="003E7E4E"/>
    <w:rsid w:val="003F0F90"/>
    <w:rsid w:val="0041720E"/>
    <w:rsid w:val="00420759"/>
    <w:rsid w:val="0042410C"/>
    <w:rsid w:val="004502F4"/>
    <w:rsid w:val="0047238C"/>
    <w:rsid w:val="00496E8A"/>
    <w:rsid w:val="004C27B9"/>
    <w:rsid w:val="004C3DB4"/>
    <w:rsid w:val="004E363D"/>
    <w:rsid w:val="004F1ED6"/>
    <w:rsid w:val="004F1F15"/>
    <w:rsid w:val="0054311D"/>
    <w:rsid w:val="005712CB"/>
    <w:rsid w:val="00572F3A"/>
    <w:rsid w:val="0057524C"/>
    <w:rsid w:val="00577CBB"/>
    <w:rsid w:val="00580E39"/>
    <w:rsid w:val="005960C6"/>
    <w:rsid w:val="005B4F18"/>
    <w:rsid w:val="005C3668"/>
    <w:rsid w:val="005D4ACB"/>
    <w:rsid w:val="005D5EDA"/>
    <w:rsid w:val="005D7D5C"/>
    <w:rsid w:val="00615762"/>
    <w:rsid w:val="00615D49"/>
    <w:rsid w:val="00626EA4"/>
    <w:rsid w:val="00633AA4"/>
    <w:rsid w:val="006412D7"/>
    <w:rsid w:val="00647B9B"/>
    <w:rsid w:val="00653C76"/>
    <w:rsid w:val="00662769"/>
    <w:rsid w:val="00683AED"/>
    <w:rsid w:val="0069424B"/>
    <w:rsid w:val="00695D72"/>
    <w:rsid w:val="006B29CA"/>
    <w:rsid w:val="006B2B65"/>
    <w:rsid w:val="007001F0"/>
    <w:rsid w:val="007014FC"/>
    <w:rsid w:val="00746C9C"/>
    <w:rsid w:val="007564B5"/>
    <w:rsid w:val="00766EEB"/>
    <w:rsid w:val="007720E7"/>
    <w:rsid w:val="00772A33"/>
    <w:rsid w:val="0078609E"/>
    <w:rsid w:val="007C7BAF"/>
    <w:rsid w:val="007E1307"/>
    <w:rsid w:val="00802A0A"/>
    <w:rsid w:val="00824AB0"/>
    <w:rsid w:val="00871D03"/>
    <w:rsid w:val="00887DA0"/>
    <w:rsid w:val="00893296"/>
    <w:rsid w:val="008935D4"/>
    <w:rsid w:val="008B43ED"/>
    <w:rsid w:val="008C77BC"/>
    <w:rsid w:val="008E57CC"/>
    <w:rsid w:val="008F5155"/>
    <w:rsid w:val="008F6AB5"/>
    <w:rsid w:val="009165CD"/>
    <w:rsid w:val="00933FA5"/>
    <w:rsid w:val="00934104"/>
    <w:rsid w:val="00941DB9"/>
    <w:rsid w:val="009426D2"/>
    <w:rsid w:val="00955A3F"/>
    <w:rsid w:val="00960430"/>
    <w:rsid w:val="00967AA4"/>
    <w:rsid w:val="009B06C3"/>
    <w:rsid w:val="009C5FBD"/>
    <w:rsid w:val="009D3DC1"/>
    <w:rsid w:val="009E1FA0"/>
    <w:rsid w:val="009E3014"/>
    <w:rsid w:val="00A05A16"/>
    <w:rsid w:val="00A267F9"/>
    <w:rsid w:val="00A716DB"/>
    <w:rsid w:val="00A842DF"/>
    <w:rsid w:val="00AA10D4"/>
    <w:rsid w:val="00AA706B"/>
    <w:rsid w:val="00AB2664"/>
    <w:rsid w:val="00AC7ABF"/>
    <w:rsid w:val="00AD0003"/>
    <w:rsid w:val="00B03668"/>
    <w:rsid w:val="00B0458B"/>
    <w:rsid w:val="00B07E79"/>
    <w:rsid w:val="00B14B21"/>
    <w:rsid w:val="00B25487"/>
    <w:rsid w:val="00B27494"/>
    <w:rsid w:val="00B31A8D"/>
    <w:rsid w:val="00B40F43"/>
    <w:rsid w:val="00B52013"/>
    <w:rsid w:val="00B630EF"/>
    <w:rsid w:val="00B84FE2"/>
    <w:rsid w:val="00B87AB6"/>
    <w:rsid w:val="00BA0830"/>
    <w:rsid w:val="00BB19E1"/>
    <w:rsid w:val="00BB5C59"/>
    <w:rsid w:val="00BB5F62"/>
    <w:rsid w:val="00BC7D27"/>
    <w:rsid w:val="00BF68F7"/>
    <w:rsid w:val="00C01D90"/>
    <w:rsid w:val="00C14435"/>
    <w:rsid w:val="00C17606"/>
    <w:rsid w:val="00C17BF9"/>
    <w:rsid w:val="00C274E2"/>
    <w:rsid w:val="00C62BAA"/>
    <w:rsid w:val="00C6792D"/>
    <w:rsid w:val="00C71DAA"/>
    <w:rsid w:val="00C77455"/>
    <w:rsid w:val="00C84E9B"/>
    <w:rsid w:val="00C91259"/>
    <w:rsid w:val="00CA1004"/>
    <w:rsid w:val="00CB5591"/>
    <w:rsid w:val="00CC65AD"/>
    <w:rsid w:val="00CD2A4D"/>
    <w:rsid w:val="00CD5891"/>
    <w:rsid w:val="00CD6EAB"/>
    <w:rsid w:val="00CF2676"/>
    <w:rsid w:val="00CF42BE"/>
    <w:rsid w:val="00D04CBB"/>
    <w:rsid w:val="00D05A7F"/>
    <w:rsid w:val="00D21B8D"/>
    <w:rsid w:val="00D22E52"/>
    <w:rsid w:val="00D24359"/>
    <w:rsid w:val="00D243CA"/>
    <w:rsid w:val="00D26D15"/>
    <w:rsid w:val="00D45281"/>
    <w:rsid w:val="00D53DC4"/>
    <w:rsid w:val="00D86A2F"/>
    <w:rsid w:val="00D909E7"/>
    <w:rsid w:val="00D90BC6"/>
    <w:rsid w:val="00DD4A3F"/>
    <w:rsid w:val="00DE24B3"/>
    <w:rsid w:val="00E003D0"/>
    <w:rsid w:val="00E025CD"/>
    <w:rsid w:val="00E05034"/>
    <w:rsid w:val="00E12FDC"/>
    <w:rsid w:val="00E146CD"/>
    <w:rsid w:val="00E220DE"/>
    <w:rsid w:val="00E53559"/>
    <w:rsid w:val="00E74755"/>
    <w:rsid w:val="00E77D37"/>
    <w:rsid w:val="00E9529E"/>
    <w:rsid w:val="00E96761"/>
    <w:rsid w:val="00E96F5F"/>
    <w:rsid w:val="00EA6444"/>
    <w:rsid w:val="00EB7FBA"/>
    <w:rsid w:val="00EF0B9E"/>
    <w:rsid w:val="00EF67AA"/>
    <w:rsid w:val="00F03FA2"/>
    <w:rsid w:val="00F11687"/>
    <w:rsid w:val="00F168FB"/>
    <w:rsid w:val="00F21312"/>
    <w:rsid w:val="00F21F0B"/>
    <w:rsid w:val="00F23D77"/>
    <w:rsid w:val="00F241FB"/>
    <w:rsid w:val="00F41BFC"/>
    <w:rsid w:val="00F43502"/>
    <w:rsid w:val="00F577F5"/>
    <w:rsid w:val="00F57DFF"/>
    <w:rsid w:val="00F642E6"/>
    <w:rsid w:val="00F74C92"/>
    <w:rsid w:val="00F7601B"/>
    <w:rsid w:val="00FA5496"/>
    <w:rsid w:val="00FB56C5"/>
    <w:rsid w:val="00FB79DD"/>
    <w:rsid w:val="00FC145B"/>
    <w:rsid w:val="00FC69BC"/>
    <w:rsid w:val="00FD4C8F"/>
    <w:rsid w:val="00FE4CFC"/>
    <w:rsid w:val="00FE4FBE"/>
    <w:rsid w:val="00FE5ACA"/>
    <w:rsid w:val="00FF4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16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31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3167"/>
    <w:rPr>
      <w:sz w:val="18"/>
      <w:szCs w:val="18"/>
    </w:rPr>
  </w:style>
  <w:style w:type="paragraph" w:styleId="a4">
    <w:name w:val="footer"/>
    <w:basedOn w:val="a"/>
    <w:link w:val="Char0"/>
    <w:uiPriority w:val="99"/>
    <w:unhideWhenUsed/>
    <w:rsid w:val="002B3167"/>
    <w:pPr>
      <w:tabs>
        <w:tab w:val="center" w:pos="4153"/>
        <w:tab w:val="right" w:pos="8306"/>
      </w:tabs>
      <w:snapToGrid w:val="0"/>
      <w:jc w:val="left"/>
    </w:pPr>
    <w:rPr>
      <w:sz w:val="18"/>
      <w:szCs w:val="18"/>
    </w:rPr>
  </w:style>
  <w:style w:type="character" w:customStyle="1" w:styleId="Char0">
    <w:name w:val="页脚 Char"/>
    <w:basedOn w:val="a0"/>
    <w:link w:val="a4"/>
    <w:uiPriority w:val="99"/>
    <w:rsid w:val="002B3167"/>
    <w:rPr>
      <w:sz w:val="18"/>
      <w:szCs w:val="18"/>
    </w:rPr>
  </w:style>
  <w:style w:type="paragraph" w:styleId="a5">
    <w:name w:val="List Paragraph"/>
    <w:basedOn w:val="a"/>
    <w:uiPriority w:val="34"/>
    <w:qFormat/>
    <w:rsid w:val="002B3167"/>
    <w:pPr>
      <w:ind w:firstLineChars="200" w:firstLine="420"/>
    </w:pPr>
  </w:style>
  <w:style w:type="paragraph" w:styleId="a6">
    <w:name w:val="Balloon Text"/>
    <w:basedOn w:val="a"/>
    <w:link w:val="Char1"/>
    <w:uiPriority w:val="99"/>
    <w:semiHidden/>
    <w:unhideWhenUsed/>
    <w:rsid w:val="00F577F5"/>
    <w:rPr>
      <w:sz w:val="18"/>
      <w:szCs w:val="18"/>
    </w:rPr>
  </w:style>
  <w:style w:type="character" w:customStyle="1" w:styleId="Char1">
    <w:name w:val="批注框文本 Char"/>
    <w:basedOn w:val="a0"/>
    <w:link w:val="a6"/>
    <w:uiPriority w:val="99"/>
    <w:semiHidden/>
    <w:rsid w:val="00F577F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16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31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3167"/>
    <w:rPr>
      <w:sz w:val="18"/>
      <w:szCs w:val="18"/>
    </w:rPr>
  </w:style>
  <w:style w:type="paragraph" w:styleId="a4">
    <w:name w:val="footer"/>
    <w:basedOn w:val="a"/>
    <w:link w:val="Char0"/>
    <w:uiPriority w:val="99"/>
    <w:unhideWhenUsed/>
    <w:rsid w:val="002B3167"/>
    <w:pPr>
      <w:tabs>
        <w:tab w:val="center" w:pos="4153"/>
        <w:tab w:val="right" w:pos="8306"/>
      </w:tabs>
      <w:snapToGrid w:val="0"/>
      <w:jc w:val="left"/>
    </w:pPr>
    <w:rPr>
      <w:sz w:val="18"/>
      <w:szCs w:val="18"/>
    </w:rPr>
  </w:style>
  <w:style w:type="character" w:customStyle="1" w:styleId="Char0">
    <w:name w:val="页脚 Char"/>
    <w:basedOn w:val="a0"/>
    <w:link w:val="a4"/>
    <w:uiPriority w:val="99"/>
    <w:rsid w:val="002B3167"/>
    <w:rPr>
      <w:sz w:val="18"/>
      <w:szCs w:val="18"/>
    </w:rPr>
  </w:style>
  <w:style w:type="paragraph" w:styleId="a5">
    <w:name w:val="List Paragraph"/>
    <w:basedOn w:val="a"/>
    <w:uiPriority w:val="34"/>
    <w:qFormat/>
    <w:rsid w:val="002B3167"/>
    <w:pPr>
      <w:ind w:firstLineChars="200" w:firstLine="420"/>
    </w:pPr>
  </w:style>
  <w:style w:type="paragraph" w:styleId="a6">
    <w:name w:val="Balloon Text"/>
    <w:basedOn w:val="a"/>
    <w:link w:val="Char1"/>
    <w:uiPriority w:val="99"/>
    <w:semiHidden/>
    <w:unhideWhenUsed/>
    <w:rsid w:val="00F577F5"/>
    <w:rPr>
      <w:sz w:val="18"/>
      <w:szCs w:val="18"/>
    </w:rPr>
  </w:style>
  <w:style w:type="character" w:customStyle="1" w:styleId="Char1">
    <w:name w:val="批注框文本 Char"/>
    <w:basedOn w:val="a0"/>
    <w:link w:val="a6"/>
    <w:uiPriority w:val="99"/>
    <w:semiHidden/>
    <w:rsid w:val="00F577F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548125">
      <w:bodyDiv w:val="1"/>
      <w:marLeft w:val="0"/>
      <w:marRight w:val="0"/>
      <w:marTop w:val="0"/>
      <w:marBottom w:val="0"/>
      <w:divBdr>
        <w:top w:val="none" w:sz="0" w:space="0" w:color="auto"/>
        <w:left w:val="none" w:sz="0" w:space="0" w:color="auto"/>
        <w:bottom w:val="none" w:sz="0" w:space="0" w:color="auto"/>
        <w:right w:val="none" w:sz="0" w:space="0" w:color="auto"/>
      </w:divBdr>
      <w:divsChild>
        <w:div w:id="2086220781">
          <w:marLeft w:val="0"/>
          <w:marRight w:val="0"/>
          <w:marTop w:val="0"/>
          <w:marBottom w:val="0"/>
          <w:divBdr>
            <w:top w:val="none" w:sz="0" w:space="0" w:color="auto"/>
            <w:left w:val="none" w:sz="0" w:space="0" w:color="auto"/>
            <w:bottom w:val="none" w:sz="0" w:space="0" w:color="auto"/>
            <w:right w:val="none" w:sz="0" w:space="0" w:color="auto"/>
          </w:divBdr>
        </w:div>
        <w:div w:id="291517328">
          <w:marLeft w:val="0"/>
          <w:marRight w:val="0"/>
          <w:marTop w:val="0"/>
          <w:marBottom w:val="0"/>
          <w:divBdr>
            <w:top w:val="none" w:sz="0" w:space="0" w:color="auto"/>
            <w:left w:val="none" w:sz="0" w:space="0" w:color="auto"/>
            <w:bottom w:val="none" w:sz="0" w:space="0" w:color="auto"/>
            <w:right w:val="none" w:sz="0" w:space="0" w:color="auto"/>
          </w:divBdr>
        </w:div>
        <w:div w:id="1116289574">
          <w:marLeft w:val="0"/>
          <w:marRight w:val="0"/>
          <w:marTop w:val="0"/>
          <w:marBottom w:val="0"/>
          <w:divBdr>
            <w:top w:val="none" w:sz="0" w:space="0" w:color="auto"/>
            <w:left w:val="none" w:sz="0" w:space="0" w:color="auto"/>
            <w:bottom w:val="none" w:sz="0" w:space="0" w:color="auto"/>
            <w:right w:val="none" w:sz="0" w:space="0" w:color="auto"/>
          </w:divBdr>
        </w:div>
        <w:div w:id="1650552935">
          <w:marLeft w:val="0"/>
          <w:marRight w:val="0"/>
          <w:marTop w:val="0"/>
          <w:marBottom w:val="0"/>
          <w:divBdr>
            <w:top w:val="none" w:sz="0" w:space="0" w:color="auto"/>
            <w:left w:val="none" w:sz="0" w:space="0" w:color="auto"/>
            <w:bottom w:val="none" w:sz="0" w:space="0" w:color="auto"/>
            <w:right w:val="none" w:sz="0" w:space="0" w:color="auto"/>
          </w:divBdr>
        </w:div>
      </w:divsChild>
    </w:div>
    <w:div w:id="1972437533">
      <w:bodyDiv w:val="1"/>
      <w:marLeft w:val="0"/>
      <w:marRight w:val="0"/>
      <w:marTop w:val="0"/>
      <w:marBottom w:val="0"/>
      <w:divBdr>
        <w:top w:val="none" w:sz="0" w:space="0" w:color="auto"/>
        <w:left w:val="none" w:sz="0" w:space="0" w:color="auto"/>
        <w:bottom w:val="none" w:sz="0" w:space="0" w:color="auto"/>
        <w:right w:val="none" w:sz="0" w:space="0" w:color="auto"/>
      </w:divBdr>
      <w:divsChild>
        <w:div w:id="626475231">
          <w:marLeft w:val="0"/>
          <w:marRight w:val="0"/>
          <w:marTop w:val="0"/>
          <w:marBottom w:val="0"/>
          <w:divBdr>
            <w:top w:val="none" w:sz="0" w:space="0" w:color="auto"/>
            <w:left w:val="none" w:sz="0" w:space="0" w:color="auto"/>
            <w:bottom w:val="none" w:sz="0" w:space="0" w:color="auto"/>
            <w:right w:val="none" w:sz="0" w:space="0" w:color="auto"/>
          </w:divBdr>
        </w:div>
        <w:div w:id="1463423848">
          <w:marLeft w:val="0"/>
          <w:marRight w:val="0"/>
          <w:marTop w:val="0"/>
          <w:marBottom w:val="0"/>
          <w:divBdr>
            <w:top w:val="none" w:sz="0" w:space="0" w:color="auto"/>
            <w:left w:val="none" w:sz="0" w:space="0" w:color="auto"/>
            <w:bottom w:val="none" w:sz="0" w:space="0" w:color="auto"/>
            <w:right w:val="none" w:sz="0" w:space="0" w:color="auto"/>
          </w:divBdr>
        </w:div>
        <w:div w:id="2046632967">
          <w:marLeft w:val="0"/>
          <w:marRight w:val="0"/>
          <w:marTop w:val="0"/>
          <w:marBottom w:val="0"/>
          <w:divBdr>
            <w:top w:val="none" w:sz="0" w:space="0" w:color="auto"/>
            <w:left w:val="none" w:sz="0" w:space="0" w:color="auto"/>
            <w:bottom w:val="none" w:sz="0" w:space="0" w:color="auto"/>
            <w:right w:val="none" w:sz="0" w:space="0" w:color="auto"/>
          </w:divBdr>
        </w:div>
        <w:div w:id="806430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2</Pages>
  <Words>198</Words>
  <Characters>1133</Characters>
  <Application>Microsoft Office Word</Application>
  <DocSecurity>0</DocSecurity>
  <Lines>9</Lines>
  <Paragraphs>2</Paragraphs>
  <ScaleCrop>false</ScaleCrop>
  <Company/>
  <LinksUpToDate>false</LinksUpToDate>
  <CharactersWithSpaces>1329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41</cp:revision>
  <cp:lastPrinted>2020-01-22T08:20:00Z</cp:lastPrinted>
  <dcterms:created xsi:type="dcterms:W3CDTF">2020-01-21T06:36:00Z</dcterms:created>
  <dcterms:modified xsi:type="dcterms:W3CDTF">2020-01-23T09:12:00Z</dcterms:modified>
</cp:coreProperties>
</file>