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8DD" w:rsidRPr="001015DE" w:rsidRDefault="001C68DD" w:rsidP="001C68DD">
      <w:pPr>
        <w:autoSpaceDE w:val="0"/>
        <w:autoSpaceDN w:val="0"/>
        <w:adjustRightInd w:val="0"/>
        <w:spacing w:line="360" w:lineRule="auto"/>
        <w:ind w:firstLineChars="50" w:firstLine="120"/>
        <w:rPr>
          <w:rFonts w:ascii="宋体" w:hAnsi="宋体" w:cs="Arial"/>
          <w:color w:val="000000"/>
          <w:kern w:val="0"/>
          <w:sz w:val="24"/>
        </w:rPr>
      </w:pPr>
      <w:r w:rsidRPr="00EC40BE">
        <w:rPr>
          <w:rFonts w:ascii="宋体" w:hAnsi="宋体" w:cs="宋体" w:hint="eastAsia"/>
          <w:color w:val="000000"/>
          <w:kern w:val="0"/>
          <w:sz w:val="24"/>
        </w:rPr>
        <w:t>证券代码：</w:t>
      </w:r>
      <w:r w:rsidRPr="00EC40BE">
        <w:rPr>
          <w:rFonts w:ascii="宋体" w:hAnsi="宋体" w:cs="Arial"/>
          <w:color w:val="000000"/>
          <w:kern w:val="0"/>
          <w:sz w:val="24"/>
        </w:rPr>
        <w:t>600</w:t>
      </w:r>
      <w:r w:rsidRPr="00EC40BE">
        <w:rPr>
          <w:rFonts w:ascii="宋体" w:hAnsi="宋体" w:cs="Arial" w:hint="eastAsia"/>
          <w:color w:val="000000"/>
          <w:kern w:val="0"/>
          <w:sz w:val="24"/>
        </w:rPr>
        <w:t xml:space="preserve">200  </w:t>
      </w:r>
      <w:r w:rsidRPr="00EC40BE">
        <w:rPr>
          <w:rFonts w:ascii="宋体" w:hAnsi="宋体" w:cs="Arial"/>
          <w:color w:val="000000"/>
          <w:kern w:val="0"/>
          <w:sz w:val="24"/>
        </w:rPr>
        <w:t xml:space="preserve"> </w:t>
      </w:r>
      <w:r>
        <w:rPr>
          <w:rFonts w:ascii="宋体" w:hAnsi="宋体" w:cs="Arial" w:hint="eastAsia"/>
          <w:color w:val="000000"/>
          <w:kern w:val="0"/>
          <w:sz w:val="24"/>
        </w:rPr>
        <w:t xml:space="preserve">     </w:t>
      </w:r>
      <w:r w:rsidRPr="00EC40BE">
        <w:rPr>
          <w:rFonts w:ascii="宋体" w:hAnsi="宋体" w:cs="宋体" w:hint="eastAsia"/>
          <w:color w:val="000000"/>
          <w:kern w:val="0"/>
          <w:sz w:val="24"/>
        </w:rPr>
        <w:t>证券简称：江苏吴中</w:t>
      </w:r>
      <w:r w:rsidRPr="00EC40BE">
        <w:rPr>
          <w:rFonts w:ascii="宋体" w:hAnsi="宋体" w:cs="宋体"/>
          <w:color w:val="000000"/>
          <w:kern w:val="0"/>
          <w:sz w:val="24"/>
        </w:rPr>
        <w:t xml:space="preserve"> </w:t>
      </w:r>
      <w:r>
        <w:rPr>
          <w:rFonts w:ascii="宋体" w:hAnsi="宋体" w:cs="宋体" w:hint="eastAsia"/>
          <w:color w:val="000000"/>
          <w:kern w:val="0"/>
          <w:sz w:val="24"/>
        </w:rPr>
        <w:t xml:space="preserve">      </w:t>
      </w:r>
      <w:r w:rsidRPr="00083F09">
        <w:rPr>
          <w:rFonts w:ascii="宋体" w:hAnsi="宋体" w:cs="Arial" w:hint="eastAsia"/>
          <w:color w:val="000000"/>
          <w:kern w:val="0"/>
          <w:sz w:val="24"/>
        </w:rPr>
        <w:t>公告编号：临201</w:t>
      </w:r>
      <w:r w:rsidR="00000881">
        <w:rPr>
          <w:rFonts w:ascii="宋体" w:hAnsi="宋体" w:cs="Arial" w:hint="eastAsia"/>
          <w:color w:val="000000"/>
          <w:kern w:val="0"/>
          <w:sz w:val="24"/>
        </w:rPr>
        <w:t>8</w:t>
      </w:r>
      <w:r w:rsidRPr="00083F09">
        <w:rPr>
          <w:rFonts w:ascii="宋体" w:hAnsi="宋体" w:cs="Arial" w:hint="eastAsia"/>
          <w:color w:val="000000"/>
          <w:kern w:val="0"/>
          <w:sz w:val="24"/>
        </w:rPr>
        <w:t>-</w:t>
      </w:r>
      <w:r w:rsidR="007F4A1D">
        <w:rPr>
          <w:rFonts w:ascii="宋体" w:hAnsi="宋体" w:cs="Arial" w:hint="eastAsia"/>
          <w:color w:val="000000"/>
          <w:kern w:val="0"/>
          <w:sz w:val="24"/>
        </w:rPr>
        <w:t>047</w:t>
      </w:r>
    </w:p>
    <w:p w:rsidR="001C68DD" w:rsidRDefault="001C68DD" w:rsidP="001C68DD">
      <w:pPr>
        <w:ind w:rightChars="-73" w:right="-153"/>
        <w:jc w:val="center"/>
        <w:rPr>
          <w:rFonts w:ascii="黑体" w:eastAsia="黑体" w:hAnsi="宋体"/>
          <w:b/>
          <w:bCs/>
          <w:color w:val="FF0000"/>
          <w:sz w:val="32"/>
        </w:rPr>
      </w:pPr>
    </w:p>
    <w:p w:rsidR="001C68DD" w:rsidRDefault="001C68DD" w:rsidP="001C68DD">
      <w:pPr>
        <w:ind w:rightChars="-73" w:right="-153"/>
        <w:jc w:val="center"/>
        <w:rPr>
          <w:rFonts w:ascii="黑体" w:eastAsia="黑体" w:hAnsi="宋体"/>
          <w:b/>
          <w:bCs/>
          <w:color w:val="FF0000"/>
          <w:sz w:val="32"/>
        </w:rPr>
      </w:pPr>
      <w:r w:rsidRPr="004219D9">
        <w:rPr>
          <w:rFonts w:ascii="黑体" w:eastAsia="黑体" w:hAnsi="宋体" w:hint="eastAsia"/>
          <w:b/>
          <w:bCs/>
          <w:color w:val="FF0000"/>
          <w:sz w:val="32"/>
        </w:rPr>
        <w:t>江苏吴中实业股份有限公司</w:t>
      </w:r>
    </w:p>
    <w:p w:rsidR="001C68DD" w:rsidRDefault="001C68DD" w:rsidP="001C68DD">
      <w:pPr>
        <w:ind w:rightChars="-73" w:right="-153"/>
        <w:jc w:val="center"/>
        <w:rPr>
          <w:rFonts w:ascii="黑体" w:eastAsia="黑体" w:hAnsi="宋体"/>
          <w:b/>
          <w:bCs/>
          <w:color w:val="FF0000"/>
          <w:sz w:val="32"/>
        </w:rPr>
      </w:pPr>
      <w:r w:rsidRPr="004219D9">
        <w:rPr>
          <w:rFonts w:ascii="黑体" w:eastAsia="黑体" w:hAnsi="宋体" w:hint="eastAsia"/>
          <w:b/>
          <w:bCs/>
          <w:color w:val="FF0000"/>
          <w:sz w:val="32"/>
        </w:rPr>
        <w:t>发行股份及支付现金购买资产并募集配套资金之</w:t>
      </w:r>
    </w:p>
    <w:p w:rsidR="001C68DD" w:rsidRPr="00B71D98" w:rsidRDefault="001C68DD" w:rsidP="001C68DD">
      <w:pPr>
        <w:ind w:rightChars="-73" w:right="-153"/>
        <w:jc w:val="center"/>
        <w:rPr>
          <w:rFonts w:ascii="黑体" w:eastAsia="黑体" w:hAnsi="宋体"/>
          <w:b/>
          <w:bCs/>
          <w:color w:val="FF0000"/>
          <w:sz w:val="32"/>
        </w:rPr>
      </w:pPr>
      <w:r w:rsidRPr="004219D9">
        <w:rPr>
          <w:rFonts w:ascii="黑体" w:eastAsia="黑体" w:hAnsi="宋体" w:hint="eastAsia"/>
          <w:b/>
          <w:bCs/>
          <w:color w:val="FF0000"/>
          <w:sz w:val="32"/>
        </w:rPr>
        <w:t>发行股份购买资产</w:t>
      </w:r>
      <w:r>
        <w:rPr>
          <w:rFonts w:ascii="黑体" w:eastAsia="黑体" w:hAnsi="宋体" w:hint="eastAsia"/>
          <w:b/>
          <w:bCs/>
          <w:color w:val="FF0000"/>
          <w:sz w:val="32"/>
        </w:rPr>
        <w:t>部分</w:t>
      </w:r>
      <w:r w:rsidRPr="004219D9">
        <w:rPr>
          <w:rFonts w:ascii="黑体" w:eastAsia="黑体" w:hAnsi="宋体" w:hint="eastAsia"/>
          <w:b/>
          <w:bCs/>
          <w:color w:val="FF0000"/>
          <w:sz w:val="32"/>
        </w:rPr>
        <w:t>限售股上市流通公告</w:t>
      </w:r>
    </w:p>
    <w:p w:rsidR="001C68DD" w:rsidRDefault="001C68DD" w:rsidP="001C68DD">
      <w:pPr>
        <w:autoSpaceDE w:val="0"/>
        <w:autoSpaceDN w:val="0"/>
        <w:adjustRightInd w:val="0"/>
        <w:spacing w:line="360" w:lineRule="auto"/>
        <w:ind w:firstLineChars="200" w:firstLine="482"/>
        <w:rPr>
          <w:rFonts w:ascii="宋体" w:hAnsi="宋体" w:cs="宋体"/>
          <w:b/>
          <w:color w:val="000000"/>
          <w:kern w:val="0"/>
          <w:sz w:val="24"/>
        </w:rPr>
      </w:pPr>
    </w:p>
    <w:p w:rsidR="001C68DD" w:rsidRPr="00C64350" w:rsidRDefault="001C68DD" w:rsidP="001C68DD">
      <w:pPr>
        <w:autoSpaceDE w:val="0"/>
        <w:autoSpaceDN w:val="0"/>
        <w:adjustRightInd w:val="0"/>
        <w:spacing w:line="360" w:lineRule="auto"/>
        <w:ind w:firstLineChars="200" w:firstLine="482"/>
        <w:rPr>
          <w:rFonts w:ascii="宋体" w:hAnsi="宋体" w:cs="Arial"/>
          <w:b/>
          <w:color w:val="000000"/>
          <w:kern w:val="0"/>
          <w:sz w:val="24"/>
        </w:rPr>
      </w:pPr>
      <w:r w:rsidRPr="0020622E">
        <w:rPr>
          <w:rFonts w:ascii="宋体" w:hAnsi="宋体" w:cs="宋体" w:hint="eastAsia"/>
          <w:b/>
          <w:color w:val="000000"/>
          <w:kern w:val="0"/>
          <w:sz w:val="24"/>
        </w:rPr>
        <w:t>本公司</w:t>
      </w:r>
      <w:r>
        <w:rPr>
          <w:rFonts w:ascii="宋体" w:hAnsi="宋体" w:cs="宋体" w:hint="eastAsia"/>
          <w:b/>
          <w:color w:val="000000"/>
          <w:kern w:val="0"/>
          <w:sz w:val="24"/>
        </w:rPr>
        <w:t>董</w:t>
      </w:r>
      <w:r w:rsidRPr="0020622E">
        <w:rPr>
          <w:rFonts w:ascii="宋体" w:hAnsi="宋体" w:cs="宋体" w:hint="eastAsia"/>
          <w:b/>
          <w:color w:val="000000"/>
          <w:kern w:val="0"/>
          <w:sz w:val="24"/>
        </w:rPr>
        <w:t>事会及全体</w:t>
      </w:r>
      <w:r>
        <w:rPr>
          <w:rFonts w:ascii="宋体" w:hAnsi="宋体" w:cs="宋体" w:hint="eastAsia"/>
          <w:b/>
          <w:color w:val="000000"/>
          <w:kern w:val="0"/>
          <w:sz w:val="24"/>
        </w:rPr>
        <w:t>董</w:t>
      </w:r>
      <w:r w:rsidRPr="0020622E">
        <w:rPr>
          <w:rFonts w:ascii="宋体" w:hAnsi="宋体" w:cs="宋体" w:hint="eastAsia"/>
          <w:b/>
          <w:color w:val="000000"/>
          <w:kern w:val="0"/>
          <w:sz w:val="24"/>
        </w:rPr>
        <w:t>事保证</w:t>
      </w:r>
      <w:r w:rsidRPr="0020622E">
        <w:rPr>
          <w:rFonts w:ascii="ˎ̥" w:hAnsi="ˎ̥"/>
          <w:b/>
          <w:sz w:val="24"/>
        </w:rPr>
        <w:t>本公告内容不存在任何虚假记载、误导性陈述或者重大遗漏，并对其内容的真实性、准确性和完整性承担个别及连带责任。</w:t>
      </w:r>
    </w:p>
    <w:p w:rsidR="001C68DD" w:rsidRDefault="001C68DD" w:rsidP="001C68DD">
      <w:pPr>
        <w:spacing w:line="360" w:lineRule="auto"/>
        <w:ind w:rightChars="15" w:right="31" w:firstLineChars="200" w:firstLine="480"/>
        <w:rPr>
          <w:rFonts w:ascii="宋体" w:hAnsi="宋体"/>
          <w:sz w:val="24"/>
        </w:rPr>
      </w:pPr>
    </w:p>
    <w:p w:rsidR="001C68DD" w:rsidRPr="00F363B9" w:rsidRDefault="001C68DD" w:rsidP="001C68DD">
      <w:pPr>
        <w:spacing w:line="360" w:lineRule="auto"/>
        <w:ind w:firstLine="480"/>
        <w:jc w:val="left"/>
        <w:rPr>
          <w:rFonts w:ascii="宋体" w:hAnsi="宋体"/>
          <w:bCs/>
          <w:sz w:val="24"/>
        </w:rPr>
      </w:pPr>
      <w:r w:rsidRPr="00D42146">
        <w:rPr>
          <w:rFonts w:ascii="宋体" w:hAnsi="宋体" w:hint="eastAsia"/>
          <w:b/>
          <w:sz w:val="24"/>
        </w:rPr>
        <w:t>重要内容提示：</w:t>
      </w:r>
    </w:p>
    <w:p w:rsidR="00000881" w:rsidRPr="000A1E28" w:rsidRDefault="00000881" w:rsidP="00000881">
      <w:pPr>
        <w:numPr>
          <w:ilvl w:val="0"/>
          <w:numId w:val="2"/>
        </w:numPr>
        <w:adjustRightInd w:val="0"/>
        <w:snapToGrid w:val="0"/>
        <w:spacing w:line="360" w:lineRule="auto"/>
        <w:ind w:left="0" w:firstLineChars="200" w:firstLine="480"/>
        <w:rPr>
          <w:rFonts w:ascii="宋体" w:hAnsi="宋体"/>
          <w:sz w:val="24"/>
        </w:rPr>
      </w:pPr>
      <w:r w:rsidRPr="000A1E28">
        <w:rPr>
          <w:rFonts w:ascii="宋体" w:hAnsi="宋体" w:hint="eastAsia"/>
          <w:sz w:val="24"/>
        </w:rPr>
        <w:t>本次限售股上市流通数量为</w:t>
      </w:r>
      <w:r w:rsidR="00336E42">
        <w:rPr>
          <w:rFonts w:ascii="宋体" w:hAnsi="宋体" w:hint="eastAsia"/>
          <w:sz w:val="24"/>
        </w:rPr>
        <w:t>5</w:t>
      </w:r>
      <w:r w:rsidR="004E7264" w:rsidRPr="000A1E28">
        <w:rPr>
          <w:rFonts w:ascii="宋体" w:hAnsi="宋体" w:hint="eastAsia"/>
          <w:sz w:val="24"/>
        </w:rPr>
        <w:t>,</w:t>
      </w:r>
      <w:r w:rsidR="00336E42">
        <w:rPr>
          <w:rFonts w:ascii="宋体" w:hAnsi="宋体" w:hint="eastAsia"/>
          <w:sz w:val="24"/>
        </w:rPr>
        <w:t>958</w:t>
      </w:r>
      <w:r w:rsidR="004E7264" w:rsidRPr="000A1E28">
        <w:rPr>
          <w:rFonts w:ascii="宋体" w:hAnsi="宋体" w:hint="eastAsia"/>
          <w:sz w:val="24"/>
        </w:rPr>
        <w:t>,740</w:t>
      </w:r>
      <w:r w:rsidRPr="000A1E28">
        <w:rPr>
          <w:rFonts w:ascii="宋体" w:hAnsi="宋体" w:hint="eastAsia"/>
          <w:sz w:val="24"/>
        </w:rPr>
        <w:t>股</w:t>
      </w:r>
    </w:p>
    <w:p w:rsidR="00000881" w:rsidRPr="000A1E28" w:rsidRDefault="00000881" w:rsidP="00000881">
      <w:pPr>
        <w:numPr>
          <w:ilvl w:val="0"/>
          <w:numId w:val="2"/>
        </w:numPr>
        <w:adjustRightInd w:val="0"/>
        <w:snapToGrid w:val="0"/>
        <w:spacing w:line="360" w:lineRule="auto"/>
        <w:ind w:left="0" w:firstLineChars="200" w:firstLine="480"/>
        <w:rPr>
          <w:rFonts w:ascii="宋体" w:hAnsi="宋体"/>
          <w:sz w:val="24"/>
        </w:rPr>
      </w:pPr>
      <w:r w:rsidRPr="000A1E28">
        <w:rPr>
          <w:rFonts w:ascii="宋体" w:hAnsi="宋体" w:hint="eastAsia"/>
          <w:sz w:val="24"/>
        </w:rPr>
        <w:t>本次限售股上市流通日期为</w:t>
      </w:r>
      <w:r w:rsidR="004E7264" w:rsidRPr="000A1E28">
        <w:rPr>
          <w:rFonts w:ascii="宋体" w:hAnsi="宋体" w:hint="eastAsia"/>
          <w:sz w:val="24"/>
        </w:rPr>
        <w:t>2018</w:t>
      </w:r>
      <w:r w:rsidRPr="000A1E28">
        <w:rPr>
          <w:rFonts w:ascii="宋体" w:hAnsi="宋体" w:hint="eastAsia"/>
          <w:sz w:val="24"/>
        </w:rPr>
        <w:t>年</w:t>
      </w:r>
      <w:r w:rsidR="004E7264" w:rsidRPr="000A1E28">
        <w:rPr>
          <w:rFonts w:ascii="宋体" w:hAnsi="宋体" w:hint="eastAsia"/>
          <w:sz w:val="24"/>
        </w:rPr>
        <w:t>7</w:t>
      </w:r>
      <w:r w:rsidRPr="000A1E28">
        <w:rPr>
          <w:rFonts w:ascii="宋体" w:hAnsi="宋体" w:hint="eastAsia"/>
          <w:sz w:val="24"/>
        </w:rPr>
        <w:t>月</w:t>
      </w:r>
      <w:r w:rsidR="004E7264" w:rsidRPr="000A1E28">
        <w:rPr>
          <w:rFonts w:ascii="宋体" w:hAnsi="宋体" w:hint="eastAsia"/>
          <w:sz w:val="24"/>
        </w:rPr>
        <w:t>12</w:t>
      </w:r>
      <w:r w:rsidRPr="000A1E28">
        <w:rPr>
          <w:rFonts w:ascii="宋体" w:hAnsi="宋体" w:hint="eastAsia"/>
          <w:sz w:val="24"/>
        </w:rPr>
        <w:t>日</w:t>
      </w:r>
    </w:p>
    <w:p w:rsidR="001C68DD" w:rsidRPr="00000881" w:rsidRDefault="001C68DD" w:rsidP="001C68DD">
      <w:pPr>
        <w:adjustRightInd w:val="0"/>
        <w:snapToGrid w:val="0"/>
        <w:spacing w:line="360" w:lineRule="auto"/>
        <w:rPr>
          <w:rFonts w:ascii="宋体" w:hAnsi="宋体"/>
          <w:color w:val="000000"/>
          <w:sz w:val="24"/>
        </w:rPr>
      </w:pPr>
    </w:p>
    <w:p w:rsidR="001C68DD" w:rsidRDefault="001C68DD" w:rsidP="001C68DD">
      <w:pPr>
        <w:adjustRightInd w:val="0"/>
        <w:snapToGrid w:val="0"/>
        <w:spacing w:line="360" w:lineRule="auto"/>
        <w:rPr>
          <w:rFonts w:ascii="宋体" w:hAnsi="宋体"/>
          <w:b/>
          <w:color w:val="000000"/>
          <w:sz w:val="24"/>
        </w:rPr>
      </w:pPr>
      <w:r w:rsidRPr="00F363B9">
        <w:rPr>
          <w:rFonts w:ascii="宋体" w:hAnsi="宋体" w:hint="eastAsia"/>
          <w:color w:val="000000"/>
          <w:sz w:val="24"/>
        </w:rPr>
        <w:t xml:space="preserve">    </w:t>
      </w:r>
      <w:r w:rsidRPr="00F363B9">
        <w:rPr>
          <w:rFonts w:ascii="宋体" w:hAnsi="宋体" w:hint="eastAsia"/>
          <w:b/>
          <w:color w:val="000000"/>
          <w:sz w:val="24"/>
        </w:rPr>
        <w:t>一、</w:t>
      </w:r>
      <w:r>
        <w:rPr>
          <w:rFonts w:ascii="宋体" w:hAnsi="宋体" w:hint="eastAsia"/>
          <w:b/>
          <w:color w:val="000000"/>
          <w:sz w:val="24"/>
        </w:rPr>
        <w:t>本次限售股上市类型</w:t>
      </w:r>
    </w:p>
    <w:p w:rsidR="001C68DD" w:rsidRPr="00A94F76" w:rsidRDefault="001C68DD" w:rsidP="001C68DD">
      <w:pPr>
        <w:adjustRightInd w:val="0"/>
        <w:snapToGrid w:val="0"/>
        <w:spacing w:line="360" w:lineRule="auto"/>
        <w:ind w:firstLine="495"/>
        <w:rPr>
          <w:rFonts w:ascii="宋体" w:hAnsi="宋体"/>
          <w:color w:val="000000"/>
          <w:sz w:val="24"/>
        </w:rPr>
      </w:pPr>
      <w:r w:rsidRPr="00A94F76">
        <w:rPr>
          <w:rFonts w:ascii="宋体" w:hAnsi="宋体" w:hint="eastAsia"/>
          <w:color w:val="000000"/>
          <w:sz w:val="24"/>
        </w:rPr>
        <w:t>1、本次限售股上市类型：</w:t>
      </w:r>
      <w:r w:rsidRPr="004219D9">
        <w:rPr>
          <w:rFonts w:ascii="宋体" w:hAnsi="宋体" w:hint="eastAsia"/>
          <w:color w:val="000000"/>
          <w:sz w:val="24"/>
        </w:rPr>
        <w:t>发行股份及支付现金购买资产并募集配套资金</w:t>
      </w:r>
      <w:proofErr w:type="gramStart"/>
      <w:r w:rsidRPr="004219D9">
        <w:rPr>
          <w:rFonts w:ascii="宋体" w:hAnsi="宋体" w:hint="eastAsia"/>
          <w:color w:val="000000"/>
          <w:sz w:val="24"/>
        </w:rPr>
        <w:t>之发行</w:t>
      </w:r>
      <w:proofErr w:type="gramEnd"/>
      <w:r w:rsidRPr="004219D9">
        <w:rPr>
          <w:rFonts w:ascii="宋体" w:hAnsi="宋体" w:hint="eastAsia"/>
          <w:color w:val="000000"/>
          <w:sz w:val="24"/>
        </w:rPr>
        <w:t>股份购买资产限售股</w:t>
      </w:r>
      <w:r>
        <w:rPr>
          <w:rFonts w:ascii="宋体" w:hAnsi="宋体" w:hint="eastAsia"/>
          <w:color w:val="000000"/>
          <w:sz w:val="24"/>
        </w:rPr>
        <w:t>。</w:t>
      </w:r>
    </w:p>
    <w:p w:rsidR="001C68DD" w:rsidRPr="00A94F76" w:rsidRDefault="001C68DD" w:rsidP="001C68DD">
      <w:pPr>
        <w:adjustRightInd w:val="0"/>
        <w:snapToGrid w:val="0"/>
        <w:spacing w:line="360" w:lineRule="auto"/>
        <w:ind w:firstLine="495"/>
        <w:rPr>
          <w:rFonts w:ascii="宋体" w:hAnsi="宋体"/>
          <w:color w:val="000000"/>
          <w:sz w:val="24"/>
        </w:rPr>
      </w:pPr>
      <w:r w:rsidRPr="00A94F76">
        <w:rPr>
          <w:rFonts w:ascii="宋体" w:hAnsi="宋体" w:hint="eastAsia"/>
          <w:color w:val="000000"/>
          <w:sz w:val="24"/>
        </w:rPr>
        <w:t>2、</w:t>
      </w:r>
      <w:r>
        <w:rPr>
          <w:rFonts w:ascii="宋体" w:hAnsi="宋体" w:hint="eastAsia"/>
          <w:color w:val="000000"/>
          <w:sz w:val="24"/>
        </w:rPr>
        <w:t>本次</w:t>
      </w:r>
      <w:r w:rsidRPr="00A94F76">
        <w:rPr>
          <w:rFonts w:ascii="宋体" w:hAnsi="宋体" w:hint="eastAsia"/>
          <w:color w:val="000000"/>
          <w:sz w:val="24"/>
        </w:rPr>
        <w:t>限售股的核准情况</w:t>
      </w:r>
    </w:p>
    <w:p w:rsidR="001C68DD" w:rsidRDefault="001C68DD" w:rsidP="001C68DD">
      <w:pPr>
        <w:adjustRightInd w:val="0"/>
        <w:snapToGrid w:val="0"/>
        <w:spacing w:line="360" w:lineRule="auto"/>
        <w:ind w:firstLine="495"/>
        <w:rPr>
          <w:rFonts w:ascii="宋体" w:hAnsi="宋体"/>
          <w:sz w:val="24"/>
        </w:rPr>
      </w:pPr>
      <w:r>
        <w:rPr>
          <w:rFonts w:ascii="宋体" w:hAnsi="宋体" w:hint="eastAsia"/>
          <w:sz w:val="24"/>
        </w:rPr>
        <w:t>江苏吴中实业股份有限公司（以下简称“公司”或“江苏吴中”）</w:t>
      </w:r>
      <w:r w:rsidRPr="00A94F76">
        <w:rPr>
          <w:rFonts w:ascii="宋体" w:hAnsi="宋体" w:hint="eastAsia"/>
          <w:sz w:val="24"/>
        </w:rPr>
        <w:t>于</w:t>
      </w:r>
      <w:r w:rsidRPr="00B95094">
        <w:rPr>
          <w:rFonts w:ascii="宋体" w:hAnsi="宋体" w:hint="eastAsia"/>
          <w:sz w:val="24"/>
        </w:rPr>
        <w:t>2016年2月25日</w:t>
      </w:r>
      <w:r>
        <w:rPr>
          <w:rFonts w:ascii="宋体" w:hAnsi="宋体" w:hint="eastAsia"/>
          <w:sz w:val="24"/>
        </w:rPr>
        <w:t>召开</w:t>
      </w:r>
      <w:r w:rsidRPr="00B95094">
        <w:rPr>
          <w:rFonts w:ascii="宋体" w:hAnsi="宋体" w:hint="eastAsia"/>
          <w:sz w:val="24"/>
        </w:rPr>
        <w:t>第八届董事会第五次会议</w:t>
      </w:r>
      <w:r>
        <w:rPr>
          <w:rFonts w:ascii="宋体" w:hAnsi="宋体" w:hint="eastAsia"/>
          <w:sz w:val="24"/>
        </w:rPr>
        <w:t>，</w:t>
      </w:r>
      <w:r w:rsidRPr="00B95094">
        <w:rPr>
          <w:rFonts w:ascii="宋体" w:hAnsi="宋体" w:hint="eastAsia"/>
          <w:sz w:val="24"/>
        </w:rPr>
        <w:t>审议通过</w:t>
      </w:r>
      <w:r>
        <w:rPr>
          <w:rFonts w:ascii="宋体" w:hAnsi="宋体" w:hint="eastAsia"/>
          <w:sz w:val="24"/>
        </w:rPr>
        <w:t>了</w:t>
      </w:r>
      <w:r w:rsidRPr="00B95094">
        <w:rPr>
          <w:rFonts w:ascii="宋体" w:hAnsi="宋体" w:hint="eastAsia"/>
          <w:sz w:val="24"/>
        </w:rPr>
        <w:t>本次发行股份及支付现金购买资产并募集配套资金方案、本次交易预案、本次交易相关协议、本次交易相关审计报告、资产评估报告等相关议案。2016年3月18日，公司第八届董事会第七次会议审议通过本次交易报告书（草案）、本次交易相关备考财务报告及其审阅报告等相关议案。2016年4月5日，公司召开2015年度股东大会，批准了本次交易相关事项。2016年5月11日，公司召开第八届董事会2016年第三次临时会议，审议通过了江苏吴中实业股份有限公司关于调整本次交易募集配套资金股份发行价格的议案。2016年5月27日，公司召开2016年第一次临时股东大会，批准了《关于调整本次交易募集配套资金股份发行价格的议案》。2016年6月3日</w:t>
      </w:r>
      <w:r>
        <w:rPr>
          <w:rFonts w:ascii="宋体" w:hAnsi="宋体" w:hint="eastAsia"/>
          <w:sz w:val="24"/>
        </w:rPr>
        <w:t>，</w:t>
      </w:r>
      <w:r w:rsidRPr="00B95094">
        <w:rPr>
          <w:rFonts w:ascii="宋体" w:hAnsi="宋体" w:hint="eastAsia"/>
          <w:sz w:val="24"/>
        </w:rPr>
        <w:t>中国证券监督管理委员会（以下简称“中国证监会”）并购重组委召开第40次会议</w:t>
      </w:r>
      <w:r>
        <w:rPr>
          <w:rFonts w:ascii="宋体" w:hAnsi="宋体" w:hint="eastAsia"/>
          <w:sz w:val="24"/>
        </w:rPr>
        <w:t>审议通过了</w:t>
      </w:r>
      <w:r w:rsidRPr="00B95094">
        <w:rPr>
          <w:rFonts w:ascii="宋体" w:hAnsi="宋体" w:hint="eastAsia"/>
          <w:sz w:val="24"/>
        </w:rPr>
        <w:t>本次交易。2016年7月1日</w:t>
      </w:r>
      <w:r>
        <w:rPr>
          <w:rFonts w:ascii="宋体" w:hAnsi="宋体" w:hint="eastAsia"/>
          <w:sz w:val="24"/>
        </w:rPr>
        <w:t>，公司</w:t>
      </w:r>
      <w:r w:rsidRPr="00B95094">
        <w:rPr>
          <w:rFonts w:ascii="宋体" w:hAnsi="宋体" w:hint="eastAsia"/>
          <w:sz w:val="24"/>
        </w:rPr>
        <w:t>收到中国证监会</w:t>
      </w:r>
      <w:r w:rsidRPr="00B95094">
        <w:rPr>
          <w:rFonts w:ascii="宋体" w:hAnsi="宋体" w:hint="eastAsia"/>
          <w:sz w:val="24"/>
        </w:rPr>
        <w:lastRenderedPageBreak/>
        <w:t>《关于核准江苏吴中实业股份有限公司向毕红芬等发行股份购买资产并募集配套资金的批复》（证监许可 [2016]1448号）</w:t>
      </w:r>
      <w:r>
        <w:rPr>
          <w:rFonts w:ascii="宋体" w:hAnsi="宋体" w:hint="eastAsia"/>
          <w:sz w:val="24"/>
        </w:rPr>
        <w:t>，核准了本次交易。</w:t>
      </w:r>
    </w:p>
    <w:p w:rsidR="001C68DD" w:rsidRPr="00A94F76" w:rsidRDefault="001C68DD" w:rsidP="001C68DD">
      <w:pPr>
        <w:adjustRightInd w:val="0"/>
        <w:snapToGrid w:val="0"/>
        <w:spacing w:line="360" w:lineRule="auto"/>
        <w:ind w:firstLine="495"/>
        <w:rPr>
          <w:rFonts w:ascii="宋体" w:hAnsi="宋体"/>
          <w:color w:val="000000"/>
          <w:sz w:val="24"/>
        </w:rPr>
      </w:pPr>
      <w:r w:rsidRPr="00A94F76">
        <w:rPr>
          <w:rFonts w:ascii="宋体" w:hAnsi="宋体" w:hint="eastAsia"/>
          <w:color w:val="000000"/>
          <w:sz w:val="24"/>
        </w:rPr>
        <w:t>3、</w:t>
      </w:r>
      <w:r>
        <w:rPr>
          <w:rFonts w:ascii="宋体" w:hAnsi="宋体" w:hint="eastAsia"/>
          <w:color w:val="000000"/>
          <w:sz w:val="24"/>
        </w:rPr>
        <w:t>本次</w:t>
      </w:r>
      <w:r w:rsidRPr="00A94F76">
        <w:rPr>
          <w:rFonts w:ascii="宋体" w:hAnsi="宋体" w:hint="eastAsia"/>
          <w:color w:val="000000"/>
          <w:sz w:val="24"/>
        </w:rPr>
        <w:t>限售股的登记情况</w:t>
      </w:r>
    </w:p>
    <w:p w:rsidR="001C68DD" w:rsidRDefault="001C68DD" w:rsidP="001C68DD">
      <w:pPr>
        <w:adjustRightInd w:val="0"/>
        <w:snapToGrid w:val="0"/>
        <w:spacing w:line="360" w:lineRule="auto"/>
        <w:ind w:firstLine="495"/>
        <w:rPr>
          <w:rFonts w:ascii="宋体" w:hAnsi="宋体"/>
          <w:sz w:val="24"/>
        </w:rPr>
      </w:pPr>
      <w:r w:rsidRPr="008D4753">
        <w:rPr>
          <w:rFonts w:ascii="宋体" w:hAnsi="宋体" w:hint="eastAsia"/>
          <w:sz w:val="24"/>
        </w:rPr>
        <w:t>2016年7月</w:t>
      </w:r>
      <w:r>
        <w:rPr>
          <w:rFonts w:ascii="宋体" w:hAnsi="宋体" w:hint="eastAsia"/>
          <w:sz w:val="24"/>
        </w:rPr>
        <w:t>11</w:t>
      </w:r>
      <w:r w:rsidRPr="008D4753">
        <w:rPr>
          <w:rFonts w:ascii="宋体" w:hAnsi="宋体" w:hint="eastAsia"/>
          <w:sz w:val="24"/>
        </w:rPr>
        <w:t>日，公司向毕红芬、毕永星和潘培华非公开发行的18,140,588</w:t>
      </w:r>
      <w:r>
        <w:rPr>
          <w:rFonts w:ascii="宋体" w:hAnsi="宋体" w:hint="eastAsia"/>
          <w:sz w:val="24"/>
        </w:rPr>
        <w:t>股普通股股票</w:t>
      </w:r>
      <w:r w:rsidRPr="00A94F76">
        <w:rPr>
          <w:rFonts w:ascii="宋体" w:hAnsi="宋体" w:hint="eastAsia"/>
          <w:sz w:val="24"/>
        </w:rPr>
        <w:t>在中国证券登记结算有限责任公司上海分公司</w:t>
      </w:r>
      <w:r w:rsidRPr="008D4753">
        <w:rPr>
          <w:rFonts w:ascii="宋体" w:hAnsi="宋体" w:hint="eastAsia"/>
          <w:sz w:val="24"/>
        </w:rPr>
        <w:t>办理完毕新增股份登记手续。</w:t>
      </w:r>
    </w:p>
    <w:p w:rsidR="001C68DD" w:rsidRDefault="001C68DD" w:rsidP="001C68DD">
      <w:pPr>
        <w:adjustRightInd w:val="0"/>
        <w:snapToGrid w:val="0"/>
        <w:spacing w:line="360" w:lineRule="auto"/>
        <w:ind w:firstLine="495"/>
        <w:rPr>
          <w:rFonts w:ascii="宋体" w:hAnsi="宋体"/>
          <w:color w:val="000000"/>
          <w:sz w:val="24"/>
        </w:rPr>
      </w:pPr>
      <w:r w:rsidRPr="00A94F76">
        <w:rPr>
          <w:rFonts w:ascii="宋体" w:hAnsi="宋体" w:hint="eastAsia"/>
          <w:color w:val="000000"/>
          <w:sz w:val="24"/>
        </w:rPr>
        <w:t>4、</w:t>
      </w:r>
      <w:r>
        <w:rPr>
          <w:rFonts w:ascii="宋体" w:hAnsi="宋体" w:hint="eastAsia"/>
          <w:color w:val="000000"/>
          <w:sz w:val="24"/>
        </w:rPr>
        <w:t>本次</w:t>
      </w:r>
      <w:r w:rsidRPr="00A94F76">
        <w:rPr>
          <w:rFonts w:ascii="宋体" w:hAnsi="宋体" w:hint="eastAsia"/>
          <w:color w:val="000000"/>
          <w:sz w:val="24"/>
        </w:rPr>
        <w:t>限售股锁定期安排</w:t>
      </w:r>
    </w:p>
    <w:p w:rsidR="001C68DD" w:rsidRPr="008D4753" w:rsidRDefault="001C68DD" w:rsidP="001C68DD">
      <w:pPr>
        <w:adjustRightInd w:val="0"/>
        <w:snapToGrid w:val="0"/>
        <w:spacing w:line="360" w:lineRule="auto"/>
        <w:ind w:firstLine="495"/>
        <w:rPr>
          <w:rFonts w:ascii="宋体" w:hAnsi="宋体"/>
          <w:color w:val="000000"/>
          <w:sz w:val="24"/>
        </w:rPr>
      </w:pPr>
      <w:r w:rsidRPr="008D4753">
        <w:rPr>
          <w:rFonts w:ascii="宋体" w:hAnsi="宋体" w:hint="eastAsia"/>
          <w:color w:val="000000"/>
          <w:sz w:val="24"/>
        </w:rPr>
        <w:t>本次发行股份及支付现金购买资产的交易对方因本次交易取得的本公司股份的锁定期为标的股份交割日后36个月，在锁定期内根据交易各方约定的业绩承诺累计完成进度，并在标的股份交割日后满12、24、36个</w:t>
      </w:r>
      <w:proofErr w:type="gramStart"/>
      <w:r w:rsidRPr="008D4753">
        <w:rPr>
          <w:rFonts w:ascii="宋体" w:hAnsi="宋体" w:hint="eastAsia"/>
          <w:color w:val="000000"/>
          <w:sz w:val="24"/>
        </w:rPr>
        <w:t>月分</w:t>
      </w:r>
      <w:proofErr w:type="gramEnd"/>
      <w:r w:rsidRPr="008D4753">
        <w:rPr>
          <w:rFonts w:ascii="宋体" w:hAnsi="宋体" w:hint="eastAsia"/>
          <w:color w:val="000000"/>
          <w:sz w:val="24"/>
        </w:rPr>
        <w:t>三期解除锁定。</w:t>
      </w:r>
    </w:p>
    <w:p w:rsidR="001C68DD" w:rsidRPr="008D4753" w:rsidRDefault="001C68DD" w:rsidP="001C68DD">
      <w:pPr>
        <w:adjustRightInd w:val="0"/>
        <w:snapToGrid w:val="0"/>
        <w:spacing w:line="360" w:lineRule="auto"/>
        <w:ind w:firstLine="495"/>
        <w:rPr>
          <w:rFonts w:ascii="宋体" w:hAnsi="宋体"/>
          <w:color w:val="000000"/>
          <w:sz w:val="24"/>
        </w:rPr>
      </w:pPr>
      <w:r w:rsidRPr="008D4753">
        <w:rPr>
          <w:rFonts w:ascii="宋体" w:hAnsi="宋体" w:hint="eastAsia"/>
          <w:color w:val="000000"/>
          <w:sz w:val="24"/>
        </w:rPr>
        <w:t>交易对方于2016年1月向响水恒利达</w:t>
      </w:r>
      <w:r>
        <w:rPr>
          <w:rFonts w:ascii="宋体" w:hAnsi="宋体" w:hint="eastAsia"/>
          <w:color w:val="000000"/>
          <w:sz w:val="24"/>
        </w:rPr>
        <w:t>科技化工有限公司（以下简称“响水恒利达”）</w:t>
      </w:r>
      <w:r w:rsidRPr="008D4753">
        <w:rPr>
          <w:rFonts w:ascii="宋体" w:hAnsi="宋体" w:hint="eastAsia"/>
          <w:color w:val="000000"/>
          <w:sz w:val="24"/>
        </w:rPr>
        <w:t>现金增资1,300万元，占响水恒利达增资后注册资本的比例为11.50%。根据《上市公司重大资产重组管理办法》第四十六条的规定，交易对方取得本次发行的股份时，对其用于认购股份的资产（即上述增资1,300万元）持续拥有权益的时间不足12个月，本次交易后交易对方所取得的本公司股份中的相应部分需锁定36个月，具体数量如下：毕红芬因本次交易所取得的本公司股份为14,663,038股，其中1,686,899股自标的股份交割日后36个月内不得解除锁定；毕永星因本次交易所取得的本公司股份为1,814,058股，其中208,697股自标的股份交割日后36个月内不得解除锁定；潘培华因本次交易所取得的本公司股份为1,663,492股，其中191,376股自标的股份交割日后36个月内不得解除锁定。</w:t>
      </w:r>
    </w:p>
    <w:p w:rsidR="001C68DD" w:rsidRPr="008D4753" w:rsidRDefault="001C68DD" w:rsidP="001C68DD">
      <w:pPr>
        <w:adjustRightInd w:val="0"/>
        <w:snapToGrid w:val="0"/>
        <w:spacing w:line="360" w:lineRule="auto"/>
        <w:ind w:firstLine="495"/>
        <w:rPr>
          <w:rFonts w:ascii="宋体" w:hAnsi="宋体"/>
          <w:color w:val="000000"/>
          <w:sz w:val="24"/>
        </w:rPr>
      </w:pPr>
      <w:r w:rsidRPr="008D4753">
        <w:rPr>
          <w:rFonts w:ascii="宋体" w:hAnsi="宋体" w:hint="eastAsia"/>
          <w:color w:val="000000"/>
          <w:sz w:val="24"/>
        </w:rPr>
        <w:t>在锁定期内，本公司将聘请具有证券、期货相关业务资格的会计师事务所每年就响水恒利</w:t>
      </w:r>
      <w:proofErr w:type="gramStart"/>
      <w:r w:rsidRPr="008D4753">
        <w:rPr>
          <w:rFonts w:ascii="宋体" w:hAnsi="宋体" w:hint="eastAsia"/>
          <w:color w:val="000000"/>
          <w:sz w:val="24"/>
        </w:rPr>
        <w:t>达业绩</w:t>
      </w:r>
      <w:proofErr w:type="gramEnd"/>
      <w:r w:rsidRPr="008D4753">
        <w:rPr>
          <w:rFonts w:ascii="宋体" w:hAnsi="宋体" w:hint="eastAsia"/>
          <w:color w:val="000000"/>
          <w:sz w:val="24"/>
        </w:rPr>
        <w:t>承诺实现情况出具《专项审核报告》并与本公司年度报告同时在指定媒体披露。</w:t>
      </w:r>
    </w:p>
    <w:p w:rsidR="001C68DD" w:rsidRPr="008D4753" w:rsidRDefault="001C68DD" w:rsidP="001C68DD">
      <w:pPr>
        <w:adjustRightInd w:val="0"/>
        <w:snapToGrid w:val="0"/>
        <w:spacing w:line="360" w:lineRule="auto"/>
        <w:ind w:firstLine="495"/>
        <w:rPr>
          <w:rFonts w:ascii="宋体" w:hAnsi="宋体"/>
          <w:color w:val="000000"/>
          <w:sz w:val="24"/>
        </w:rPr>
      </w:pPr>
      <w:r w:rsidRPr="008D4753">
        <w:rPr>
          <w:rFonts w:ascii="宋体" w:hAnsi="宋体" w:hint="eastAsia"/>
          <w:color w:val="000000"/>
          <w:sz w:val="24"/>
        </w:rPr>
        <w:t>每期解除锁定的股份数量根据交易各方约定的业绩承诺和《专项审核报告》的结果确定，具体计算公式为：当期解除限售股数=标的公司截至上年末累计实现的净利润数/合计承诺实现的净利润数×因本次交易取得的上市公司股份数量-已解禁股份数-累计业绩补偿股份数。</w:t>
      </w:r>
    </w:p>
    <w:p w:rsidR="001C68DD" w:rsidRPr="008D4753" w:rsidRDefault="001C68DD" w:rsidP="001C68DD">
      <w:pPr>
        <w:adjustRightInd w:val="0"/>
        <w:snapToGrid w:val="0"/>
        <w:spacing w:line="360" w:lineRule="auto"/>
        <w:ind w:firstLine="495"/>
        <w:rPr>
          <w:rFonts w:ascii="宋体" w:hAnsi="宋体"/>
          <w:color w:val="000000"/>
          <w:sz w:val="24"/>
        </w:rPr>
      </w:pPr>
      <w:r w:rsidRPr="008D4753">
        <w:rPr>
          <w:rFonts w:ascii="宋体" w:hAnsi="宋体" w:hint="eastAsia"/>
          <w:color w:val="000000"/>
          <w:sz w:val="24"/>
        </w:rPr>
        <w:t>在按照上述公式计算每期解除限售股数时，在标的股份交割日后满12个月、24个月两期解除锁定的股份数累计不得超过16,053,616股，其中毕红芬解锁股份数不超过12,976,139股，毕永星解锁股份数不超过1,605,361股，潘培华解锁股份数不超过1,472,116股。若按照上述公式计算的标的股份交割日后满12</w:t>
      </w:r>
      <w:r w:rsidRPr="008D4753">
        <w:rPr>
          <w:rFonts w:ascii="宋体" w:hAnsi="宋体" w:hint="eastAsia"/>
          <w:color w:val="000000"/>
          <w:sz w:val="24"/>
        </w:rPr>
        <w:lastRenderedPageBreak/>
        <w:t>个月、24个月两期解除锁定的股份数累计超过上述解锁股份数量上限的，超出部分留待标的股份交割日后满36个月解锁。</w:t>
      </w:r>
    </w:p>
    <w:p w:rsidR="001C68DD" w:rsidRDefault="001C68DD" w:rsidP="001C68DD">
      <w:pPr>
        <w:adjustRightInd w:val="0"/>
        <w:snapToGrid w:val="0"/>
        <w:spacing w:line="360" w:lineRule="auto"/>
        <w:ind w:firstLine="495"/>
        <w:rPr>
          <w:rFonts w:ascii="宋体" w:hAnsi="宋体"/>
          <w:color w:val="000000"/>
          <w:sz w:val="24"/>
        </w:rPr>
      </w:pPr>
      <w:r w:rsidRPr="008D4753">
        <w:rPr>
          <w:rFonts w:ascii="宋体" w:hAnsi="宋体" w:hint="eastAsia"/>
          <w:color w:val="000000"/>
          <w:sz w:val="24"/>
        </w:rPr>
        <w:t>如果锁定期内公司发生分配股票股利、资本公积转增股本等利润分配事项，则解除限售股份数量进行相应调整。</w:t>
      </w:r>
    </w:p>
    <w:p w:rsidR="001C68DD" w:rsidRDefault="001C68DD" w:rsidP="001C68DD">
      <w:pPr>
        <w:adjustRightInd w:val="0"/>
        <w:snapToGrid w:val="0"/>
        <w:spacing w:line="360" w:lineRule="auto"/>
        <w:ind w:firstLine="495"/>
        <w:rPr>
          <w:rFonts w:ascii="宋体" w:hAnsi="宋体"/>
          <w:b/>
          <w:color w:val="000000"/>
          <w:sz w:val="24"/>
        </w:rPr>
      </w:pPr>
    </w:p>
    <w:p w:rsidR="001C68DD" w:rsidRDefault="001C68DD" w:rsidP="001C68DD">
      <w:pPr>
        <w:adjustRightInd w:val="0"/>
        <w:snapToGrid w:val="0"/>
        <w:spacing w:line="360" w:lineRule="auto"/>
        <w:ind w:firstLine="495"/>
        <w:rPr>
          <w:rFonts w:ascii="宋体" w:hAnsi="宋体"/>
          <w:b/>
          <w:color w:val="000000"/>
          <w:sz w:val="24"/>
        </w:rPr>
      </w:pPr>
      <w:r>
        <w:rPr>
          <w:rFonts w:ascii="宋体" w:hAnsi="宋体" w:hint="eastAsia"/>
          <w:b/>
          <w:color w:val="000000"/>
          <w:sz w:val="24"/>
        </w:rPr>
        <w:t>二、本次限售股形成后至今公司股本数量变化情况</w:t>
      </w:r>
    </w:p>
    <w:p w:rsidR="001C68DD" w:rsidRDefault="001C68DD" w:rsidP="001C68DD">
      <w:pPr>
        <w:adjustRightInd w:val="0"/>
        <w:snapToGrid w:val="0"/>
        <w:spacing w:line="360" w:lineRule="auto"/>
        <w:ind w:firstLine="495"/>
        <w:rPr>
          <w:rFonts w:ascii="宋体" w:hAnsi="宋体"/>
          <w:color w:val="000000"/>
          <w:sz w:val="24"/>
        </w:rPr>
      </w:pPr>
      <w:r w:rsidRPr="00CD64EB">
        <w:rPr>
          <w:rFonts w:ascii="宋体" w:hAnsi="宋体" w:hint="eastAsia"/>
          <w:color w:val="000000"/>
          <w:sz w:val="24"/>
        </w:rPr>
        <w:t>2016年10月13日</w:t>
      </w:r>
      <w:r>
        <w:rPr>
          <w:rFonts w:ascii="宋体" w:hAnsi="宋体" w:hint="eastAsia"/>
          <w:color w:val="000000"/>
          <w:sz w:val="24"/>
        </w:rPr>
        <w:t>，</w:t>
      </w:r>
      <w:r w:rsidRPr="0089024C">
        <w:rPr>
          <w:rFonts w:ascii="宋体" w:hAnsi="宋体" w:hint="eastAsia"/>
          <w:color w:val="000000"/>
          <w:sz w:val="24"/>
        </w:rPr>
        <w:t>公司本次募集配套资金新增发行的34,305,300股人民币普通股（A股）</w:t>
      </w:r>
      <w:r>
        <w:rPr>
          <w:rFonts w:ascii="宋体" w:hAnsi="宋体" w:hint="eastAsia"/>
          <w:color w:val="000000"/>
          <w:sz w:val="24"/>
        </w:rPr>
        <w:t>在中国证券登记结算有限责任公司上海分公司办理完毕股份登记手续，</w:t>
      </w:r>
      <w:r w:rsidRPr="0089024C">
        <w:rPr>
          <w:rFonts w:ascii="宋体" w:hAnsi="宋体" w:hint="eastAsia"/>
          <w:color w:val="000000"/>
          <w:sz w:val="24"/>
        </w:rPr>
        <w:t>公司总股本由687,586,658股变更为</w:t>
      </w:r>
      <w:r w:rsidRPr="0089024C">
        <w:rPr>
          <w:rFonts w:ascii="宋体" w:hAnsi="宋体"/>
          <w:color w:val="000000"/>
          <w:sz w:val="24"/>
        </w:rPr>
        <w:t>721,891,958</w:t>
      </w:r>
      <w:r w:rsidRPr="0089024C">
        <w:rPr>
          <w:rFonts w:ascii="宋体" w:hAnsi="宋体" w:hint="eastAsia"/>
          <w:color w:val="000000"/>
          <w:sz w:val="24"/>
        </w:rPr>
        <w:t>股（具体见公司于2016年</w:t>
      </w:r>
      <w:r>
        <w:rPr>
          <w:rFonts w:ascii="宋体" w:hAnsi="宋体" w:hint="eastAsia"/>
          <w:color w:val="000000"/>
          <w:sz w:val="24"/>
        </w:rPr>
        <w:t>10</w:t>
      </w:r>
      <w:r w:rsidRPr="0089024C">
        <w:rPr>
          <w:rFonts w:ascii="宋体" w:hAnsi="宋体" w:hint="eastAsia"/>
          <w:color w:val="000000"/>
          <w:sz w:val="24"/>
        </w:rPr>
        <w:t>月1</w:t>
      </w:r>
      <w:r>
        <w:rPr>
          <w:rFonts w:ascii="宋体" w:hAnsi="宋体" w:hint="eastAsia"/>
          <w:color w:val="000000"/>
          <w:sz w:val="24"/>
        </w:rPr>
        <w:t>5</w:t>
      </w:r>
      <w:r w:rsidRPr="0089024C">
        <w:rPr>
          <w:rFonts w:ascii="宋体" w:hAnsi="宋体" w:hint="eastAsia"/>
          <w:color w:val="000000"/>
          <w:sz w:val="24"/>
        </w:rPr>
        <w:t>日在《中国证券报》、《上海证券报》及上海证券交易所网站上披露的相关公告）。</w:t>
      </w:r>
    </w:p>
    <w:p w:rsidR="001C68DD" w:rsidRDefault="001C68DD" w:rsidP="001C68DD">
      <w:pPr>
        <w:adjustRightInd w:val="0"/>
        <w:snapToGrid w:val="0"/>
        <w:spacing w:line="360" w:lineRule="auto"/>
        <w:ind w:firstLine="495"/>
        <w:rPr>
          <w:rFonts w:ascii="宋体" w:hAnsi="宋体"/>
          <w:color w:val="000000"/>
          <w:sz w:val="24"/>
        </w:rPr>
      </w:pPr>
      <w:r>
        <w:rPr>
          <w:rFonts w:ascii="宋体" w:hAnsi="宋体" w:hint="eastAsia"/>
          <w:color w:val="000000"/>
          <w:sz w:val="24"/>
        </w:rPr>
        <w:t>前述募集配套资金新增股份发行完毕后至今，公司股份数量未发生变化，亦未发生分配股票股利、资本公积转增股本等事项。截至目前，公司股份总数为721,891,958股 。</w:t>
      </w:r>
    </w:p>
    <w:p w:rsidR="001C68DD" w:rsidRPr="002B0664" w:rsidRDefault="001C68DD" w:rsidP="001C68DD">
      <w:pPr>
        <w:adjustRightInd w:val="0"/>
        <w:snapToGrid w:val="0"/>
        <w:spacing w:line="360" w:lineRule="auto"/>
        <w:ind w:firstLine="495"/>
        <w:rPr>
          <w:rFonts w:ascii="宋体" w:hAnsi="宋体"/>
          <w:color w:val="000000"/>
          <w:sz w:val="24"/>
        </w:rPr>
      </w:pPr>
    </w:p>
    <w:p w:rsidR="001C68DD" w:rsidRPr="00364728" w:rsidRDefault="001C68DD" w:rsidP="001C68DD">
      <w:pPr>
        <w:adjustRightInd w:val="0"/>
        <w:snapToGrid w:val="0"/>
        <w:spacing w:line="360" w:lineRule="auto"/>
        <w:ind w:firstLineChars="200" w:firstLine="482"/>
        <w:rPr>
          <w:rFonts w:ascii="宋体" w:hAnsi="宋体"/>
          <w:b/>
          <w:sz w:val="24"/>
        </w:rPr>
      </w:pPr>
      <w:r w:rsidRPr="00364728">
        <w:rPr>
          <w:rFonts w:ascii="宋体" w:hAnsi="宋体" w:hint="eastAsia"/>
          <w:b/>
          <w:color w:val="000000"/>
          <w:sz w:val="24"/>
        </w:rPr>
        <w:t>三、</w:t>
      </w:r>
      <w:r w:rsidRPr="00364728">
        <w:rPr>
          <w:rFonts w:ascii="宋体" w:hAnsi="宋体" w:hint="eastAsia"/>
          <w:b/>
          <w:sz w:val="24"/>
        </w:rPr>
        <w:t>本次限售股上市流通的有关承诺</w:t>
      </w:r>
    </w:p>
    <w:p w:rsidR="001C68DD" w:rsidRPr="00ED4492" w:rsidRDefault="001C68DD" w:rsidP="001C68DD">
      <w:pPr>
        <w:pStyle w:val="2"/>
        <w:rPr>
          <w:rFonts w:cs="Times New Roman"/>
          <w:kern w:val="0"/>
        </w:rPr>
      </w:pPr>
      <w:r w:rsidRPr="00ED4492">
        <w:rPr>
          <w:rFonts w:cs="Times New Roman" w:hint="eastAsia"/>
          <w:kern w:val="0"/>
        </w:rPr>
        <w:t>（一）股份锁定承诺</w:t>
      </w:r>
    </w:p>
    <w:p w:rsidR="001C68DD" w:rsidRDefault="001C68DD" w:rsidP="001C68DD">
      <w:pPr>
        <w:pStyle w:val="2"/>
        <w:rPr>
          <w:rFonts w:cs="Times New Roman"/>
          <w:kern w:val="0"/>
        </w:rPr>
      </w:pPr>
      <w:r w:rsidRPr="00362749">
        <w:rPr>
          <w:rFonts w:cs="Times New Roman" w:hint="eastAsia"/>
          <w:kern w:val="0"/>
        </w:rPr>
        <w:t>本次申请解除部分股份限售的股东毕红芬、毕永星及潘培华</w:t>
      </w:r>
      <w:r>
        <w:rPr>
          <w:rFonts w:cs="Times New Roman" w:hint="eastAsia"/>
          <w:kern w:val="0"/>
        </w:rPr>
        <w:t>承诺：</w:t>
      </w:r>
    </w:p>
    <w:p w:rsidR="001C68DD" w:rsidRPr="00362749" w:rsidRDefault="001C68DD" w:rsidP="001C68DD">
      <w:pPr>
        <w:pStyle w:val="2"/>
        <w:rPr>
          <w:rFonts w:cs="Times New Roman"/>
          <w:kern w:val="0"/>
        </w:rPr>
      </w:pPr>
      <w:r>
        <w:rPr>
          <w:rFonts w:cs="Times New Roman" w:hint="eastAsia"/>
          <w:kern w:val="0"/>
        </w:rPr>
        <w:t>“</w:t>
      </w:r>
      <w:r w:rsidRPr="00362749">
        <w:rPr>
          <w:rFonts w:cs="Times New Roman" w:hint="eastAsia"/>
          <w:kern w:val="0"/>
        </w:rPr>
        <w:t>一、本人因本次交易取得的江苏吴中股份（包括锁定期内因江苏吴中就该等股份分配股票股利、资本公积转增股本等原因取得的股份）的锁定期为相关股份登记至本人名下之日后</w:t>
      </w:r>
      <w:r w:rsidRPr="00362749">
        <w:rPr>
          <w:rFonts w:cs="Times New Roman" w:hint="eastAsia"/>
          <w:kern w:val="0"/>
        </w:rPr>
        <w:t>36</w:t>
      </w:r>
      <w:r w:rsidRPr="00362749">
        <w:rPr>
          <w:rFonts w:cs="Times New Roman" w:hint="eastAsia"/>
          <w:kern w:val="0"/>
        </w:rPr>
        <w:t>个月，在锁定期内根据业绩承诺累计完成进度，并在相关股份登记至本人名下之日后满</w:t>
      </w:r>
      <w:r w:rsidRPr="00362749">
        <w:rPr>
          <w:rFonts w:cs="Times New Roman" w:hint="eastAsia"/>
          <w:kern w:val="0"/>
        </w:rPr>
        <w:t>12</w:t>
      </w:r>
      <w:r w:rsidRPr="00362749">
        <w:rPr>
          <w:rFonts w:cs="Times New Roman" w:hint="eastAsia"/>
          <w:kern w:val="0"/>
        </w:rPr>
        <w:t>、</w:t>
      </w:r>
      <w:r w:rsidRPr="00362749">
        <w:rPr>
          <w:rFonts w:cs="Times New Roman" w:hint="eastAsia"/>
          <w:kern w:val="0"/>
        </w:rPr>
        <w:t>24</w:t>
      </w:r>
      <w:r w:rsidRPr="00362749">
        <w:rPr>
          <w:rFonts w:cs="Times New Roman" w:hint="eastAsia"/>
          <w:kern w:val="0"/>
        </w:rPr>
        <w:t>、</w:t>
      </w:r>
      <w:r w:rsidRPr="00362749">
        <w:rPr>
          <w:rFonts w:cs="Times New Roman" w:hint="eastAsia"/>
          <w:kern w:val="0"/>
        </w:rPr>
        <w:t>36</w:t>
      </w:r>
      <w:r w:rsidRPr="00362749">
        <w:rPr>
          <w:rFonts w:cs="Times New Roman" w:hint="eastAsia"/>
          <w:kern w:val="0"/>
        </w:rPr>
        <w:t>个</w:t>
      </w:r>
      <w:proofErr w:type="gramStart"/>
      <w:r w:rsidRPr="00362749">
        <w:rPr>
          <w:rFonts w:cs="Times New Roman" w:hint="eastAsia"/>
          <w:kern w:val="0"/>
        </w:rPr>
        <w:t>月分</w:t>
      </w:r>
      <w:proofErr w:type="gramEnd"/>
      <w:r w:rsidRPr="00362749">
        <w:rPr>
          <w:rFonts w:cs="Times New Roman" w:hint="eastAsia"/>
          <w:kern w:val="0"/>
        </w:rPr>
        <w:t>三期解除锁定。每期解除锁定的股份数量根据《江苏吴中实业股份有限公司与毕红芬、毕永星、潘培华发行股份及支付现金购买资产协议》和《江苏吴中实业股份有限公司与毕红芬、毕永星、潘培华发行股份及支付现金购买资产之业绩承诺及补偿协议》约定确定。锁定期内，本人不以任何方式转让、托管本人持有的江苏吴中股份。</w:t>
      </w:r>
    </w:p>
    <w:p w:rsidR="001C68DD" w:rsidRDefault="001C68DD" w:rsidP="001C68DD">
      <w:pPr>
        <w:pStyle w:val="2"/>
        <w:rPr>
          <w:rFonts w:cs="Times New Roman"/>
          <w:kern w:val="0"/>
        </w:rPr>
      </w:pPr>
      <w:r w:rsidRPr="00362749">
        <w:rPr>
          <w:rFonts w:cs="Times New Roman" w:hint="eastAsia"/>
          <w:kern w:val="0"/>
        </w:rPr>
        <w:t>二、本人在转让解除锁定后且未因业绩补偿应被注销的江苏吴中股份时，如同时担任江苏吴中的董事、监事、高级管理人员职务，减持股份数量还应遵守相关法律法规和规范性文件的限制性规定。</w:t>
      </w:r>
      <w:r>
        <w:rPr>
          <w:rFonts w:cs="Times New Roman" w:hint="eastAsia"/>
          <w:kern w:val="0"/>
        </w:rPr>
        <w:t>”</w:t>
      </w:r>
    </w:p>
    <w:p w:rsidR="001C68DD" w:rsidRPr="00ED4492" w:rsidRDefault="001C68DD" w:rsidP="001C68DD">
      <w:pPr>
        <w:pStyle w:val="2"/>
        <w:rPr>
          <w:rFonts w:cs="Times New Roman"/>
          <w:kern w:val="0"/>
        </w:rPr>
      </w:pPr>
      <w:r w:rsidRPr="00ED4492">
        <w:rPr>
          <w:rFonts w:cs="Times New Roman" w:hint="eastAsia"/>
          <w:kern w:val="0"/>
        </w:rPr>
        <w:t>（二）业绩承诺情况</w:t>
      </w:r>
    </w:p>
    <w:p w:rsidR="00C336F0" w:rsidRPr="00C336F0" w:rsidRDefault="00C336F0" w:rsidP="00C336F0">
      <w:pPr>
        <w:pStyle w:val="2"/>
        <w:rPr>
          <w:rFonts w:cs="Times New Roman"/>
          <w:kern w:val="0"/>
        </w:rPr>
      </w:pPr>
      <w:r w:rsidRPr="00C336F0">
        <w:rPr>
          <w:rFonts w:cs="Times New Roman" w:hint="eastAsia"/>
          <w:kern w:val="0"/>
        </w:rPr>
        <w:lastRenderedPageBreak/>
        <w:t>根据公司与毕红芬、毕永星、潘培华签订的《江苏吴中实业股份有限公司与毕红芬、毕永星、潘培华发行股份及支付现金购买资产协议》</w:t>
      </w:r>
      <w:r w:rsidRPr="00C336F0">
        <w:rPr>
          <w:rFonts w:cs="Times New Roman" w:hint="eastAsia"/>
          <w:kern w:val="0"/>
        </w:rPr>
        <w:t xml:space="preserve"> </w:t>
      </w:r>
      <w:r w:rsidRPr="00C336F0">
        <w:rPr>
          <w:rFonts w:cs="Times New Roman" w:hint="eastAsia"/>
          <w:kern w:val="0"/>
        </w:rPr>
        <w:t>、《江苏吴中实业股份有限公司与毕红芬、毕永星、潘培华发行股份及支付现金购买资产之业绩承诺及补偿协议》，毕红芬、毕永星、潘培华承诺利润补偿期间（即</w:t>
      </w:r>
      <w:r w:rsidRPr="00C336F0">
        <w:rPr>
          <w:rFonts w:cs="Times New Roman" w:hint="eastAsia"/>
          <w:kern w:val="0"/>
        </w:rPr>
        <w:t xml:space="preserve"> 2016</w:t>
      </w:r>
      <w:r w:rsidRPr="00C336F0">
        <w:rPr>
          <w:rFonts w:cs="Times New Roman" w:hint="eastAsia"/>
          <w:kern w:val="0"/>
        </w:rPr>
        <w:t>年、</w:t>
      </w:r>
      <w:r w:rsidRPr="00C336F0">
        <w:rPr>
          <w:rFonts w:cs="Times New Roman" w:hint="eastAsia"/>
          <w:kern w:val="0"/>
        </w:rPr>
        <w:t>2017</w:t>
      </w:r>
      <w:r w:rsidRPr="00C336F0">
        <w:rPr>
          <w:rFonts w:cs="Times New Roman" w:hint="eastAsia"/>
          <w:kern w:val="0"/>
        </w:rPr>
        <w:t>年及</w:t>
      </w:r>
      <w:r w:rsidRPr="00C336F0">
        <w:rPr>
          <w:rFonts w:cs="Times New Roman" w:hint="eastAsia"/>
          <w:kern w:val="0"/>
        </w:rPr>
        <w:t xml:space="preserve"> 2018</w:t>
      </w:r>
      <w:r w:rsidRPr="00C336F0">
        <w:rPr>
          <w:rFonts w:cs="Times New Roman" w:hint="eastAsia"/>
          <w:kern w:val="0"/>
        </w:rPr>
        <w:t>年）响水恒利</w:t>
      </w:r>
      <w:proofErr w:type="gramStart"/>
      <w:r w:rsidRPr="00C336F0">
        <w:rPr>
          <w:rFonts w:cs="Times New Roman" w:hint="eastAsia"/>
          <w:kern w:val="0"/>
        </w:rPr>
        <w:t>达实现</w:t>
      </w:r>
      <w:proofErr w:type="gramEnd"/>
      <w:r w:rsidRPr="00C336F0">
        <w:rPr>
          <w:rFonts w:cs="Times New Roman" w:hint="eastAsia"/>
          <w:kern w:val="0"/>
        </w:rPr>
        <w:t>的合并报表中扣除非经常性损益后归属于母公司所有者的净利润分别不低于</w:t>
      </w:r>
      <w:r w:rsidRPr="00C336F0">
        <w:rPr>
          <w:rFonts w:cs="Times New Roman" w:hint="eastAsia"/>
          <w:kern w:val="0"/>
        </w:rPr>
        <w:t xml:space="preserve"> 7,800 </w:t>
      </w:r>
      <w:r w:rsidRPr="00C336F0">
        <w:rPr>
          <w:rFonts w:cs="Times New Roman" w:hint="eastAsia"/>
          <w:kern w:val="0"/>
        </w:rPr>
        <w:t>万元、</w:t>
      </w:r>
      <w:r w:rsidRPr="00C336F0">
        <w:rPr>
          <w:rFonts w:cs="Times New Roman" w:hint="eastAsia"/>
          <w:kern w:val="0"/>
        </w:rPr>
        <w:t>8,970</w:t>
      </w:r>
      <w:r w:rsidRPr="00C336F0">
        <w:rPr>
          <w:rFonts w:cs="Times New Roman" w:hint="eastAsia"/>
          <w:kern w:val="0"/>
        </w:rPr>
        <w:t>万元和</w:t>
      </w:r>
      <w:r w:rsidRPr="00C336F0">
        <w:rPr>
          <w:rFonts w:cs="Times New Roman" w:hint="eastAsia"/>
          <w:kern w:val="0"/>
        </w:rPr>
        <w:t>10,315</w:t>
      </w:r>
      <w:r w:rsidRPr="00C336F0">
        <w:rPr>
          <w:rFonts w:cs="Times New Roman" w:hint="eastAsia"/>
          <w:kern w:val="0"/>
        </w:rPr>
        <w:t>万元。上述业绩承诺不包括对响水恒利达募集配套资金投资项目所产生的损益。如响水恒利达在承诺期内任何一个会计年度</w:t>
      </w:r>
      <w:proofErr w:type="gramStart"/>
      <w:r w:rsidRPr="00C336F0">
        <w:rPr>
          <w:rFonts w:cs="Times New Roman" w:hint="eastAsia"/>
          <w:kern w:val="0"/>
        </w:rPr>
        <w:t>末实现</w:t>
      </w:r>
      <w:proofErr w:type="gramEnd"/>
      <w:r w:rsidRPr="00C336F0">
        <w:rPr>
          <w:rFonts w:cs="Times New Roman" w:hint="eastAsia"/>
          <w:kern w:val="0"/>
        </w:rPr>
        <w:t>的累计利润</w:t>
      </w:r>
      <w:proofErr w:type="gramStart"/>
      <w:r w:rsidRPr="00C336F0">
        <w:rPr>
          <w:rFonts w:cs="Times New Roman" w:hint="eastAsia"/>
          <w:kern w:val="0"/>
        </w:rPr>
        <w:t>数未能</w:t>
      </w:r>
      <w:proofErr w:type="gramEnd"/>
      <w:r w:rsidRPr="00C336F0">
        <w:rPr>
          <w:rFonts w:cs="Times New Roman" w:hint="eastAsia"/>
          <w:kern w:val="0"/>
        </w:rPr>
        <w:t>达到承诺数额，则毕红芬、毕永星、潘培华应根据承诺期内各年度的《专项审核报告》，以其所持有的“江苏吴中”的股份及现金对本公司进行补偿，并首先以其所持“江苏吴中”的股份进行补偿，不足的部分以现金补偿。具体补偿计算公式如下：</w:t>
      </w:r>
    </w:p>
    <w:p w:rsidR="00C336F0" w:rsidRPr="00C336F0" w:rsidRDefault="00C336F0" w:rsidP="00C336F0">
      <w:pPr>
        <w:pStyle w:val="2"/>
        <w:rPr>
          <w:rFonts w:cs="Times New Roman"/>
          <w:kern w:val="0"/>
        </w:rPr>
      </w:pPr>
      <w:r w:rsidRPr="00C336F0">
        <w:rPr>
          <w:rFonts w:cs="Times New Roman" w:hint="eastAsia"/>
          <w:kern w:val="0"/>
        </w:rPr>
        <w:t>当年补偿股份数额</w:t>
      </w:r>
      <w:r w:rsidRPr="00C336F0">
        <w:rPr>
          <w:rFonts w:cs="Times New Roman" w:hint="eastAsia"/>
          <w:kern w:val="0"/>
        </w:rPr>
        <w:t>=[</w:t>
      </w:r>
      <w:r w:rsidRPr="00C336F0">
        <w:rPr>
          <w:rFonts w:cs="Times New Roman" w:hint="eastAsia"/>
          <w:kern w:val="0"/>
        </w:rPr>
        <w:t>（截至当期期末累计承诺净利润数－截至当期期末累计</w:t>
      </w:r>
      <w:proofErr w:type="gramStart"/>
      <w:r w:rsidRPr="00C336F0">
        <w:rPr>
          <w:rFonts w:cs="Times New Roman" w:hint="eastAsia"/>
          <w:kern w:val="0"/>
        </w:rPr>
        <w:t>实际净</w:t>
      </w:r>
      <w:proofErr w:type="gramEnd"/>
      <w:r w:rsidRPr="00C336F0">
        <w:rPr>
          <w:rFonts w:cs="Times New Roman" w:hint="eastAsia"/>
          <w:kern w:val="0"/>
        </w:rPr>
        <w:t>利润数）×标的股权总对价÷补偿期限内各年的承诺净利润数总和－已补偿金额</w:t>
      </w:r>
      <w:r w:rsidRPr="00C336F0">
        <w:rPr>
          <w:rFonts w:cs="Times New Roman" w:hint="eastAsia"/>
          <w:kern w:val="0"/>
        </w:rPr>
        <w:t>]</w:t>
      </w:r>
      <w:r w:rsidRPr="00C336F0">
        <w:rPr>
          <w:rFonts w:cs="Times New Roman" w:hint="eastAsia"/>
          <w:kern w:val="0"/>
        </w:rPr>
        <w:t>÷本次发行股份及支付现金购买资产的股份发行价格</w:t>
      </w:r>
    </w:p>
    <w:p w:rsidR="00C336F0" w:rsidRDefault="00C336F0" w:rsidP="00C336F0">
      <w:pPr>
        <w:pStyle w:val="2"/>
        <w:rPr>
          <w:rFonts w:cs="Times New Roman"/>
          <w:kern w:val="0"/>
        </w:rPr>
      </w:pPr>
      <w:r w:rsidRPr="00C336F0">
        <w:rPr>
          <w:rFonts w:cs="Times New Roman" w:hint="eastAsia"/>
          <w:kern w:val="0"/>
        </w:rPr>
        <w:t>当年补偿金额</w:t>
      </w:r>
      <w:r w:rsidRPr="00C336F0">
        <w:rPr>
          <w:rFonts w:cs="Times New Roman" w:hint="eastAsia"/>
          <w:kern w:val="0"/>
        </w:rPr>
        <w:t>=</w:t>
      </w:r>
      <w:r w:rsidRPr="00C336F0">
        <w:rPr>
          <w:rFonts w:cs="Times New Roman" w:hint="eastAsia"/>
          <w:kern w:val="0"/>
        </w:rPr>
        <w:t>（截至当期期末累计承诺净利润数－截至当期期末累计</w:t>
      </w:r>
      <w:proofErr w:type="gramStart"/>
      <w:r w:rsidRPr="00C336F0">
        <w:rPr>
          <w:rFonts w:cs="Times New Roman" w:hint="eastAsia"/>
          <w:kern w:val="0"/>
        </w:rPr>
        <w:t>实际净</w:t>
      </w:r>
      <w:proofErr w:type="gramEnd"/>
      <w:r w:rsidRPr="00C336F0">
        <w:rPr>
          <w:rFonts w:cs="Times New Roman" w:hint="eastAsia"/>
          <w:kern w:val="0"/>
        </w:rPr>
        <w:t>利润数）×标的股权总对价÷补偿期限内各年的承诺净利润数总和－已补偿金额</w:t>
      </w:r>
    </w:p>
    <w:p w:rsidR="001C68DD" w:rsidRPr="00ED4492" w:rsidRDefault="001C68DD" w:rsidP="001C68DD">
      <w:pPr>
        <w:pStyle w:val="2"/>
        <w:rPr>
          <w:rFonts w:cs="Times New Roman"/>
          <w:kern w:val="0"/>
        </w:rPr>
      </w:pPr>
      <w:r w:rsidRPr="00362749">
        <w:rPr>
          <w:rFonts w:cs="Times New Roman" w:hint="eastAsia"/>
          <w:kern w:val="0"/>
        </w:rPr>
        <w:t>响水恒利达二期项目与《江苏吴中实业股份有限公司与毕红芬、毕永星、潘培华发行股份及支付现金购买资产之业绩承诺及补偿协议》中的股份锁定和业绩补偿互相独立。毕红芬、毕永星、潘培华承诺二期项目</w:t>
      </w:r>
      <w:r w:rsidRPr="00362749">
        <w:rPr>
          <w:rFonts w:cs="Times New Roman" w:hint="eastAsia"/>
          <w:kern w:val="0"/>
        </w:rPr>
        <w:t xml:space="preserve"> 2018 </w:t>
      </w:r>
      <w:r w:rsidRPr="00362749">
        <w:rPr>
          <w:rFonts w:cs="Times New Roman" w:hint="eastAsia"/>
          <w:kern w:val="0"/>
        </w:rPr>
        <w:t>年度、</w:t>
      </w:r>
      <w:r w:rsidRPr="00362749">
        <w:rPr>
          <w:rFonts w:cs="Times New Roman" w:hint="eastAsia"/>
          <w:kern w:val="0"/>
        </w:rPr>
        <w:t xml:space="preserve">2019 </w:t>
      </w:r>
      <w:r w:rsidRPr="00362749">
        <w:rPr>
          <w:rFonts w:cs="Times New Roman" w:hint="eastAsia"/>
          <w:kern w:val="0"/>
        </w:rPr>
        <w:t>年度、</w:t>
      </w:r>
      <w:r w:rsidRPr="00362749">
        <w:rPr>
          <w:rFonts w:cs="Times New Roman" w:hint="eastAsia"/>
          <w:kern w:val="0"/>
        </w:rPr>
        <w:t xml:space="preserve">2020 </w:t>
      </w:r>
      <w:r w:rsidRPr="00362749">
        <w:rPr>
          <w:rFonts w:cs="Times New Roman" w:hint="eastAsia"/>
          <w:kern w:val="0"/>
        </w:rPr>
        <w:t>年度、</w:t>
      </w:r>
      <w:r w:rsidRPr="00362749">
        <w:rPr>
          <w:rFonts w:cs="Times New Roman" w:hint="eastAsia"/>
          <w:kern w:val="0"/>
        </w:rPr>
        <w:t xml:space="preserve">2021 </w:t>
      </w:r>
      <w:r w:rsidRPr="00362749">
        <w:rPr>
          <w:rFonts w:cs="Times New Roman" w:hint="eastAsia"/>
          <w:kern w:val="0"/>
        </w:rPr>
        <w:t>年度、</w:t>
      </w:r>
      <w:r w:rsidRPr="00362749">
        <w:rPr>
          <w:rFonts w:cs="Times New Roman" w:hint="eastAsia"/>
          <w:kern w:val="0"/>
        </w:rPr>
        <w:t xml:space="preserve">2022 </w:t>
      </w:r>
      <w:r w:rsidRPr="00362749">
        <w:rPr>
          <w:rFonts w:cs="Times New Roman" w:hint="eastAsia"/>
          <w:kern w:val="0"/>
        </w:rPr>
        <w:t>年度</w:t>
      </w:r>
      <w:r w:rsidRPr="00362749">
        <w:rPr>
          <w:rFonts w:cs="Times New Roman" w:hint="eastAsia"/>
          <w:kern w:val="0"/>
        </w:rPr>
        <w:t>(</w:t>
      </w:r>
      <w:r w:rsidRPr="00362749">
        <w:rPr>
          <w:rFonts w:cs="Times New Roman" w:hint="eastAsia"/>
          <w:kern w:val="0"/>
        </w:rPr>
        <w:t>即二期项目承诺期</w:t>
      </w:r>
      <w:r w:rsidRPr="00362749">
        <w:rPr>
          <w:rFonts w:cs="Times New Roman" w:hint="eastAsia"/>
          <w:kern w:val="0"/>
        </w:rPr>
        <w:t>)</w:t>
      </w:r>
      <w:r w:rsidRPr="00362749">
        <w:rPr>
          <w:rFonts w:cs="Times New Roman" w:hint="eastAsia"/>
          <w:kern w:val="0"/>
        </w:rPr>
        <w:t>实现的扣除非经常性损益后的净利润</w:t>
      </w:r>
      <w:r w:rsidRPr="00362749">
        <w:rPr>
          <w:rFonts w:cs="Times New Roman" w:hint="eastAsia"/>
          <w:kern w:val="0"/>
        </w:rPr>
        <w:t>(</w:t>
      </w:r>
      <w:r w:rsidRPr="00362749">
        <w:rPr>
          <w:rFonts w:cs="Times New Roman" w:hint="eastAsia"/>
          <w:kern w:val="0"/>
        </w:rPr>
        <w:t>该协议中的净利润均为扣除非经常性损益口径</w:t>
      </w:r>
      <w:r w:rsidRPr="00362749">
        <w:rPr>
          <w:rFonts w:cs="Times New Roman" w:hint="eastAsia"/>
          <w:kern w:val="0"/>
        </w:rPr>
        <w:t>)</w:t>
      </w:r>
      <w:r w:rsidRPr="00362749">
        <w:rPr>
          <w:rFonts w:cs="Times New Roman" w:hint="eastAsia"/>
          <w:kern w:val="0"/>
        </w:rPr>
        <w:t>分别不低于</w:t>
      </w:r>
      <w:r w:rsidRPr="00362749">
        <w:rPr>
          <w:rFonts w:cs="Times New Roman" w:hint="eastAsia"/>
          <w:kern w:val="0"/>
        </w:rPr>
        <w:t xml:space="preserve"> 2,024 </w:t>
      </w:r>
      <w:r w:rsidRPr="00362749">
        <w:rPr>
          <w:rFonts w:cs="Times New Roman" w:hint="eastAsia"/>
          <w:kern w:val="0"/>
        </w:rPr>
        <w:t>万元、</w:t>
      </w:r>
      <w:r w:rsidRPr="00362749">
        <w:rPr>
          <w:rFonts w:cs="Times New Roman" w:hint="eastAsia"/>
          <w:kern w:val="0"/>
        </w:rPr>
        <w:t xml:space="preserve">4,030 </w:t>
      </w:r>
      <w:r w:rsidRPr="00362749">
        <w:rPr>
          <w:rFonts w:cs="Times New Roman" w:hint="eastAsia"/>
          <w:kern w:val="0"/>
        </w:rPr>
        <w:t>万元、</w:t>
      </w:r>
      <w:r w:rsidRPr="00362749">
        <w:rPr>
          <w:rFonts w:cs="Times New Roman" w:hint="eastAsia"/>
          <w:kern w:val="0"/>
        </w:rPr>
        <w:t xml:space="preserve"> 5,005 </w:t>
      </w:r>
      <w:r w:rsidRPr="00362749">
        <w:rPr>
          <w:rFonts w:cs="Times New Roman" w:hint="eastAsia"/>
          <w:kern w:val="0"/>
        </w:rPr>
        <w:t>万元、</w:t>
      </w:r>
      <w:r w:rsidRPr="00362749">
        <w:rPr>
          <w:rFonts w:cs="Times New Roman" w:hint="eastAsia"/>
          <w:kern w:val="0"/>
        </w:rPr>
        <w:t xml:space="preserve">5,504 </w:t>
      </w:r>
      <w:r w:rsidRPr="00362749">
        <w:rPr>
          <w:rFonts w:cs="Times New Roman" w:hint="eastAsia"/>
          <w:kern w:val="0"/>
        </w:rPr>
        <w:t>万元、</w:t>
      </w:r>
      <w:r w:rsidRPr="00362749">
        <w:rPr>
          <w:rFonts w:cs="Times New Roman" w:hint="eastAsia"/>
          <w:kern w:val="0"/>
        </w:rPr>
        <w:t xml:space="preserve">6,070 </w:t>
      </w:r>
      <w:r w:rsidRPr="00362749">
        <w:rPr>
          <w:rFonts w:cs="Times New Roman" w:hint="eastAsia"/>
          <w:kern w:val="0"/>
        </w:rPr>
        <w:t>万元。</w:t>
      </w:r>
    </w:p>
    <w:p w:rsidR="001C68DD" w:rsidRPr="00ED4492" w:rsidRDefault="001C68DD" w:rsidP="001C68DD">
      <w:pPr>
        <w:pStyle w:val="2"/>
        <w:rPr>
          <w:rFonts w:cs="Times New Roman"/>
          <w:kern w:val="0"/>
        </w:rPr>
      </w:pPr>
      <w:r w:rsidRPr="00ED4492">
        <w:rPr>
          <w:rFonts w:cs="Times New Roman" w:hint="eastAsia"/>
          <w:kern w:val="0"/>
        </w:rPr>
        <w:t>（三）</w:t>
      </w:r>
      <w:r w:rsidRPr="00ED4492">
        <w:rPr>
          <w:rFonts w:cs="Times New Roman" w:hint="eastAsia"/>
          <w:kern w:val="0"/>
        </w:rPr>
        <w:t>201</w:t>
      </w:r>
      <w:r w:rsidR="00C336F0">
        <w:rPr>
          <w:rFonts w:cs="Times New Roman" w:hint="eastAsia"/>
          <w:kern w:val="0"/>
        </w:rPr>
        <w:t>7</w:t>
      </w:r>
      <w:r w:rsidRPr="00ED4492">
        <w:rPr>
          <w:rFonts w:cs="Times New Roman" w:hint="eastAsia"/>
          <w:kern w:val="0"/>
        </w:rPr>
        <w:t>年度业绩承诺的实现情况</w:t>
      </w:r>
    </w:p>
    <w:p w:rsidR="00C336F0" w:rsidRDefault="001C68DD" w:rsidP="00C336F0">
      <w:pPr>
        <w:pStyle w:val="2"/>
        <w:rPr>
          <w:rFonts w:cs="Times New Roman"/>
          <w:kern w:val="0"/>
        </w:rPr>
      </w:pPr>
      <w:r w:rsidRPr="00A4480D">
        <w:rPr>
          <w:rFonts w:cs="Times New Roman" w:hint="eastAsia"/>
          <w:kern w:val="0"/>
        </w:rPr>
        <w:t>201</w:t>
      </w:r>
      <w:r w:rsidR="00C336F0">
        <w:rPr>
          <w:rFonts w:cs="Times New Roman" w:hint="eastAsia"/>
          <w:kern w:val="0"/>
        </w:rPr>
        <w:t>7</w:t>
      </w:r>
      <w:r w:rsidRPr="00A4480D">
        <w:rPr>
          <w:rFonts w:cs="Times New Roman" w:hint="eastAsia"/>
          <w:kern w:val="0"/>
        </w:rPr>
        <w:t>年度业绩考核对象为响水恒利达一期项目，二期尚处于筹建期，将于</w:t>
      </w:r>
      <w:r w:rsidRPr="00A4480D">
        <w:rPr>
          <w:rFonts w:cs="Times New Roman" w:hint="eastAsia"/>
          <w:kern w:val="0"/>
        </w:rPr>
        <w:t>2018</w:t>
      </w:r>
      <w:r w:rsidRPr="00A4480D">
        <w:rPr>
          <w:rFonts w:cs="Times New Roman" w:hint="eastAsia"/>
          <w:kern w:val="0"/>
        </w:rPr>
        <w:t>年产生效益，二期项目与《江苏吴中实业股份有限公司与毕红芬、毕永星、潘培华发行股份及支付现金购买资产之业绩承诺及补偿协议》中的股份锁定和业绩补偿互相独立。</w:t>
      </w:r>
    </w:p>
    <w:p w:rsidR="00C336F0" w:rsidRPr="00C336F0" w:rsidRDefault="00C336F0" w:rsidP="00C336F0">
      <w:pPr>
        <w:pStyle w:val="2"/>
        <w:rPr>
          <w:rFonts w:cs="Times New Roman"/>
          <w:kern w:val="0"/>
        </w:rPr>
      </w:pPr>
      <w:r w:rsidRPr="00C336F0">
        <w:rPr>
          <w:rFonts w:cs="Times New Roman" w:hint="eastAsia"/>
          <w:kern w:val="0"/>
        </w:rPr>
        <w:t>根据立信会计师事务所（特殊普通合伙）出具的信会师报字</w:t>
      </w:r>
      <w:r w:rsidRPr="00C336F0">
        <w:rPr>
          <w:rFonts w:cs="Times New Roman" w:hint="eastAsia"/>
          <w:kern w:val="0"/>
        </w:rPr>
        <w:t>[2018]</w:t>
      </w:r>
      <w:r w:rsidRPr="00C336F0">
        <w:rPr>
          <w:rFonts w:cs="Times New Roman" w:hint="eastAsia"/>
          <w:kern w:val="0"/>
        </w:rPr>
        <w:t>第</w:t>
      </w:r>
      <w:r w:rsidRPr="00C336F0">
        <w:rPr>
          <w:rFonts w:cs="Times New Roman" w:hint="eastAsia"/>
          <w:kern w:val="0"/>
        </w:rPr>
        <w:t>ZA10928</w:t>
      </w:r>
      <w:r w:rsidRPr="00C336F0">
        <w:rPr>
          <w:rFonts w:cs="Times New Roman" w:hint="eastAsia"/>
          <w:kern w:val="0"/>
        </w:rPr>
        <w:t>号《关于响水</w:t>
      </w:r>
      <w:proofErr w:type="gramStart"/>
      <w:r w:rsidRPr="00C336F0">
        <w:rPr>
          <w:rFonts w:cs="Times New Roman" w:hint="eastAsia"/>
          <w:kern w:val="0"/>
        </w:rPr>
        <w:t>恒</w:t>
      </w:r>
      <w:proofErr w:type="gramEnd"/>
      <w:r w:rsidRPr="00C336F0">
        <w:rPr>
          <w:rFonts w:cs="Times New Roman" w:hint="eastAsia"/>
          <w:kern w:val="0"/>
        </w:rPr>
        <w:t>利达科技化工有限公司</w:t>
      </w:r>
      <w:r w:rsidRPr="00C336F0">
        <w:rPr>
          <w:rFonts w:cs="Times New Roman" w:hint="eastAsia"/>
          <w:kern w:val="0"/>
        </w:rPr>
        <w:t>2017</w:t>
      </w:r>
      <w:r w:rsidRPr="00C336F0">
        <w:rPr>
          <w:rFonts w:cs="Times New Roman" w:hint="eastAsia"/>
          <w:kern w:val="0"/>
        </w:rPr>
        <w:t>年度业绩承诺完成情况的</w:t>
      </w:r>
      <w:proofErr w:type="gramStart"/>
      <w:r w:rsidRPr="00C336F0">
        <w:rPr>
          <w:rFonts w:cs="Times New Roman" w:hint="eastAsia"/>
          <w:kern w:val="0"/>
        </w:rPr>
        <w:t>鉴证</w:t>
      </w:r>
      <w:proofErr w:type="gramEnd"/>
      <w:r w:rsidRPr="00C336F0">
        <w:rPr>
          <w:rFonts w:cs="Times New Roman" w:hint="eastAsia"/>
          <w:kern w:val="0"/>
        </w:rPr>
        <w:t>报告》</w:t>
      </w:r>
      <w:r>
        <w:rPr>
          <w:rFonts w:cs="Times New Roman" w:hint="eastAsia"/>
          <w:kern w:val="0"/>
        </w:rPr>
        <w:t>，</w:t>
      </w:r>
      <w:r>
        <w:rPr>
          <w:rFonts w:hint="eastAsia"/>
        </w:rPr>
        <w:lastRenderedPageBreak/>
        <w:t>响水</w:t>
      </w:r>
      <w:proofErr w:type="gramStart"/>
      <w:r>
        <w:rPr>
          <w:rFonts w:hint="eastAsia"/>
        </w:rPr>
        <w:t>恒</w:t>
      </w:r>
      <w:proofErr w:type="gramEnd"/>
      <w:r>
        <w:rPr>
          <w:rFonts w:hint="eastAsia"/>
        </w:rPr>
        <w:t>利达</w:t>
      </w:r>
      <w:r>
        <w:rPr>
          <w:rFonts w:hint="eastAsia"/>
        </w:rPr>
        <w:t>2017</w:t>
      </w:r>
      <w:r>
        <w:rPr>
          <w:rFonts w:hint="eastAsia"/>
        </w:rPr>
        <w:t>年度业绩承诺实现具体情况如下表所示：</w:t>
      </w:r>
    </w:p>
    <w:tbl>
      <w:tblPr>
        <w:tblpPr w:leftFromText="180" w:rightFromText="180" w:vertAnchor="text" w:horzAnchor="page" w:tblpXSpec="center" w:tblpY="396"/>
        <w:tblOverlap w:val="never"/>
        <w:tblW w:w="5000" w:type="pct"/>
        <w:tblCellMar>
          <w:left w:w="0" w:type="dxa"/>
          <w:right w:w="0" w:type="dxa"/>
        </w:tblCellMar>
        <w:tblLook w:val="0000" w:firstRow="0" w:lastRow="0" w:firstColumn="0" w:lastColumn="0" w:noHBand="0" w:noVBand="0"/>
      </w:tblPr>
      <w:tblGrid>
        <w:gridCol w:w="912"/>
        <w:gridCol w:w="1474"/>
        <w:gridCol w:w="1061"/>
        <w:gridCol w:w="1970"/>
        <w:gridCol w:w="1061"/>
        <w:gridCol w:w="1061"/>
        <w:gridCol w:w="773"/>
      </w:tblGrid>
      <w:tr w:rsidR="00C336F0" w:rsidRPr="00BD3E9F" w:rsidTr="00B74E3F">
        <w:trPr>
          <w:tblHeader/>
        </w:trPr>
        <w:tc>
          <w:tcPr>
            <w:tcW w:w="5000" w:type="pct"/>
            <w:gridSpan w:val="7"/>
            <w:tcBorders>
              <w:bottom w:val="single" w:sz="12" w:space="0" w:color="auto"/>
            </w:tcBorders>
            <w:vAlign w:val="center"/>
          </w:tcPr>
          <w:p w:rsidR="00C336F0" w:rsidRPr="00BD3E9F" w:rsidRDefault="00C336F0" w:rsidP="00B74E3F">
            <w:pPr>
              <w:pStyle w:val="5"/>
              <w:jc w:val="right"/>
              <w:rPr>
                <w:b/>
                <w:sz w:val="18"/>
                <w:szCs w:val="18"/>
              </w:rPr>
            </w:pPr>
            <w:r>
              <w:rPr>
                <w:rFonts w:hint="eastAsia"/>
                <w:b/>
                <w:sz w:val="18"/>
                <w:szCs w:val="18"/>
              </w:rPr>
              <w:t>单位：万元</w:t>
            </w:r>
          </w:p>
        </w:tc>
      </w:tr>
      <w:tr w:rsidR="00C336F0" w:rsidRPr="00BD3E9F" w:rsidTr="00B74E3F">
        <w:trPr>
          <w:tblHeader/>
        </w:trPr>
        <w:tc>
          <w:tcPr>
            <w:tcW w:w="549" w:type="pct"/>
            <w:tcBorders>
              <w:top w:val="single" w:sz="12" w:space="0" w:color="auto"/>
              <w:left w:val="single" w:sz="12" w:space="0" w:color="auto"/>
              <w:bottom w:val="single" w:sz="4" w:space="0" w:color="auto"/>
              <w:right w:val="single" w:sz="4" w:space="0" w:color="auto"/>
            </w:tcBorders>
            <w:vAlign w:val="center"/>
          </w:tcPr>
          <w:p w:rsidR="00C336F0" w:rsidRPr="00BD3E9F" w:rsidRDefault="00C336F0" w:rsidP="00B74E3F">
            <w:pPr>
              <w:pStyle w:val="5"/>
              <w:jc w:val="center"/>
              <w:rPr>
                <w:b/>
                <w:sz w:val="18"/>
                <w:szCs w:val="18"/>
              </w:rPr>
            </w:pPr>
            <w:r w:rsidRPr="00BD3E9F">
              <w:rPr>
                <w:rFonts w:hint="eastAsia"/>
                <w:b/>
                <w:sz w:val="18"/>
                <w:szCs w:val="18"/>
              </w:rPr>
              <w:t>年</w:t>
            </w:r>
            <w:r w:rsidRPr="00BD3E9F">
              <w:rPr>
                <w:b/>
                <w:sz w:val="18"/>
                <w:szCs w:val="18"/>
              </w:rPr>
              <w:t>度</w:t>
            </w:r>
          </w:p>
        </w:tc>
        <w:tc>
          <w:tcPr>
            <w:tcW w:w="887" w:type="pct"/>
            <w:tcBorders>
              <w:top w:val="single" w:sz="12" w:space="0" w:color="auto"/>
              <w:left w:val="single" w:sz="4" w:space="0" w:color="auto"/>
              <w:bottom w:val="single" w:sz="4" w:space="0" w:color="auto"/>
              <w:right w:val="single" w:sz="4" w:space="0" w:color="auto"/>
            </w:tcBorders>
            <w:vAlign w:val="center"/>
          </w:tcPr>
          <w:p w:rsidR="00C336F0" w:rsidRPr="00BD3E9F" w:rsidRDefault="00C336F0" w:rsidP="00B74E3F">
            <w:pPr>
              <w:pStyle w:val="5"/>
              <w:jc w:val="center"/>
              <w:rPr>
                <w:b/>
                <w:sz w:val="18"/>
                <w:szCs w:val="18"/>
              </w:rPr>
            </w:pPr>
            <w:r w:rsidRPr="00BD3E9F">
              <w:rPr>
                <w:b/>
                <w:sz w:val="18"/>
                <w:szCs w:val="18"/>
              </w:rPr>
              <w:t>项目</w:t>
            </w:r>
          </w:p>
        </w:tc>
        <w:tc>
          <w:tcPr>
            <w:tcW w:w="638" w:type="pct"/>
            <w:tcBorders>
              <w:top w:val="single" w:sz="12" w:space="0" w:color="auto"/>
              <w:left w:val="single" w:sz="4" w:space="0" w:color="auto"/>
              <w:bottom w:val="single" w:sz="4" w:space="0" w:color="auto"/>
              <w:right w:val="single" w:sz="4" w:space="0" w:color="auto"/>
            </w:tcBorders>
            <w:vAlign w:val="center"/>
          </w:tcPr>
          <w:p w:rsidR="00C336F0" w:rsidRPr="00BD3E9F" w:rsidRDefault="00C336F0" w:rsidP="00B74E3F">
            <w:pPr>
              <w:pStyle w:val="5"/>
              <w:jc w:val="center"/>
              <w:rPr>
                <w:b/>
                <w:sz w:val="18"/>
                <w:szCs w:val="18"/>
              </w:rPr>
            </w:pPr>
            <w:r w:rsidRPr="00BD3E9F">
              <w:rPr>
                <w:b/>
                <w:sz w:val="18"/>
                <w:szCs w:val="18"/>
              </w:rPr>
              <w:t>业绩承诺数</w:t>
            </w:r>
          </w:p>
        </w:tc>
        <w:tc>
          <w:tcPr>
            <w:tcW w:w="1185" w:type="pct"/>
            <w:tcBorders>
              <w:top w:val="single" w:sz="12" w:space="0" w:color="auto"/>
              <w:left w:val="single" w:sz="4" w:space="0" w:color="auto"/>
              <w:bottom w:val="single" w:sz="4" w:space="0" w:color="auto"/>
              <w:right w:val="single" w:sz="4" w:space="0" w:color="auto"/>
            </w:tcBorders>
            <w:vAlign w:val="center"/>
          </w:tcPr>
          <w:p w:rsidR="00C336F0" w:rsidRPr="00BD3E9F" w:rsidRDefault="00C336F0" w:rsidP="00B74E3F">
            <w:pPr>
              <w:pStyle w:val="5"/>
              <w:jc w:val="center"/>
              <w:rPr>
                <w:b/>
                <w:sz w:val="18"/>
                <w:szCs w:val="18"/>
              </w:rPr>
            </w:pPr>
            <w:r w:rsidRPr="00BD3E9F">
              <w:rPr>
                <w:rFonts w:hint="eastAsia"/>
                <w:b/>
                <w:sz w:val="18"/>
                <w:szCs w:val="18"/>
              </w:rPr>
              <w:t>本期</w:t>
            </w:r>
            <w:r w:rsidRPr="00BD3E9F">
              <w:rPr>
                <w:b/>
                <w:sz w:val="18"/>
                <w:szCs w:val="18"/>
              </w:rPr>
              <w:t>实际实现</w:t>
            </w:r>
            <w:r w:rsidRPr="00BD3E9F">
              <w:rPr>
                <w:rFonts w:hint="eastAsia"/>
                <w:b/>
                <w:sz w:val="18"/>
                <w:szCs w:val="18"/>
              </w:rPr>
              <w:t>利润</w:t>
            </w:r>
            <w:r w:rsidRPr="00BD3E9F">
              <w:rPr>
                <w:b/>
                <w:sz w:val="18"/>
                <w:szCs w:val="18"/>
              </w:rPr>
              <w:t>数</w:t>
            </w:r>
          </w:p>
        </w:tc>
        <w:tc>
          <w:tcPr>
            <w:tcW w:w="638" w:type="pct"/>
            <w:tcBorders>
              <w:top w:val="single" w:sz="12" w:space="0" w:color="auto"/>
              <w:left w:val="single" w:sz="4" w:space="0" w:color="auto"/>
              <w:bottom w:val="single" w:sz="4" w:space="0" w:color="auto"/>
              <w:right w:val="single" w:sz="4" w:space="0" w:color="auto"/>
            </w:tcBorders>
            <w:vAlign w:val="center"/>
          </w:tcPr>
          <w:p w:rsidR="00C336F0" w:rsidRPr="00BD3E9F" w:rsidRDefault="00C336F0" w:rsidP="00B74E3F">
            <w:pPr>
              <w:pStyle w:val="5"/>
              <w:jc w:val="center"/>
              <w:rPr>
                <w:b/>
                <w:sz w:val="18"/>
                <w:szCs w:val="18"/>
              </w:rPr>
            </w:pPr>
            <w:r w:rsidRPr="00BD3E9F">
              <w:rPr>
                <w:rFonts w:hint="eastAsia"/>
                <w:b/>
                <w:sz w:val="18"/>
                <w:szCs w:val="18"/>
              </w:rPr>
              <w:t>至年末累计</w:t>
            </w:r>
          </w:p>
          <w:p w:rsidR="00C336F0" w:rsidRPr="00BD3E9F" w:rsidRDefault="00C336F0" w:rsidP="00B74E3F">
            <w:pPr>
              <w:pStyle w:val="5"/>
              <w:jc w:val="center"/>
              <w:rPr>
                <w:b/>
                <w:sz w:val="18"/>
                <w:szCs w:val="18"/>
              </w:rPr>
            </w:pPr>
            <w:r w:rsidRPr="00BD3E9F">
              <w:rPr>
                <w:rFonts w:hint="eastAsia"/>
                <w:b/>
                <w:sz w:val="18"/>
                <w:szCs w:val="18"/>
              </w:rPr>
              <w:t>业绩承诺</w:t>
            </w:r>
          </w:p>
        </w:tc>
        <w:tc>
          <w:tcPr>
            <w:tcW w:w="638" w:type="pct"/>
            <w:tcBorders>
              <w:top w:val="single" w:sz="12" w:space="0" w:color="auto"/>
              <w:left w:val="single" w:sz="4" w:space="0" w:color="auto"/>
              <w:bottom w:val="single" w:sz="4" w:space="0" w:color="auto"/>
              <w:right w:val="single" w:sz="4" w:space="0" w:color="auto"/>
            </w:tcBorders>
            <w:vAlign w:val="center"/>
          </w:tcPr>
          <w:p w:rsidR="00C336F0" w:rsidRPr="00BD3E9F" w:rsidRDefault="00C336F0" w:rsidP="00B74E3F">
            <w:pPr>
              <w:pStyle w:val="5"/>
              <w:jc w:val="center"/>
              <w:rPr>
                <w:b/>
                <w:sz w:val="18"/>
                <w:szCs w:val="18"/>
              </w:rPr>
            </w:pPr>
            <w:r w:rsidRPr="00BD3E9F">
              <w:rPr>
                <w:rFonts w:hint="eastAsia"/>
                <w:b/>
                <w:sz w:val="18"/>
                <w:szCs w:val="18"/>
              </w:rPr>
              <w:t>至年末累计</w:t>
            </w:r>
          </w:p>
          <w:p w:rsidR="00C336F0" w:rsidRPr="00BD3E9F" w:rsidRDefault="00C336F0" w:rsidP="00B74E3F">
            <w:pPr>
              <w:pStyle w:val="5"/>
              <w:jc w:val="center"/>
              <w:rPr>
                <w:b/>
                <w:sz w:val="18"/>
                <w:szCs w:val="18"/>
                <w:vertAlign w:val="superscript"/>
              </w:rPr>
            </w:pPr>
            <w:r w:rsidRPr="00BD3E9F">
              <w:rPr>
                <w:rFonts w:hint="eastAsia"/>
                <w:b/>
                <w:sz w:val="18"/>
                <w:szCs w:val="18"/>
              </w:rPr>
              <w:t>利润数</w:t>
            </w:r>
          </w:p>
        </w:tc>
        <w:tc>
          <w:tcPr>
            <w:tcW w:w="465" w:type="pct"/>
            <w:tcBorders>
              <w:top w:val="single" w:sz="12" w:space="0" w:color="auto"/>
              <w:left w:val="single" w:sz="4" w:space="0" w:color="auto"/>
              <w:bottom w:val="single" w:sz="4" w:space="0" w:color="auto"/>
              <w:right w:val="single" w:sz="12" w:space="0" w:color="auto"/>
            </w:tcBorders>
            <w:vAlign w:val="center"/>
          </w:tcPr>
          <w:p w:rsidR="00C336F0" w:rsidRPr="00BD3E9F" w:rsidRDefault="00C336F0" w:rsidP="00B74E3F">
            <w:pPr>
              <w:pStyle w:val="5"/>
              <w:jc w:val="center"/>
              <w:rPr>
                <w:b/>
                <w:sz w:val="18"/>
                <w:szCs w:val="18"/>
              </w:rPr>
            </w:pPr>
            <w:r w:rsidRPr="00BD3E9F">
              <w:rPr>
                <w:rFonts w:hint="eastAsia"/>
                <w:b/>
                <w:sz w:val="18"/>
                <w:szCs w:val="18"/>
              </w:rPr>
              <w:t>完成率</w:t>
            </w:r>
          </w:p>
        </w:tc>
      </w:tr>
      <w:tr w:rsidR="00C336F0" w:rsidRPr="00BD3E9F" w:rsidTr="00B74E3F">
        <w:tc>
          <w:tcPr>
            <w:tcW w:w="549" w:type="pct"/>
            <w:tcBorders>
              <w:top w:val="single" w:sz="4" w:space="0" w:color="auto"/>
              <w:left w:val="single" w:sz="12" w:space="0" w:color="auto"/>
              <w:bottom w:val="single" w:sz="4" w:space="0" w:color="auto"/>
              <w:right w:val="single" w:sz="4" w:space="0" w:color="auto"/>
            </w:tcBorders>
            <w:vAlign w:val="center"/>
          </w:tcPr>
          <w:p w:rsidR="00C336F0" w:rsidRPr="00BD3E9F" w:rsidRDefault="00C336F0" w:rsidP="00B74E3F">
            <w:pPr>
              <w:pStyle w:val="5"/>
              <w:jc w:val="center"/>
              <w:rPr>
                <w:sz w:val="18"/>
                <w:szCs w:val="18"/>
              </w:rPr>
            </w:pPr>
            <w:r w:rsidRPr="00BD3E9F">
              <w:rPr>
                <w:sz w:val="18"/>
                <w:szCs w:val="18"/>
              </w:rPr>
              <w:t>201</w:t>
            </w:r>
            <w:r w:rsidRPr="00BD3E9F">
              <w:rPr>
                <w:rFonts w:hint="eastAsia"/>
                <w:sz w:val="18"/>
                <w:szCs w:val="18"/>
              </w:rPr>
              <w:t>7</w:t>
            </w:r>
            <w:r w:rsidRPr="00BD3E9F">
              <w:rPr>
                <w:sz w:val="18"/>
                <w:szCs w:val="18"/>
              </w:rPr>
              <w:t>年度</w:t>
            </w:r>
          </w:p>
        </w:tc>
        <w:tc>
          <w:tcPr>
            <w:tcW w:w="887" w:type="pct"/>
            <w:tcBorders>
              <w:top w:val="single" w:sz="4" w:space="0" w:color="auto"/>
              <w:left w:val="single" w:sz="4" w:space="0" w:color="auto"/>
              <w:bottom w:val="single" w:sz="4" w:space="0" w:color="auto"/>
              <w:right w:val="single" w:sz="4" w:space="0" w:color="auto"/>
            </w:tcBorders>
            <w:vAlign w:val="center"/>
          </w:tcPr>
          <w:p w:rsidR="00C336F0" w:rsidRPr="00BD3E9F" w:rsidRDefault="00C336F0" w:rsidP="00B74E3F">
            <w:pPr>
              <w:pStyle w:val="5"/>
              <w:jc w:val="center"/>
              <w:rPr>
                <w:sz w:val="18"/>
                <w:szCs w:val="18"/>
              </w:rPr>
            </w:pPr>
            <w:r w:rsidRPr="00BD3E9F">
              <w:rPr>
                <w:sz w:val="18"/>
                <w:szCs w:val="18"/>
              </w:rPr>
              <w:t>响水</w:t>
            </w:r>
            <w:proofErr w:type="gramStart"/>
            <w:r w:rsidRPr="00BD3E9F">
              <w:rPr>
                <w:sz w:val="18"/>
                <w:szCs w:val="18"/>
              </w:rPr>
              <w:t>恒</w:t>
            </w:r>
            <w:proofErr w:type="gramEnd"/>
            <w:r w:rsidRPr="00BD3E9F">
              <w:rPr>
                <w:sz w:val="18"/>
                <w:szCs w:val="18"/>
              </w:rPr>
              <w:t>利达一期</w:t>
            </w:r>
          </w:p>
        </w:tc>
        <w:tc>
          <w:tcPr>
            <w:tcW w:w="638" w:type="pct"/>
            <w:tcBorders>
              <w:top w:val="single" w:sz="4" w:space="0" w:color="auto"/>
              <w:left w:val="single" w:sz="4" w:space="0" w:color="auto"/>
              <w:bottom w:val="single" w:sz="4" w:space="0" w:color="auto"/>
              <w:right w:val="single" w:sz="4" w:space="0" w:color="auto"/>
            </w:tcBorders>
            <w:vAlign w:val="bottom"/>
          </w:tcPr>
          <w:p w:rsidR="00C336F0" w:rsidRPr="00BD3E9F" w:rsidRDefault="00C336F0" w:rsidP="00B74E3F">
            <w:pPr>
              <w:pStyle w:val="5"/>
              <w:jc w:val="right"/>
              <w:rPr>
                <w:sz w:val="18"/>
                <w:szCs w:val="18"/>
              </w:rPr>
            </w:pPr>
            <w:r w:rsidRPr="00BD3E9F">
              <w:rPr>
                <w:sz w:val="18"/>
                <w:szCs w:val="18"/>
              </w:rPr>
              <w:t>8,970.00</w:t>
            </w:r>
          </w:p>
        </w:tc>
        <w:tc>
          <w:tcPr>
            <w:tcW w:w="1185" w:type="pct"/>
            <w:tcBorders>
              <w:top w:val="single" w:sz="4" w:space="0" w:color="auto"/>
              <w:left w:val="single" w:sz="4" w:space="0" w:color="auto"/>
              <w:bottom w:val="single" w:sz="4" w:space="0" w:color="auto"/>
              <w:right w:val="single" w:sz="4" w:space="0" w:color="auto"/>
            </w:tcBorders>
            <w:vAlign w:val="bottom"/>
          </w:tcPr>
          <w:p w:rsidR="00C336F0" w:rsidRPr="00BD3E9F" w:rsidRDefault="00C336F0" w:rsidP="00B74E3F">
            <w:pPr>
              <w:pStyle w:val="5"/>
              <w:jc w:val="right"/>
              <w:rPr>
                <w:sz w:val="18"/>
                <w:szCs w:val="18"/>
              </w:rPr>
            </w:pPr>
            <w:r w:rsidRPr="00BD3E9F">
              <w:rPr>
                <w:rFonts w:hint="eastAsia"/>
                <w:sz w:val="18"/>
                <w:szCs w:val="18"/>
              </w:rPr>
              <w:t>8,896.76</w:t>
            </w:r>
          </w:p>
        </w:tc>
        <w:tc>
          <w:tcPr>
            <w:tcW w:w="638" w:type="pct"/>
            <w:tcBorders>
              <w:top w:val="single" w:sz="4" w:space="0" w:color="auto"/>
              <w:left w:val="single" w:sz="4" w:space="0" w:color="auto"/>
              <w:bottom w:val="single" w:sz="4" w:space="0" w:color="auto"/>
              <w:right w:val="single" w:sz="4" w:space="0" w:color="auto"/>
            </w:tcBorders>
            <w:vAlign w:val="bottom"/>
          </w:tcPr>
          <w:p w:rsidR="00C336F0" w:rsidRPr="00BD3E9F" w:rsidRDefault="00C336F0" w:rsidP="00B74E3F">
            <w:pPr>
              <w:pStyle w:val="5"/>
              <w:jc w:val="right"/>
              <w:rPr>
                <w:sz w:val="18"/>
                <w:szCs w:val="18"/>
              </w:rPr>
            </w:pPr>
            <w:r w:rsidRPr="00BD3E9F">
              <w:rPr>
                <w:rFonts w:hint="eastAsia"/>
                <w:sz w:val="18"/>
                <w:szCs w:val="18"/>
              </w:rPr>
              <w:t>16,770.00</w:t>
            </w:r>
          </w:p>
        </w:tc>
        <w:tc>
          <w:tcPr>
            <w:tcW w:w="638" w:type="pct"/>
            <w:tcBorders>
              <w:top w:val="single" w:sz="4" w:space="0" w:color="auto"/>
              <w:left w:val="single" w:sz="4" w:space="0" w:color="auto"/>
              <w:bottom w:val="single" w:sz="4" w:space="0" w:color="auto"/>
              <w:right w:val="single" w:sz="4" w:space="0" w:color="auto"/>
            </w:tcBorders>
            <w:vAlign w:val="bottom"/>
          </w:tcPr>
          <w:p w:rsidR="00C336F0" w:rsidRPr="00BD3E9F" w:rsidRDefault="00C336F0" w:rsidP="00B74E3F">
            <w:pPr>
              <w:pStyle w:val="5"/>
              <w:jc w:val="right"/>
              <w:rPr>
                <w:sz w:val="18"/>
                <w:szCs w:val="18"/>
              </w:rPr>
            </w:pPr>
            <w:r w:rsidRPr="00BD3E9F">
              <w:rPr>
                <w:rFonts w:hint="eastAsia"/>
                <w:sz w:val="18"/>
                <w:szCs w:val="18"/>
              </w:rPr>
              <w:t>17,208.25</w:t>
            </w:r>
          </w:p>
        </w:tc>
        <w:tc>
          <w:tcPr>
            <w:tcW w:w="465" w:type="pct"/>
            <w:tcBorders>
              <w:top w:val="single" w:sz="4" w:space="0" w:color="auto"/>
              <w:left w:val="single" w:sz="4" w:space="0" w:color="auto"/>
              <w:bottom w:val="single" w:sz="4" w:space="0" w:color="auto"/>
              <w:right w:val="single" w:sz="12" w:space="0" w:color="auto"/>
            </w:tcBorders>
            <w:vAlign w:val="bottom"/>
          </w:tcPr>
          <w:p w:rsidR="00C336F0" w:rsidRPr="00BD3E9F" w:rsidRDefault="00C336F0" w:rsidP="00B74E3F">
            <w:pPr>
              <w:pStyle w:val="5"/>
              <w:jc w:val="right"/>
              <w:rPr>
                <w:sz w:val="18"/>
                <w:szCs w:val="18"/>
              </w:rPr>
            </w:pPr>
            <w:r w:rsidRPr="00BD3E9F">
              <w:rPr>
                <w:sz w:val="18"/>
                <w:szCs w:val="18"/>
              </w:rPr>
              <w:t>10</w:t>
            </w:r>
            <w:r w:rsidRPr="00BD3E9F">
              <w:rPr>
                <w:rFonts w:hint="eastAsia"/>
                <w:sz w:val="18"/>
                <w:szCs w:val="18"/>
              </w:rPr>
              <w:t>2.61</w:t>
            </w:r>
            <w:r w:rsidRPr="00BD3E9F">
              <w:rPr>
                <w:sz w:val="18"/>
                <w:szCs w:val="18"/>
              </w:rPr>
              <w:t>%</w:t>
            </w:r>
          </w:p>
        </w:tc>
      </w:tr>
      <w:tr w:rsidR="00C336F0" w:rsidRPr="00BD3E9F" w:rsidTr="00B74E3F">
        <w:tc>
          <w:tcPr>
            <w:tcW w:w="549" w:type="pct"/>
            <w:tcBorders>
              <w:top w:val="single" w:sz="4" w:space="0" w:color="auto"/>
              <w:left w:val="single" w:sz="12" w:space="0" w:color="auto"/>
              <w:bottom w:val="single" w:sz="4" w:space="0" w:color="auto"/>
              <w:right w:val="single" w:sz="4" w:space="0" w:color="auto"/>
            </w:tcBorders>
            <w:vAlign w:val="center"/>
          </w:tcPr>
          <w:p w:rsidR="00C336F0" w:rsidRPr="00BD3E9F" w:rsidRDefault="00C336F0" w:rsidP="00B74E3F">
            <w:pPr>
              <w:pStyle w:val="5"/>
              <w:jc w:val="center"/>
              <w:rPr>
                <w:sz w:val="18"/>
                <w:szCs w:val="18"/>
              </w:rPr>
            </w:pPr>
            <w:r w:rsidRPr="00BD3E9F">
              <w:rPr>
                <w:sz w:val="18"/>
                <w:szCs w:val="18"/>
              </w:rPr>
              <w:t>201</w:t>
            </w:r>
            <w:r w:rsidRPr="00BD3E9F">
              <w:rPr>
                <w:rFonts w:hint="eastAsia"/>
                <w:sz w:val="18"/>
                <w:szCs w:val="18"/>
              </w:rPr>
              <w:t>7</w:t>
            </w:r>
            <w:r w:rsidRPr="00BD3E9F">
              <w:rPr>
                <w:sz w:val="18"/>
                <w:szCs w:val="18"/>
              </w:rPr>
              <w:t>年度</w:t>
            </w:r>
          </w:p>
        </w:tc>
        <w:tc>
          <w:tcPr>
            <w:tcW w:w="887" w:type="pct"/>
            <w:tcBorders>
              <w:top w:val="single" w:sz="4" w:space="0" w:color="auto"/>
              <w:left w:val="single" w:sz="4" w:space="0" w:color="auto"/>
              <w:bottom w:val="single" w:sz="4" w:space="0" w:color="auto"/>
              <w:right w:val="single" w:sz="4" w:space="0" w:color="auto"/>
            </w:tcBorders>
            <w:vAlign w:val="center"/>
          </w:tcPr>
          <w:p w:rsidR="00C336F0" w:rsidRPr="00BD3E9F" w:rsidRDefault="00C336F0" w:rsidP="00B74E3F">
            <w:pPr>
              <w:pStyle w:val="5"/>
              <w:jc w:val="center"/>
              <w:rPr>
                <w:sz w:val="18"/>
                <w:szCs w:val="18"/>
              </w:rPr>
            </w:pPr>
            <w:r w:rsidRPr="00BD3E9F">
              <w:rPr>
                <w:sz w:val="18"/>
                <w:szCs w:val="18"/>
              </w:rPr>
              <w:t>响水</w:t>
            </w:r>
            <w:proofErr w:type="gramStart"/>
            <w:r w:rsidRPr="00BD3E9F">
              <w:rPr>
                <w:sz w:val="18"/>
                <w:szCs w:val="18"/>
              </w:rPr>
              <w:t>恒</w:t>
            </w:r>
            <w:proofErr w:type="gramEnd"/>
            <w:r w:rsidRPr="00BD3E9F">
              <w:rPr>
                <w:sz w:val="18"/>
                <w:szCs w:val="18"/>
              </w:rPr>
              <w:t>利达二期</w:t>
            </w:r>
          </w:p>
        </w:tc>
        <w:tc>
          <w:tcPr>
            <w:tcW w:w="638" w:type="pct"/>
            <w:tcBorders>
              <w:top w:val="single" w:sz="4" w:space="0" w:color="auto"/>
              <w:left w:val="single" w:sz="4" w:space="0" w:color="auto"/>
              <w:bottom w:val="single" w:sz="4" w:space="0" w:color="auto"/>
              <w:right w:val="single" w:sz="4" w:space="0" w:color="auto"/>
            </w:tcBorders>
            <w:vAlign w:val="bottom"/>
          </w:tcPr>
          <w:p w:rsidR="00C336F0" w:rsidRPr="00BD3E9F" w:rsidRDefault="00C336F0" w:rsidP="00B74E3F">
            <w:pPr>
              <w:pStyle w:val="5"/>
              <w:jc w:val="right"/>
              <w:rPr>
                <w:sz w:val="18"/>
                <w:szCs w:val="18"/>
              </w:rPr>
            </w:pPr>
            <w:r>
              <w:rPr>
                <w:rFonts w:hint="eastAsia"/>
                <w:sz w:val="18"/>
                <w:szCs w:val="18"/>
              </w:rPr>
              <w:t>-</w:t>
            </w:r>
          </w:p>
        </w:tc>
        <w:tc>
          <w:tcPr>
            <w:tcW w:w="1185" w:type="pct"/>
            <w:tcBorders>
              <w:top w:val="single" w:sz="4" w:space="0" w:color="auto"/>
              <w:left w:val="single" w:sz="4" w:space="0" w:color="auto"/>
              <w:bottom w:val="single" w:sz="4" w:space="0" w:color="auto"/>
              <w:right w:val="single" w:sz="4" w:space="0" w:color="auto"/>
            </w:tcBorders>
            <w:vAlign w:val="bottom"/>
          </w:tcPr>
          <w:p w:rsidR="00C336F0" w:rsidRPr="00BD3E9F" w:rsidRDefault="00C336F0" w:rsidP="00B74E3F">
            <w:pPr>
              <w:pStyle w:val="5"/>
              <w:jc w:val="right"/>
              <w:rPr>
                <w:sz w:val="18"/>
                <w:szCs w:val="18"/>
              </w:rPr>
            </w:pPr>
            <w:r w:rsidRPr="00BD3E9F">
              <w:rPr>
                <w:sz w:val="18"/>
                <w:szCs w:val="18"/>
              </w:rPr>
              <w:t>-401.65</w:t>
            </w:r>
          </w:p>
        </w:tc>
        <w:tc>
          <w:tcPr>
            <w:tcW w:w="638" w:type="pct"/>
            <w:tcBorders>
              <w:top w:val="single" w:sz="4" w:space="0" w:color="auto"/>
              <w:left w:val="single" w:sz="4" w:space="0" w:color="auto"/>
              <w:bottom w:val="single" w:sz="4" w:space="0" w:color="auto"/>
              <w:right w:val="single" w:sz="4" w:space="0" w:color="auto"/>
            </w:tcBorders>
            <w:vAlign w:val="bottom"/>
          </w:tcPr>
          <w:p w:rsidR="00C336F0" w:rsidRPr="00BD3E9F" w:rsidRDefault="00C336F0" w:rsidP="00B74E3F">
            <w:pPr>
              <w:pStyle w:val="5"/>
              <w:jc w:val="right"/>
              <w:rPr>
                <w:sz w:val="18"/>
                <w:szCs w:val="18"/>
              </w:rPr>
            </w:pPr>
            <w:r>
              <w:rPr>
                <w:rFonts w:hint="eastAsia"/>
                <w:sz w:val="18"/>
                <w:szCs w:val="18"/>
              </w:rPr>
              <w:t>-</w:t>
            </w:r>
          </w:p>
        </w:tc>
        <w:tc>
          <w:tcPr>
            <w:tcW w:w="638" w:type="pct"/>
            <w:tcBorders>
              <w:top w:val="single" w:sz="4" w:space="0" w:color="auto"/>
              <w:left w:val="single" w:sz="4" w:space="0" w:color="auto"/>
              <w:bottom w:val="single" w:sz="4" w:space="0" w:color="auto"/>
              <w:right w:val="single" w:sz="4" w:space="0" w:color="auto"/>
            </w:tcBorders>
            <w:vAlign w:val="bottom"/>
          </w:tcPr>
          <w:p w:rsidR="00C336F0" w:rsidRPr="00BD3E9F" w:rsidRDefault="00C336F0" w:rsidP="00B74E3F">
            <w:pPr>
              <w:pStyle w:val="5"/>
              <w:jc w:val="right"/>
              <w:rPr>
                <w:sz w:val="18"/>
                <w:szCs w:val="18"/>
              </w:rPr>
            </w:pPr>
            <w:r>
              <w:rPr>
                <w:rFonts w:hint="eastAsia"/>
                <w:sz w:val="18"/>
                <w:szCs w:val="18"/>
              </w:rPr>
              <w:t>-</w:t>
            </w:r>
          </w:p>
        </w:tc>
        <w:tc>
          <w:tcPr>
            <w:tcW w:w="465" w:type="pct"/>
            <w:tcBorders>
              <w:top w:val="single" w:sz="4" w:space="0" w:color="auto"/>
              <w:left w:val="single" w:sz="4" w:space="0" w:color="auto"/>
              <w:bottom w:val="single" w:sz="4" w:space="0" w:color="auto"/>
              <w:right w:val="single" w:sz="12" w:space="0" w:color="auto"/>
            </w:tcBorders>
            <w:vAlign w:val="bottom"/>
          </w:tcPr>
          <w:p w:rsidR="00C336F0" w:rsidRPr="00BD3E9F" w:rsidRDefault="00C336F0" w:rsidP="00B74E3F">
            <w:pPr>
              <w:pStyle w:val="5"/>
              <w:jc w:val="right"/>
              <w:rPr>
                <w:sz w:val="18"/>
                <w:szCs w:val="18"/>
              </w:rPr>
            </w:pPr>
            <w:r>
              <w:rPr>
                <w:rFonts w:hint="eastAsia"/>
                <w:sz w:val="18"/>
                <w:szCs w:val="18"/>
              </w:rPr>
              <w:t>-</w:t>
            </w:r>
          </w:p>
        </w:tc>
      </w:tr>
      <w:tr w:rsidR="00C336F0" w:rsidRPr="00BD3E9F" w:rsidTr="00B74E3F">
        <w:tc>
          <w:tcPr>
            <w:tcW w:w="1435" w:type="pct"/>
            <w:gridSpan w:val="2"/>
            <w:tcBorders>
              <w:top w:val="single" w:sz="4" w:space="0" w:color="auto"/>
              <w:left w:val="single" w:sz="12" w:space="0" w:color="auto"/>
              <w:bottom w:val="single" w:sz="12" w:space="0" w:color="auto"/>
              <w:right w:val="single" w:sz="4" w:space="0" w:color="auto"/>
            </w:tcBorders>
            <w:vAlign w:val="center"/>
          </w:tcPr>
          <w:p w:rsidR="00C336F0" w:rsidRPr="00BD3E9F" w:rsidRDefault="00C336F0" w:rsidP="00B74E3F">
            <w:pPr>
              <w:pStyle w:val="5"/>
              <w:jc w:val="center"/>
              <w:rPr>
                <w:sz w:val="18"/>
                <w:szCs w:val="18"/>
              </w:rPr>
            </w:pPr>
            <w:r w:rsidRPr="00BD3E9F">
              <w:rPr>
                <w:sz w:val="18"/>
                <w:szCs w:val="18"/>
              </w:rPr>
              <w:t>合计</w:t>
            </w:r>
          </w:p>
        </w:tc>
        <w:tc>
          <w:tcPr>
            <w:tcW w:w="638" w:type="pct"/>
            <w:tcBorders>
              <w:top w:val="single" w:sz="4" w:space="0" w:color="auto"/>
              <w:left w:val="single" w:sz="4" w:space="0" w:color="auto"/>
              <w:bottom w:val="single" w:sz="12" w:space="0" w:color="auto"/>
              <w:right w:val="single" w:sz="4" w:space="0" w:color="auto"/>
            </w:tcBorders>
            <w:vAlign w:val="bottom"/>
          </w:tcPr>
          <w:p w:rsidR="00C336F0" w:rsidRPr="00BD3E9F" w:rsidRDefault="00C336F0" w:rsidP="00B74E3F">
            <w:pPr>
              <w:pStyle w:val="5"/>
              <w:jc w:val="right"/>
              <w:rPr>
                <w:sz w:val="18"/>
                <w:szCs w:val="18"/>
              </w:rPr>
            </w:pPr>
            <w:r w:rsidRPr="00BD3E9F">
              <w:rPr>
                <w:sz w:val="18"/>
                <w:szCs w:val="18"/>
              </w:rPr>
              <w:t>8,970.00</w:t>
            </w:r>
          </w:p>
        </w:tc>
        <w:tc>
          <w:tcPr>
            <w:tcW w:w="1185" w:type="pct"/>
            <w:tcBorders>
              <w:top w:val="single" w:sz="4" w:space="0" w:color="auto"/>
              <w:left w:val="single" w:sz="4" w:space="0" w:color="auto"/>
              <w:bottom w:val="single" w:sz="12" w:space="0" w:color="auto"/>
              <w:right w:val="single" w:sz="4" w:space="0" w:color="auto"/>
            </w:tcBorders>
            <w:vAlign w:val="bottom"/>
          </w:tcPr>
          <w:p w:rsidR="00C336F0" w:rsidRPr="00BD3E9F" w:rsidRDefault="00C336F0" w:rsidP="00B74E3F">
            <w:pPr>
              <w:pStyle w:val="5"/>
              <w:jc w:val="right"/>
              <w:rPr>
                <w:sz w:val="18"/>
                <w:szCs w:val="18"/>
              </w:rPr>
            </w:pPr>
            <w:r w:rsidRPr="00BD3E9F">
              <w:rPr>
                <w:rFonts w:hint="eastAsia"/>
                <w:sz w:val="18"/>
                <w:szCs w:val="18"/>
              </w:rPr>
              <w:t>8,495.11</w:t>
            </w:r>
          </w:p>
        </w:tc>
        <w:tc>
          <w:tcPr>
            <w:tcW w:w="638" w:type="pct"/>
            <w:tcBorders>
              <w:top w:val="single" w:sz="4" w:space="0" w:color="auto"/>
              <w:left w:val="single" w:sz="4" w:space="0" w:color="auto"/>
              <w:bottom w:val="single" w:sz="12" w:space="0" w:color="auto"/>
              <w:right w:val="single" w:sz="4" w:space="0" w:color="auto"/>
            </w:tcBorders>
            <w:vAlign w:val="bottom"/>
          </w:tcPr>
          <w:p w:rsidR="00C336F0" w:rsidRPr="00BD3E9F" w:rsidRDefault="00C336F0" w:rsidP="00B74E3F">
            <w:pPr>
              <w:pStyle w:val="5"/>
              <w:jc w:val="right"/>
              <w:rPr>
                <w:sz w:val="18"/>
                <w:szCs w:val="18"/>
              </w:rPr>
            </w:pPr>
            <w:r w:rsidRPr="00BD3E9F">
              <w:rPr>
                <w:rFonts w:hint="eastAsia"/>
                <w:sz w:val="18"/>
                <w:szCs w:val="18"/>
              </w:rPr>
              <w:t>16,770.00</w:t>
            </w:r>
          </w:p>
        </w:tc>
        <w:tc>
          <w:tcPr>
            <w:tcW w:w="638" w:type="pct"/>
            <w:tcBorders>
              <w:top w:val="single" w:sz="4" w:space="0" w:color="auto"/>
              <w:left w:val="single" w:sz="4" w:space="0" w:color="auto"/>
              <w:bottom w:val="single" w:sz="12" w:space="0" w:color="auto"/>
              <w:right w:val="single" w:sz="4" w:space="0" w:color="auto"/>
            </w:tcBorders>
            <w:vAlign w:val="bottom"/>
          </w:tcPr>
          <w:p w:rsidR="00C336F0" w:rsidRPr="00BD3E9F" w:rsidRDefault="00C336F0" w:rsidP="00B74E3F">
            <w:pPr>
              <w:pStyle w:val="5"/>
              <w:jc w:val="right"/>
              <w:rPr>
                <w:sz w:val="18"/>
                <w:szCs w:val="18"/>
              </w:rPr>
            </w:pPr>
            <w:r w:rsidRPr="00BD3E9F">
              <w:rPr>
                <w:rFonts w:hint="eastAsia"/>
                <w:sz w:val="18"/>
                <w:szCs w:val="18"/>
              </w:rPr>
              <w:t>17,208.25</w:t>
            </w:r>
          </w:p>
        </w:tc>
        <w:tc>
          <w:tcPr>
            <w:tcW w:w="465" w:type="pct"/>
            <w:tcBorders>
              <w:top w:val="single" w:sz="4" w:space="0" w:color="auto"/>
              <w:left w:val="single" w:sz="4" w:space="0" w:color="auto"/>
              <w:bottom w:val="single" w:sz="12" w:space="0" w:color="auto"/>
              <w:right w:val="single" w:sz="12" w:space="0" w:color="auto"/>
            </w:tcBorders>
            <w:vAlign w:val="bottom"/>
          </w:tcPr>
          <w:p w:rsidR="00C336F0" w:rsidRPr="00BD3E9F" w:rsidRDefault="00C336F0" w:rsidP="00B74E3F">
            <w:pPr>
              <w:pStyle w:val="5"/>
              <w:jc w:val="right"/>
              <w:rPr>
                <w:sz w:val="18"/>
                <w:szCs w:val="18"/>
              </w:rPr>
            </w:pPr>
            <w:r>
              <w:rPr>
                <w:rFonts w:hint="eastAsia"/>
                <w:sz w:val="18"/>
                <w:szCs w:val="18"/>
              </w:rPr>
              <w:t>-</w:t>
            </w:r>
          </w:p>
        </w:tc>
      </w:tr>
    </w:tbl>
    <w:p w:rsidR="00C336F0" w:rsidRDefault="00C336F0" w:rsidP="00C336F0">
      <w:pPr>
        <w:pStyle w:val="20"/>
        <w:spacing w:line="360" w:lineRule="auto"/>
        <w:ind w:left="0" w:firstLineChars="200" w:firstLine="480"/>
        <w:rPr>
          <w:rFonts w:cs="Arial"/>
          <w:color w:val="auto"/>
          <w:sz w:val="24"/>
          <w:szCs w:val="24"/>
        </w:rPr>
      </w:pPr>
    </w:p>
    <w:p w:rsidR="001C68DD" w:rsidRPr="002C16B6" w:rsidRDefault="00C336F0" w:rsidP="002C16B6">
      <w:pPr>
        <w:pStyle w:val="2"/>
        <w:rPr>
          <w:rFonts w:cs="Times New Roman"/>
          <w:kern w:val="0"/>
        </w:rPr>
      </w:pPr>
      <w:r>
        <w:rPr>
          <w:rFonts w:cs="Times New Roman" w:hint="eastAsia"/>
          <w:kern w:val="0"/>
        </w:rPr>
        <w:t>2018</w:t>
      </w:r>
      <w:r>
        <w:rPr>
          <w:rFonts w:cs="Times New Roman" w:hint="eastAsia"/>
          <w:kern w:val="0"/>
        </w:rPr>
        <w:t>年</w:t>
      </w:r>
      <w:r>
        <w:rPr>
          <w:rFonts w:cs="Times New Roman" w:hint="eastAsia"/>
          <w:kern w:val="0"/>
        </w:rPr>
        <w:t>3</w:t>
      </w:r>
      <w:r>
        <w:rPr>
          <w:rFonts w:cs="Times New Roman" w:hint="eastAsia"/>
          <w:kern w:val="0"/>
        </w:rPr>
        <w:t>月</w:t>
      </w:r>
      <w:r>
        <w:rPr>
          <w:rFonts w:cs="Times New Roman" w:hint="eastAsia"/>
          <w:kern w:val="0"/>
        </w:rPr>
        <w:t>29</w:t>
      </w:r>
      <w:r>
        <w:rPr>
          <w:rFonts w:cs="Times New Roman" w:hint="eastAsia"/>
          <w:kern w:val="0"/>
        </w:rPr>
        <w:t>日，公司召开</w:t>
      </w:r>
      <w:r w:rsidRPr="00C336F0">
        <w:rPr>
          <w:rFonts w:cs="Times New Roman" w:hint="eastAsia"/>
          <w:kern w:val="0"/>
        </w:rPr>
        <w:t>第八届董事会第十四次会议</w:t>
      </w:r>
      <w:r>
        <w:rPr>
          <w:rFonts w:cs="Times New Roman" w:hint="eastAsia"/>
          <w:kern w:val="0"/>
        </w:rPr>
        <w:t>，</w:t>
      </w:r>
      <w:r w:rsidRPr="00C336F0">
        <w:rPr>
          <w:rFonts w:cs="Times New Roman" w:hint="eastAsia"/>
          <w:kern w:val="0"/>
        </w:rPr>
        <w:t>审议通过了《江苏吴中实业股份有限公司关于响水恒利达科技化工有限公司业绩承诺实现情况的议案》。根据立信会计师事务所（特殊普通合伙）出具的信会师报字</w:t>
      </w:r>
      <w:r w:rsidRPr="00C336F0">
        <w:rPr>
          <w:rFonts w:cs="Times New Roman" w:hint="eastAsia"/>
          <w:kern w:val="0"/>
        </w:rPr>
        <w:t>[2018]</w:t>
      </w:r>
      <w:r w:rsidRPr="00C336F0">
        <w:rPr>
          <w:rFonts w:cs="Times New Roman" w:hint="eastAsia"/>
          <w:kern w:val="0"/>
        </w:rPr>
        <w:t>第</w:t>
      </w:r>
      <w:r w:rsidRPr="00C336F0">
        <w:rPr>
          <w:rFonts w:cs="Times New Roman" w:hint="eastAsia"/>
          <w:kern w:val="0"/>
        </w:rPr>
        <w:t>ZA10928</w:t>
      </w:r>
      <w:r w:rsidRPr="00C336F0">
        <w:rPr>
          <w:rFonts w:cs="Times New Roman" w:hint="eastAsia"/>
          <w:kern w:val="0"/>
        </w:rPr>
        <w:t>号《关于响水</w:t>
      </w:r>
      <w:proofErr w:type="gramStart"/>
      <w:r w:rsidRPr="00C336F0">
        <w:rPr>
          <w:rFonts w:cs="Times New Roman" w:hint="eastAsia"/>
          <w:kern w:val="0"/>
        </w:rPr>
        <w:t>恒</w:t>
      </w:r>
      <w:proofErr w:type="gramEnd"/>
      <w:r w:rsidRPr="00C336F0">
        <w:rPr>
          <w:rFonts w:cs="Times New Roman" w:hint="eastAsia"/>
          <w:kern w:val="0"/>
        </w:rPr>
        <w:t>利达科技化工有限公司</w:t>
      </w:r>
      <w:r w:rsidRPr="00C336F0">
        <w:rPr>
          <w:rFonts w:cs="Times New Roman" w:hint="eastAsia"/>
          <w:kern w:val="0"/>
        </w:rPr>
        <w:t>2017</w:t>
      </w:r>
      <w:r w:rsidRPr="00C336F0">
        <w:rPr>
          <w:rFonts w:cs="Times New Roman" w:hint="eastAsia"/>
          <w:kern w:val="0"/>
        </w:rPr>
        <w:t>年度业绩承诺完成情况的</w:t>
      </w:r>
      <w:proofErr w:type="gramStart"/>
      <w:r w:rsidRPr="00C336F0">
        <w:rPr>
          <w:rFonts w:cs="Times New Roman" w:hint="eastAsia"/>
          <w:kern w:val="0"/>
        </w:rPr>
        <w:t>鉴证</w:t>
      </w:r>
      <w:proofErr w:type="gramEnd"/>
      <w:r w:rsidRPr="00C336F0">
        <w:rPr>
          <w:rFonts w:cs="Times New Roman" w:hint="eastAsia"/>
          <w:kern w:val="0"/>
        </w:rPr>
        <w:t>报告》及《</w:t>
      </w:r>
      <w:r w:rsidR="00E90D20" w:rsidRPr="00E90D20">
        <w:rPr>
          <w:rFonts w:cs="Times New Roman" w:hint="eastAsia"/>
          <w:kern w:val="0"/>
        </w:rPr>
        <w:t>瑞信方正证券有限责任公司关</w:t>
      </w:r>
      <w:bookmarkStart w:id="0" w:name="_GoBack"/>
      <w:bookmarkEnd w:id="0"/>
      <w:r w:rsidR="00E90D20" w:rsidRPr="00E90D20">
        <w:rPr>
          <w:rFonts w:cs="Times New Roman" w:hint="eastAsia"/>
          <w:kern w:val="0"/>
        </w:rPr>
        <w:t>于江苏吴中实业股份有限公司发行股份及支付现金购买资产并募集配套资金之</w:t>
      </w:r>
      <w:r w:rsidR="00E90D20" w:rsidRPr="00E90D20">
        <w:rPr>
          <w:rFonts w:cs="Times New Roman" w:hint="eastAsia"/>
          <w:kern w:val="0"/>
        </w:rPr>
        <w:t>2017</w:t>
      </w:r>
      <w:r w:rsidR="00E90D20" w:rsidRPr="00E90D20">
        <w:rPr>
          <w:rFonts w:cs="Times New Roman" w:hint="eastAsia"/>
          <w:kern w:val="0"/>
        </w:rPr>
        <w:t>年度业绩承诺实现情况的核查意见</w:t>
      </w:r>
      <w:r w:rsidRPr="00C336F0">
        <w:rPr>
          <w:rFonts w:cs="Times New Roman" w:hint="eastAsia"/>
          <w:kern w:val="0"/>
        </w:rPr>
        <w:t>》，</w:t>
      </w:r>
      <w:r w:rsidR="002C16B6" w:rsidRPr="002C16B6">
        <w:rPr>
          <w:rFonts w:cs="Times New Roman" w:hint="eastAsia"/>
          <w:kern w:val="0"/>
        </w:rPr>
        <w:t>响水</w:t>
      </w:r>
      <w:proofErr w:type="gramStart"/>
      <w:r w:rsidR="002C16B6" w:rsidRPr="002C16B6">
        <w:rPr>
          <w:rFonts w:cs="Times New Roman" w:hint="eastAsia"/>
          <w:kern w:val="0"/>
        </w:rPr>
        <w:t>恒</w:t>
      </w:r>
      <w:proofErr w:type="gramEnd"/>
      <w:r w:rsidR="002C16B6" w:rsidRPr="002C16B6">
        <w:rPr>
          <w:rFonts w:cs="Times New Roman" w:hint="eastAsia"/>
          <w:kern w:val="0"/>
        </w:rPr>
        <w:t>利达一期项目扣除非经常性损益后归属母公司所有者的净利润为</w:t>
      </w:r>
      <w:r w:rsidR="002C16B6" w:rsidRPr="002C16B6">
        <w:rPr>
          <w:rFonts w:cs="Times New Roman" w:hint="eastAsia"/>
          <w:kern w:val="0"/>
        </w:rPr>
        <w:t>8,896.76</w:t>
      </w:r>
      <w:r w:rsidR="002C16B6" w:rsidRPr="002C16B6">
        <w:rPr>
          <w:rFonts w:cs="Times New Roman" w:hint="eastAsia"/>
          <w:kern w:val="0"/>
        </w:rPr>
        <w:t>万元，完成</w:t>
      </w:r>
      <w:r w:rsidR="002C16B6" w:rsidRPr="002C16B6">
        <w:rPr>
          <w:rFonts w:cs="Times New Roman" w:hint="eastAsia"/>
          <w:kern w:val="0"/>
        </w:rPr>
        <w:t>2017</w:t>
      </w:r>
      <w:r w:rsidR="002C16B6" w:rsidRPr="002C16B6">
        <w:rPr>
          <w:rFonts w:cs="Times New Roman" w:hint="eastAsia"/>
          <w:kern w:val="0"/>
        </w:rPr>
        <w:t>年度承诺业绩金额的</w:t>
      </w:r>
      <w:r w:rsidR="002C16B6" w:rsidRPr="002C16B6">
        <w:rPr>
          <w:rFonts w:cs="Times New Roman" w:hint="eastAsia"/>
          <w:kern w:val="0"/>
        </w:rPr>
        <w:t>99.18%</w:t>
      </w:r>
      <w:r w:rsidR="002C16B6" w:rsidRPr="002C16B6">
        <w:rPr>
          <w:rFonts w:cs="Times New Roman" w:hint="eastAsia"/>
          <w:kern w:val="0"/>
        </w:rPr>
        <w:t>；按照《业绩承诺及补偿协议》约定考核的响水</w:t>
      </w:r>
      <w:proofErr w:type="gramStart"/>
      <w:r w:rsidR="002C16B6" w:rsidRPr="002C16B6">
        <w:rPr>
          <w:rFonts w:cs="Times New Roman" w:hint="eastAsia"/>
          <w:kern w:val="0"/>
        </w:rPr>
        <w:t>恒</w:t>
      </w:r>
      <w:proofErr w:type="gramEnd"/>
      <w:r w:rsidR="002C16B6" w:rsidRPr="002C16B6">
        <w:rPr>
          <w:rFonts w:cs="Times New Roman" w:hint="eastAsia"/>
          <w:kern w:val="0"/>
        </w:rPr>
        <w:t>利达</w:t>
      </w:r>
      <w:r w:rsidR="002C16B6" w:rsidRPr="002C16B6">
        <w:rPr>
          <w:rFonts w:cs="Times New Roman" w:hint="eastAsia"/>
          <w:kern w:val="0"/>
        </w:rPr>
        <w:t>2017</w:t>
      </w:r>
      <w:r w:rsidR="002C16B6" w:rsidRPr="002C16B6">
        <w:rPr>
          <w:rFonts w:cs="Times New Roman" w:hint="eastAsia"/>
          <w:kern w:val="0"/>
        </w:rPr>
        <w:t>年度年末累计利润数为</w:t>
      </w:r>
      <w:r w:rsidR="002C16B6" w:rsidRPr="002C16B6">
        <w:rPr>
          <w:rFonts w:cs="Times New Roman" w:hint="eastAsia"/>
          <w:kern w:val="0"/>
        </w:rPr>
        <w:t>17,208.25</w:t>
      </w:r>
      <w:r w:rsidR="002C16B6" w:rsidRPr="002C16B6">
        <w:rPr>
          <w:rFonts w:cs="Times New Roman" w:hint="eastAsia"/>
          <w:kern w:val="0"/>
        </w:rPr>
        <w:t>万元，年末累计利润数大于累计承诺利润</w:t>
      </w:r>
      <w:r w:rsidR="002C16B6" w:rsidRPr="002C16B6">
        <w:rPr>
          <w:rFonts w:cs="Times New Roman" w:hint="eastAsia"/>
          <w:kern w:val="0"/>
        </w:rPr>
        <w:t>438.25</w:t>
      </w:r>
      <w:r w:rsidR="002C16B6" w:rsidRPr="002C16B6">
        <w:rPr>
          <w:rFonts w:cs="Times New Roman" w:hint="eastAsia"/>
          <w:kern w:val="0"/>
        </w:rPr>
        <w:t>万元，未触发补偿条款，不需要对上市公司进行业绩补偿。</w:t>
      </w:r>
      <w:r w:rsidR="001C68DD" w:rsidRPr="00993ABD">
        <w:rPr>
          <w:rFonts w:ascii="宋体" w:hAnsi="宋体" w:hint="eastAsia"/>
        </w:rPr>
        <w:t>（具体见公司于201</w:t>
      </w:r>
      <w:r w:rsidR="002C16B6">
        <w:rPr>
          <w:rFonts w:ascii="宋体" w:hAnsi="宋体" w:hint="eastAsia"/>
        </w:rPr>
        <w:t>8</w:t>
      </w:r>
      <w:r w:rsidR="001C68DD" w:rsidRPr="00993ABD">
        <w:rPr>
          <w:rFonts w:ascii="宋体" w:hAnsi="宋体" w:hint="eastAsia"/>
        </w:rPr>
        <w:t>年</w:t>
      </w:r>
      <w:r w:rsidR="002C16B6">
        <w:rPr>
          <w:rFonts w:ascii="宋体" w:hAnsi="宋体" w:hint="eastAsia"/>
        </w:rPr>
        <w:t>3</w:t>
      </w:r>
      <w:r w:rsidR="001C68DD" w:rsidRPr="00993ABD">
        <w:rPr>
          <w:rFonts w:ascii="宋体" w:hAnsi="宋体" w:hint="eastAsia"/>
        </w:rPr>
        <w:t>月</w:t>
      </w:r>
      <w:r w:rsidR="002C16B6">
        <w:rPr>
          <w:rFonts w:ascii="宋体" w:hAnsi="宋体" w:hint="eastAsia"/>
        </w:rPr>
        <w:t>31</w:t>
      </w:r>
      <w:r w:rsidR="001C68DD" w:rsidRPr="00993ABD">
        <w:rPr>
          <w:rFonts w:ascii="宋体" w:hAnsi="宋体" w:hint="eastAsia"/>
        </w:rPr>
        <w:t>日在《中国证券报》、《上海证券报》及上海证券交易所网站上披露的相关公告）</w:t>
      </w:r>
    </w:p>
    <w:p w:rsidR="001C68DD" w:rsidRDefault="001C68DD" w:rsidP="001C68DD">
      <w:pPr>
        <w:adjustRightInd w:val="0"/>
        <w:snapToGrid w:val="0"/>
        <w:spacing w:line="360" w:lineRule="auto"/>
        <w:ind w:firstLine="495"/>
        <w:rPr>
          <w:rFonts w:ascii="宋体" w:hAnsi="宋体"/>
          <w:color w:val="000000"/>
          <w:sz w:val="24"/>
        </w:rPr>
      </w:pPr>
      <w:r w:rsidRPr="00574A3E">
        <w:rPr>
          <w:rFonts w:ascii="宋体" w:hAnsi="宋体" w:hint="eastAsia"/>
          <w:color w:val="000000"/>
          <w:sz w:val="24"/>
        </w:rPr>
        <w:t>截至本公告日，本次</w:t>
      </w:r>
      <w:r>
        <w:rPr>
          <w:rFonts w:ascii="宋体" w:hAnsi="宋体" w:hint="eastAsia"/>
          <w:color w:val="000000"/>
          <w:sz w:val="24"/>
        </w:rPr>
        <w:t>限售股的发行对象严格履行承诺，不存在相关承诺未履行影响本次限售股上市流通的情况。</w:t>
      </w:r>
    </w:p>
    <w:p w:rsidR="001C68DD" w:rsidRDefault="001C68DD" w:rsidP="001C68DD">
      <w:pPr>
        <w:adjustRightInd w:val="0"/>
        <w:snapToGrid w:val="0"/>
        <w:spacing w:line="360" w:lineRule="auto"/>
        <w:ind w:firstLine="495"/>
        <w:rPr>
          <w:rFonts w:ascii="宋体" w:hAnsi="宋体"/>
          <w:color w:val="000000"/>
          <w:sz w:val="24"/>
        </w:rPr>
      </w:pPr>
    </w:p>
    <w:p w:rsidR="001C68DD" w:rsidRPr="007869D3" w:rsidRDefault="001C68DD" w:rsidP="001C68DD">
      <w:pPr>
        <w:adjustRightInd w:val="0"/>
        <w:snapToGrid w:val="0"/>
        <w:spacing w:line="360" w:lineRule="auto"/>
        <w:ind w:firstLine="495"/>
        <w:rPr>
          <w:rFonts w:ascii="宋体" w:hAnsi="宋体"/>
          <w:b/>
          <w:sz w:val="24"/>
        </w:rPr>
      </w:pPr>
      <w:r w:rsidRPr="007869D3">
        <w:rPr>
          <w:rFonts w:ascii="宋体" w:hAnsi="宋体" w:hint="eastAsia"/>
          <w:b/>
          <w:sz w:val="24"/>
        </w:rPr>
        <w:t>四、控股股东及其关联方资金占用情况</w:t>
      </w:r>
    </w:p>
    <w:p w:rsidR="001C68DD" w:rsidRDefault="001C68DD" w:rsidP="001C68DD">
      <w:pPr>
        <w:adjustRightInd w:val="0"/>
        <w:snapToGrid w:val="0"/>
        <w:spacing w:line="360" w:lineRule="auto"/>
        <w:ind w:firstLine="495"/>
        <w:rPr>
          <w:rFonts w:ascii="宋体" w:hAnsi="宋体"/>
          <w:sz w:val="24"/>
        </w:rPr>
      </w:pPr>
      <w:r w:rsidRPr="007869D3">
        <w:rPr>
          <w:rFonts w:ascii="宋体" w:hAnsi="宋体" w:hint="eastAsia"/>
          <w:sz w:val="24"/>
        </w:rPr>
        <w:t>公司不存在控股股东及其关联方占用资金情况</w:t>
      </w:r>
      <w:r>
        <w:rPr>
          <w:rFonts w:ascii="宋体" w:hAnsi="宋体" w:hint="eastAsia"/>
          <w:sz w:val="24"/>
        </w:rPr>
        <w:t>。</w:t>
      </w:r>
    </w:p>
    <w:p w:rsidR="001C68DD" w:rsidRDefault="001C68DD" w:rsidP="001C68DD">
      <w:pPr>
        <w:adjustRightInd w:val="0"/>
        <w:snapToGrid w:val="0"/>
        <w:spacing w:line="360" w:lineRule="auto"/>
        <w:ind w:firstLine="495"/>
        <w:rPr>
          <w:rFonts w:ascii="宋体" w:hAnsi="宋体"/>
          <w:sz w:val="24"/>
        </w:rPr>
      </w:pPr>
    </w:p>
    <w:p w:rsidR="001C68DD" w:rsidRPr="007869D3" w:rsidRDefault="001C68DD" w:rsidP="001C68DD">
      <w:pPr>
        <w:adjustRightInd w:val="0"/>
        <w:snapToGrid w:val="0"/>
        <w:spacing w:line="360" w:lineRule="auto"/>
        <w:ind w:firstLineChars="200" w:firstLine="482"/>
        <w:rPr>
          <w:rFonts w:ascii="宋体" w:hAnsi="宋体"/>
          <w:b/>
          <w:sz w:val="24"/>
        </w:rPr>
      </w:pPr>
      <w:r w:rsidRPr="007869D3">
        <w:rPr>
          <w:rFonts w:ascii="宋体" w:hAnsi="宋体" w:hint="eastAsia"/>
          <w:b/>
          <w:sz w:val="24"/>
        </w:rPr>
        <w:t>五、中介机构核查意见</w:t>
      </w:r>
    </w:p>
    <w:p w:rsidR="001C68DD" w:rsidRDefault="001C68DD" w:rsidP="001C68DD">
      <w:pPr>
        <w:adjustRightInd w:val="0"/>
        <w:snapToGrid w:val="0"/>
        <w:spacing w:line="360" w:lineRule="auto"/>
        <w:ind w:firstLine="495"/>
        <w:rPr>
          <w:rFonts w:ascii="宋体" w:hAnsi="宋体"/>
          <w:sz w:val="24"/>
        </w:rPr>
      </w:pPr>
      <w:proofErr w:type="gramStart"/>
      <w:r w:rsidRPr="0048295B">
        <w:rPr>
          <w:rFonts w:ascii="宋体" w:hAnsi="宋体" w:hint="eastAsia"/>
          <w:sz w:val="24"/>
        </w:rPr>
        <w:t>瑞信方正</w:t>
      </w:r>
      <w:proofErr w:type="gramEnd"/>
      <w:r w:rsidRPr="0048295B">
        <w:rPr>
          <w:rFonts w:ascii="宋体" w:hAnsi="宋体" w:hint="eastAsia"/>
          <w:sz w:val="24"/>
        </w:rPr>
        <w:t>证券有限责任公司</w:t>
      </w:r>
      <w:r w:rsidRPr="004D4117">
        <w:rPr>
          <w:rFonts w:ascii="宋体" w:hAnsi="宋体" w:hint="eastAsia"/>
          <w:sz w:val="24"/>
        </w:rPr>
        <w:t>作为公司本次</w:t>
      </w:r>
      <w:r>
        <w:rPr>
          <w:rFonts w:ascii="宋体" w:hAnsi="宋体" w:hint="eastAsia"/>
          <w:sz w:val="24"/>
        </w:rPr>
        <w:t>交易</w:t>
      </w:r>
      <w:r w:rsidRPr="004D4117">
        <w:rPr>
          <w:rFonts w:ascii="宋体" w:hAnsi="宋体" w:hint="eastAsia"/>
          <w:sz w:val="24"/>
        </w:rPr>
        <w:t>的</w:t>
      </w:r>
      <w:r w:rsidRPr="00020F91">
        <w:rPr>
          <w:rFonts w:ascii="宋体" w:hAnsi="宋体" w:hint="eastAsia"/>
          <w:sz w:val="24"/>
        </w:rPr>
        <w:t>独立财务顾问</w:t>
      </w:r>
      <w:r w:rsidRPr="004D4117">
        <w:rPr>
          <w:rFonts w:ascii="宋体" w:hAnsi="宋体" w:hint="eastAsia"/>
          <w:sz w:val="24"/>
        </w:rPr>
        <w:t>，对本次限售股上市流通的有关事项进行了核查，认为：</w:t>
      </w:r>
    </w:p>
    <w:p w:rsidR="00EA38EB" w:rsidRPr="00EA38EB" w:rsidRDefault="00EA38EB" w:rsidP="00EA38EB">
      <w:pPr>
        <w:adjustRightInd w:val="0"/>
        <w:snapToGrid w:val="0"/>
        <w:spacing w:line="360" w:lineRule="auto"/>
        <w:ind w:firstLine="495"/>
        <w:rPr>
          <w:rFonts w:ascii="宋体" w:hAnsi="宋体"/>
          <w:sz w:val="24"/>
        </w:rPr>
      </w:pPr>
      <w:r w:rsidRPr="00EA38EB">
        <w:rPr>
          <w:rFonts w:ascii="宋体" w:hAnsi="宋体" w:hint="eastAsia"/>
          <w:sz w:val="24"/>
        </w:rPr>
        <w:t>1、公司本次限售股上市流通符合《中华人民共和国公司法》、《上市公司重大资产重组管理办法》、《上市公司并购重组财务顾问业务管理办法》、《上海证券</w:t>
      </w:r>
      <w:r w:rsidRPr="00EA38EB">
        <w:rPr>
          <w:rFonts w:ascii="宋体" w:hAnsi="宋体" w:hint="eastAsia"/>
          <w:sz w:val="24"/>
        </w:rPr>
        <w:lastRenderedPageBreak/>
        <w:t>交易所股票上市规则》等相关法律法规和规范性文件的规定；</w:t>
      </w:r>
    </w:p>
    <w:p w:rsidR="00EA38EB" w:rsidRPr="00EA38EB" w:rsidRDefault="00EA38EB" w:rsidP="00EA38EB">
      <w:pPr>
        <w:adjustRightInd w:val="0"/>
        <w:snapToGrid w:val="0"/>
        <w:spacing w:line="360" w:lineRule="auto"/>
        <w:ind w:firstLine="495"/>
        <w:rPr>
          <w:rFonts w:ascii="宋体" w:hAnsi="宋体"/>
          <w:sz w:val="24"/>
        </w:rPr>
      </w:pPr>
      <w:r w:rsidRPr="00EA38EB">
        <w:rPr>
          <w:rFonts w:ascii="宋体" w:hAnsi="宋体" w:hint="eastAsia"/>
          <w:sz w:val="24"/>
        </w:rPr>
        <w:t>2、本次拟解除限售股份的股东不存在违反其在公司本次交易中所</w:t>
      </w:r>
      <w:proofErr w:type="gramStart"/>
      <w:r w:rsidRPr="00EA38EB">
        <w:rPr>
          <w:rFonts w:ascii="宋体" w:hAnsi="宋体" w:hint="eastAsia"/>
          <w:sz w:val="24"/>
        </w:rPr>
        <w:t>作出</w:t>
      </w:r>
      <w:proofErr w:type="gramEnd"/>
      <w:r w:rsidRPr="00EA38EB">
        <w:rPr>
          <w:rFonts w:ascii="宋体" w:hAnsi="宋体" w:hint="eastAsia"/>
          <w:sz w:val="24"/>
        </w:rPr>
        <w:t>的相关承诺的情形；</w:t>
      </w:r>
    </w:p>
    <w:p w:rsidR="00EA38EB" w:rsidRPr="00EA38EB" w:rsidRDefault="00EA38EB" w:rsidP="00EA38EB">
      <w:pPr>
        <w:adjustRightInd w:val="0"/>
        <w:snapToGrid w:val="0"/>
        <w:spacing w:line="360" w:lineRule="auto"/>
        <w:ind w:firstLine="495"/>
        <w:rPr>
          <w:rFonts w:ascii="宋体" w:hAnsi="宋体"/>
          <w:sz w:val="24"/>
        </w:rPr>
      </w:pPr>
      <w:r w:rsidRPr="00EA38EB">
        <w:rPr>
          <w:rFonts w:ascii="宋体" w:hAnsi="宋体" w:hint="eastAsia"/>
          <w:sz w:val="24"/>
        </w:rPr>
        <w:t>3、本次交易标的公司响水</w:t>
      </w:r>
      <w:proofErr w:type="gramStart"/>
      <w:r w:rsidRPr="00EA38EB">
        <w:rPr>
          <w:rFonts w:ascii="宋体" w:hAnsi="宋体" w:hint="eastAsia"/>
          <w:sz w:val="24"/>
        </w:rPr>
        <w:t>恒</w:t>
      </w:r>
      <w:proofErr w:type="gramEnd"/>
      <w:r w:rsidRPr="00EA38EB">
        <w:rPr>
          <w:rFonts w:ascii="宋体" w:hAnsi="宋体" w:hint="eastAsia"/>
          <w:sz w:val="24"/>
        </w:rPr>
        <w:t>利达2017年末累计利润数大于累计承诺利润，未触发补偿条款，不需要对上市公司进行业绩补偿；</w:t>
      </w:r>
    </w:p>
    <w:p w:rsidR="00EA38EB" w:rsidRPr="00EA38EB" w:rsidRDefault="00EA38EB" w:rsidP="00EA38EB">
      <w:pPr>
        <w:adjustRightInd w:val="0"/>
        <w:snapToGrid w:val="0"/>
        <w:spacing w:line="360" w:lineRule="auto"/>
        <w:ind w:firstLine="495"/>
        <w:rPr>
          <w:rFonts w:ascii="宋体" w:hAnsi="宋体"/>
          <w:sz w:val="24"/>
        </w:rPr>
      </w:pPr>
      <w:r w:rsidRPr="00EA38EB">
        <w:rPr>
          <w:rFonts w:ascii="宋体" w:hAnsi="宋体" w:hint="eastAsia"/>
          <w:sz w:val="24"/>
        </w:rPr>
        <w:t>4、本次限售股解除限售数量及上市流通时间符合相关法律法规以及上海证券交易所的相关规定；</w:t>
      </w:r>
    </w:p>
    <w:p w:rsidR="001C68DD" w:rsidRDefault="00EA38EB" w:rsidP="00EA38EB">
      <w:pPr>
        <w:adjustRightInd w:val="0"/>
        <w:snapToGrid w:val="0"/>
        <w:spacing w:line="360" w:lineRule="auto"/>
        <w:ind w:firstLine="495"/>
        <w:rPr>
          <w:rFonts w:ascii="宋体" w:hAnsi="宋体"/>
          <w:sz w:val="24"/>
        </w:rPr>
      </w:pPr>
      <w:r w:rsidRPr="00EA38EB">
        <w:rPr>
          <w:rFonts w:ascii="宋体" w:hAnsi="宋体" w:hint="eastAsia"/>
          <w:sz w:val="24"/>
        </w:rPr>
        <w:t>5、</w:t>
      </w:r>
      <w:proofErr w:type="gramStart"/>
      <w:r w:rsidRPr="00EA38EB">
        <w:rPr>
          <w:rFonts w:ascii="宋体" w:hAnsi="宋体" w:hint="eastAsia"/>
          <w:sz w:val="24"/>
        </w:rPr>
        <w:t>本独立</w:t>
      </w:r>
      <w:proofErr w:type="gramEnd"/>
      <w:r w:rsidRPr="00EA38EB">
        <w:rPr>
          <w:rFonts w:ascii="宋体" w:hAnsi="宋体" w:hint="eastAsia"/>
          <w:sz w:val="24"/>
        </w:rPr>
        <w:t>财务顾问对本次限售股解除限售事项无异议。</w:t>
      </w:r>
    </w:p>
    <w:p w:rsidR="00EA38EB" w:rsidRPr="00ED4492" w:rsidRDefault="00EA38EB" w:rsidP="00EA38EB">
      <w:pPr>
        <w:adjustRightInd w:val="0"/>
        <w:snapToGrid w:val="0"/>
        <w:spacing w:line="360" w:lineRule="auto"/>
        <w:ind w:firstLine="495"/>
        <w:rPr>
          <w:rFonts w:ascii="宋体" w:hAnsi="宋体"/>
          <w:sz w:val="24"/>
        </w:rPr>
      </w:pPr>
    </w:p>
    <w:p w:rsidR="001C68DD" w:rsidRPr="007544C4" w:rsidRDefault="001C68DD" w:rsidP="001C68DD">
      <w:pPr>
        <w:tabs>
          <w:tab w:val="num" w:pos="0"/>
        </w:tabs>
        <w:adjustRightInd w:val="0"/>
        <w:snapToGrid w:val="0"/>
        <w:spacing w:line="360" w:lineRule="auto"/>
        <w:ind w:firstLineChars="200" w:firstLine="482"/>
        <w:rPr>
          <w:rFonts w:ascii="宋体" w:hAnsi="宋体"/>
          <w:b/>
          <w:sz w:val="24"/>
        </w:rPr>
      </w:pPr>
      <w:r w:rsidRPr="007544C4">
        <w:rPr>
          <w:rFonts w:ascii="宋体" w:hAnsi="宋体" w:hint="eastAsia"/>
          <w:b/>
          <w:sz w:val="24"/>
        </w:rPr>
        <w:t>六、本次限售股上市流通情况</w:t>
      </w:r>
    </w:p>
    <w:p w:rsidR="001C68DD" w:rsidRPr="00EE5F1D" w:rsidRDefault="001C68DD" w:rsidP="001C68DD">
      <w:pPr>
        <w:tabs>
          <w:tab w:val="num" w:pos="0"/>
        </w:tabs>
        <w:adjustRightInd w:val="0"/>
        <w:snapToGrid w:val="0"/>
        <w:spacing w:line="360" w:lineRule="auto"/>
        <w:ind w:firstLineChars="200" w:firstLine="480"/>
        <w:rPr>
          <w:rFonts w:ascii="宋体" w:hAnsi="宋体"/>
          <w:sz w:val="24"/>
        </w:rPr>
      </w:pPr>
      <w:r w:rsidRPr="00EE5F1D">
        <w:rPr>
          <w:rFonts w:ascii="宋体" w:hAnsi="宋体" w:hint="eastAsia"/>
          <w:sz w:val="24"/>
        </w:rPr>
        <w:t>本次限售股上市流通数量为</w:t>
      </w:r>
      <w:r w:rsidR="0063769D" w:rsidRPr="0063769D">
        <w:rPr>
          <w:rFonts w:ascii="宋体" w:hAnsi="宋体"/>
          <w:color w:val="000000"/>
          <w:sz w:val="24"/>
        </w:rPr>
        <w:t>5,958,740</w:t>
      </w:r>
      <w:r w:rsidRPr="00EE5F1D">
        <w:rPr>
          <w:rFonts w:ascii="宋体" w:hAnsi="宋体" w:hint="eastAsia"/>
          <w:sz w:val="24"/>
        </w:rPr>
        <w:t>股；</w:t>
      </w:r>
    </w:p>
    <w:p w:rsidR="001C68DD" w:rsidRPr="00EE5F1D" w:rsidRDefault="001C68DD" w:rsidP="001C68DD">
      <w:pPr>
        <w:adjustRightInd w:val="0"/>
        <w:snapToGrid w:val="0"/>
        <w:spacing w:line="360" w:lineRule="auto"/>
        <w:ind w:firstLine="495"/>
        <w:rPr>
          <w:rFonts w:ascii="宋体" w:hAnsi="宋体"/>
          <w:sz w:val="24"/>
        </w:rPr>
      </w:pPr>
      <w:r w:rsidRPr="00EE5F1D">
        <w:rPr>
          <w:rFonts w:ascii="宋体" w:hAnsi="宋体" w:hint="eastAsia"/>
          <w:sz w:val="24"/>
        </w:rPr>
        <w:t>本次限售股上市流通日期为201</w:t>
      </w:r>
      <w:r w:rsidR="000E73B1" w:rsidRPr="00EE5F1D">
        <w:rPr>
          <w:rFonts w:ascii="宋体" w:hAnsi="宋体" w:hint="eastAsia"/>
          <w:sz w:val="24"/>
        </w:rPr>
        <w:t>8</w:t>
      </w:r>
      <w:r w:rsidRPr="00EE5F1D">
        <w:rPr>
          <w:rFonts w:ascii="宋体" w:hAnsi="宋体" w:hint="eastAsia"/>
          <w:sz w:val="24"/>
        </w:rPr>
        <w:t>年7月12日；</w:t>
      </w:r>
    </w:p>
    <w:p w:rsidR="001C68DD" w:rsidRPr="00EE5F1D" w:rsidRDefault="001C68DD" w:rsidP="001C68DD">
      <w:pPr>
        <w:adjustRightInd w:val="0"/>
        <w:snapToGrid w:val="0"/>
        <w:spacing w:line="360" w:lineRule="auto"/>
        <w:ind w:firstLine="495"/>
        <w:rPr>
          <w:rFonts w:ascii="宋体" w:hAnsi="宋体"/>
          <w:sz w:val="24"/>
        </w:rPr>
      </w:pPr>
      <w:r w:rsidRPr="00EE5F1D">
        <w:rPr>
          <w:rFonts w:ascii="宋体" w:hAnsi="宋体" w:hint="eastAsia"/>
          <w:sz w:val="24"/>
        </w:rPr>
        <w:t>本次限售股上市流通明细表：</w:t>
      </w:r>
    </w:p>
    <w:tbl>
      <w:tblPr>
        <w:tblW w:w="84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985"/>
        <w:gridCol w:w="1611"/>
        <w:gridCol w:w="1366"/>
        <w:gridCol w:w="1417"/>
        <w:gridCol w:w="1389"/>
      </w:tblGrid>
      <w:tr w:rsidR="001C68DD" w:rsidRPr="00EE5F1D" w:rsidTr="00B74E3F">
        <w:tc>
          <w:tcPr>
            <w:tcW w:w="709" w:type="dxa"/>
            <w:tcBorders>
              <w:top w:val="single" w:sz="4" w:space="0" w:color="auto"/>
              <w:left w:val="single" w:sz="4" w:space="0" w:color="auto"/>
              <w:bottom w:val="single" w:sz="4" w:space="0" w:color="auto"/>
              <w:right w:val="single" w:sz="4" w:space="0" w:color="auto"/>
            </w:tcBorders>
            <w:vAlign w:val="center"/>
          </w:tcPr>
          <w:p w:rsidR="001C68DD" w:rsidRPr="00EE5F1D" w:rsidRDefault="001C68DD" w:rsidP="00B74E3F">
            <w:pPr>
              <w:snapToGrid w:val="0"/>
              <w:jc w:val="center"/>
              <w:rPr>
                <w:rFonts w:ascii="宋体" w:hAnsi="宋体"/>
                <w:szCs w:val="21"/>
              </w:rPr>
            </w:pPr>
            <w:r w:rsidRPr="00EE5F1D">
              <w:rPr>
                <w:rFonts w:ascii="宋体" w:hAnsi="宋体" w:hint="eastAsia"/>
                <w:szCs w:val="21"/>
              </w:rPr>
              <w:t>序号</w:t>
            </w:r>
          </w:p>
        </w:tc>
        <w:tc>
          <w:tcPr>
            <w:tcW w:w="1985" w:type="dxa"/>
            <w:tcBorders>
              <w:top w:val="single" w:sz="4" w:space="0" w:color="auto"/>
              <w:left w:val="single" w:sz="4" w:space="0" w:color="auto"/>
              <w:bottom w:val="single" w:sz="4" w:space="0" w:color="auto"/>
              <w:right w:val="single" w:sz="4" w:space="0" w:color="auto"/>
            </w:tcBorders>
            <w:vAlign w:val="center"/>
          </w:tcPr>
          <w:p w:rsidR="001C68DD" w:rsidRPr="00EE5F1D" w:rsidRDefault="001C68DD" w:rsidP="00B74E3F">
            <w:pPr>
              <w:snapToGrid w:val="0"/>
              <w:jc w:val="center"/>
              <w:rPr>
                <w:rFonts w:ascii="宋体" w:hAnsi="宋体"/>
                <w:szCs w:val="21"/>
              </w:rPr>
            </w:pPr>
            <w:r w:rsidRPr="00EE5F1D">
              <w:rPr>
                <w:rFonts w:ascii="宋体" w:hAnsi="宋体" w:hint="eastAsia"/>
                <w:szCs w:val="21"/>
              </w:rPr>
              <w:t>股东名称</w:t>
            </w:r>
          </w:p>
        </w:tc>
        <w:tc>
          <w:tcPr>
            <w:tcW w:w="1611" w:type="dxa"/>
            <w:tcBorders>
              <w:top w:val="single" w:sz="4" w:space="0" w:color="auto"/>
              <w:left w:val="single" w:sz="4" w:space="0" w:color="auto"/>
              <w:bottom w:val="single" w:sz="4" w:space="0" w:color="auto"/>
              <w:right w:val="single" w:sz="4" w:space="0" w:color="auto"/>
            </w:tcBorders>
            <w:vAlign w:val="center"/>
          </w:tcPr>
          <w:p w:rsidR="001C68DD" w:rsidRPr="00EE5F1D" w:rsidRDefault="001C68DD" w:rsidP="00B74E3F">
            <w:pPr>
              <w:snapToGrid w:val="0"/>
              <w:jc w:val="center"/>
              <w:rPr>
                <w:rFonts w:ascii="宋体" w:hAnsi="宋体"/>
                <w:szCs w:val="21"/>
              </w:rPr>
            </w:pPr>
            <w:r w:rsidRPr="00EE5F1D">
              <w:rPr>
                <w:rFonts w:ascii="宋体" w:hAnsi="宋体" w:hint="eastAsia"/>
                <w:szCs w:val="21"/>
              </w:rPr>
              <w:t>持有限售股数量（单位：股）</w:t>
            </w:r>
          </w:p>
        </w:tc>
        <w:tc>
          <w:tcPr>
            <w:tcW w:w="1366" w:type="dxa"/>
            <w:tcBorders>
              <w:top w:val="single" w:sz="4" w:space="0" w:color="auto"/>
              <w:left w:val="single" w:sz="4" w:space="0" w:color="auto"/>
              <w:bottom w:val="single" w:sz="4" w:space="0" w:color="auto"/>
              <w:right w:val="single" w:sz="4" w:space="0" w:color="auto"/>
            </w:tcBorders>
            <w:vAlign w:val="center"/>
          </w:tcPr>
          <w:p w:rsidR="001C68DD" w:rsidRPr="00EE5F1D" w:rsidRDefault="001C68DD" w:rsidP="00B74E3F">
            <w:pPr>
              <w:snapToGrid w:val="0"/>
              <w:jc w:val="center"/>
              <w:rPr>
                <w:rFonts w:ascii="宋体" w:hAnsi="宋体"/>
                <w:szCs w:val="21"/>
              </w:rPr>
            </w:pPr>
            <w:r w:rsidRPr="00EE5F1D">
              <w:rPr>
                <w:rFonts w:ascii="宋体" w:hAnsi="宋体" w:hint="eastAsia"/>
                <w:szCs w:val="21"/>
              </w:rPr>
              <w:t>持有限售股占公司总股本比例（%）</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C68DD" w:rsidRPr="00EE5F1D" w:rsidRDefault="001C68DD" w:rsidP="00B74E3F">
            <w:pPr>
              <w:snapToGrid w:val="0"/>
              <w:jc w:val="center"/>
              <w:rPr>
                <w:rFonts w:ascii="宋体" w:hAnsi="宋体"/>
                <w:szCs w:val="21"/>
              </w:rPr>
            </w:pPr>
            <w:r w:rsidRPr="00EE5F1D">
              <w:rPr>
                <w:rFonts w:ascii="宋体" w:hAnsi="宋体" w:hint="eastAsia"/>
                <w:szCs w:val="21"/>
              </w:rPr>
              <w:t>本次上市流通数量（单位：股）</w:t>
            </w:r>
          </w:p>
        </w:tc>
        <w:tc>
          <w:tcPr>
            <w:tcW w:w="138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C68DD" w:rsidRPr="00EE5F1D" w:rsidRDefault="001C68DD" w:rsidP="00B74E3F">
            <w:pPr>
              <w:snapToGrid w:val="0"/>
              <w:jc w:val="center"/>
              <w:rPr>
                <w:rFonts w:ascii="宋体" w:hAnsi="宋体"/>
                <w:szCs w:val="21"/>
              </w:rPr>
            </w:pPr>
            <w:r w:rsidRPr="00EE5F1D">
              <w:rPr>
                <w:rFonts w:ascii="宋体" w:hAnsi="宋体" w:hint="eastAsia"/>
                <w:szCs w:val="21"/>
              </w:rPr>
              <w:t>剩余限售股数量（单位：股）</w:t>
            </w:r>
          </w:p>
        </w:tc>
      </w:tr>
      <w:tr w:rsidR="00154026" w:rsidRPr="00EE5F1D" w:rsidTr="00B74E3F">
        <w:tc>
          <w:tcPr>
            <w:tcW w:w="709" w:type="dxa"/>
            <w:tcBorders>
              <w:top w:val="single" w:sz="4" w:space="0" w:color="auto"/>
              <w:left w:val="single" w:sz="4" w:space="0" w:color="auto"/>
              <w:bottom w:val="single" w:sz="4" w:space="0" w:color="auto"/>
              <w:right w:val="single" w:sz="4" w:space="0" w:color="auto"/>
            </w:tcBorders>
            <w:vAlign w:val="center"/>
          </w:tcPr>
          <w:p w:rsidR="00154026" w:rsidRPr="00EE5F1D" w:rsidRDefault="00154026" w:rsidP="00B74E3F">
            <w:pPr>
              <w:snapToGrid w:val="0"/>
              <w:jc w:val="center"/>
              <w:rPr>
                <w:rFonts w:ascii="宋体" w:hAnsi="宋体"/>
                <w:szCs w:val="21"/>
              </w:rPr>
            </w:pPr>
            <w:r w:rsidRPr="00EE5F1D">
              <w:rPr>
                <w:rFonts w:ascii="宋体" w:hAnsi="宋体" w:hint="eastAsia"/>
                <w:szCs w:val="21"/>
              </w:rPr>
              <w:t>1</w:t>
            </w:r>
          </w:p>
        </w:tc>
        <w:tc>
          <w:tcPr>
            <w:tcW w:w="1985" w:type="dxa"/>
            <w:tcBorders>
              <w:top w:val="single" w:sz="4" w:space="0" w:color="auto"/>
              <w:left w:val="single" w:sz="4" w:space="0" w:color="auto"/>
              <w:bottom w:val="single" w:sz="4" w:space="0" w:color="auto"/>
              <w:right w:val="single" w:sz="4" w:space="0" w:color="auto"/>
            </w:tcBorders>
            <w:vAlign w:val="center"/>
          </w:tcPr>
          <w:p w:rsidR="00154026" w:rsidRPr="00EE5F1D" w:rsidRDefault="00154026" w:rsidP="00B74E3F">
            <w:pPr>
              <w:snapToGrid w:val="0"/>
              <w:jc w:val="center"/>
              <w:rPr>
                <w:rFonts w:ascii="宋体" w:hAnsi="宋体"/>
                <w:szCs w:val="21"/>
              </w:rPr>
            </w:pPr>
            <w:r w:rsidRPr="00EE5F1D">
              <w:rPr>
                <w:rFonts w:ascii="宋体" w:hAnsi="宋体"/>
                <w:szCs w:val="21"/>
              </w:rPr>
              <w:t>毕红芬</w:t>
            </w:r>
          </w:p>
        </w:tc>
        <w:tc>
          <w:tcPr>
            <w:tcW w:w="1611" w:type="dxa"/>
            <w:tcBorders>
              <w:top w:val="single" w:sz="4" w:space="0" w:color="auto"/>
              <w:left w:val="single" w:sz="4" w:space="0" w:color="auto"/>
              <w:bottom w:val="single" w:sz="4" w:space="0" w:color="auto"/>
              <w:right w:val="single" w:sz="4" w:space="0" w:color="auto"/>
            </w:tcBorders>
            <w:vAlign w:val="center"/>
          </w:tcPr>
          <w:p w:rsidR="00154026" w:rsidRPr="00EE5F1D" w:rsidRDefault="00154026" w:rsidP="00B74E3F">
            <w:pPr>
              <w:snapToGrid w:val="0"/>
              <w:jc w:val="center"/>
              <w:rPr>
                <w:rFonts w:ascii="宋体" w:hAnsi="宋体"/>
                <w:szCs w:val="21"/>
              </w:rPr>
            </w:pPr>
            <w:r w:rsidRPr="00EE5F1D">
              <w:rPr>
                <w:rFonts w:ascii="宋体" w:hAnsi="宋体"/>
                <w:szCs w:val="21"/>
              </w:rPr>
              <w:t>10,163,437</w:t>
            </w:r>
          </w:p>
        </w:tc>
        <w:tc>
          <w:tcPr>
            <w:tcW w:w="1366" w:type="dxa"/>
            <w:tcBorders>
              <w:top w:val="single" w:sz="4" w:space="0" w:color="auto"/>
              <w:left w:val="single" w:sz="4" w:space="0" w:color="auto"/>
              <w:bottom w:val="single" w:sz="4" w:space="0" w:color="auto"/>
              <w:right w:val="single" w:sz="4" w:space="0" w:color="auto"/>
            </w:tcBorders>
            <w:vAlign w:val="center"/>
          </w:tcPr>
          <w:p w:rsidR="00154026" w:rsidRPr="00EE5F1D" w:rsidRDefault="000316E0" w:rsidP="00B74E3F">
            <w:pPr>
              <w:snapToGrid w:val="0"/>
              <w:jc w:val="center"/>
              <w:rPr>
                <w:rFonts w:ascii="宋体" w:hAnsi="宋体"/>
                <w:szCs w:val="21"/>
              </w:rPr>
            </w:pPr>
            <w:r w:rsidRPr="00EE5F1D">
              <w:rPr>
                <w:rFonts w:ascii="宋体" w:hAnsi="宋体" w:hint="eastAsia"/>
                <w:szCs w:val="21"/>
              </w:rPr>
              <w:t>1.41</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54026" w:rsidRPr="00EE5F1D" w:rsidRDefault="00182D03" w:rsidP="0002659D">
            <w:pPr>
              <w:snapToGrid w:val="0"/>
              <w:jc w:val="center"/>
              <w:rPr>
                <w:rFonts w:ascii="宋体" w:hAnsi="宋体"/>
                <w:szCs w:val="21"/>
              </w:rPr>
            </w:pPr>
            <w:r w:rsidRPr="00EE5F1D">
              <w:rPr>
                <w:rFonts w:ascii="宋体" w:hAnsi="宋体" w:hint="eastAsia"/>
                <w:szCs w:val="21"/>
              </w:rPr>
              <w:t>4,8</w:t>
            </w:r>
            <w:r w:rsidR="0002659D">
              <w:rPr>
                <w:rFonts w:ascii="宋体" w:hAnsi="宋体" w:hint="eastAsia"/>
                <w:szCs w:val="21"/>
              </w:rPr>
              <w:t>1</w:t>
            </w:r>
            <w:r w:rsidRPr="00EE5F1D">
              <w:rPr>
                <w:rFonts w:ascii="宋体" w:hAnsi="宋体" w:hint="eastAsia"/>
                <w:szCs w:val="21"/>
              </w:rPr>
              <w:t>6,449</w:t>
            </w:r>
          </w:p>
        </w:tc>
        <w:tc>
          <w:tcPr>
            <w:tcW w:w="138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54026" w:rsidRPr="00EE5F1D" w:rsidRDefault="00476E22" w:rsidP="00B74E3F">
            <w:pPr>
              <w:snapToGrid w:val="0"/>
              <w:jc w:val="center"/>
              <w:rPr>
                <w:rFonts w:ascii="宋体" w:hAnsi="宋体"/>
                <w:szCs w:val="21"/>
              </w:rPr>
            </w:pPr>
            <w:r>
              <w:rPr>
                <w:rFonts w:ascii="宋体" w:hAnsi="宋体" w:hint="eastAsia"/>
                <w:szCs w:val="21"/>
              </w:rPr>
              <w:t>5,346,988</w:t>
            </w:r>
          </w:p>
        </w:tc>
      </w:tr>
      <w:tr w:rsidR="00154026" w:rsidRPr="00EE5F1D" w:rsidTr="00B74E3F">
        <w:tc>
          <w:tcPr>
            <w:tcW w:w="709" w:type="dxa"/>
            <w:tcBorders>
              <w:top w:val="single" w:sz="4" w:space="0" w:color="auto"/>
              <w:left w:val="single" w:sz="4" w:space="0" w:color="auto"/>
              <w:bottom w:val="single" w:sz="4" w:space="0" w:color="auto"/>
              <w:right w:val="single" w:sz="4" w:space="0" w:color="auto"/>
            </w:tcBorders>
            <w:vAlign w:val="center"/>
          </w:tcPr>
          <w:p w:rsidR="00154026" w:rsidRPr="00EE5F1D" w:rsidRDefault="00154026" w:rsidP="00B74E3F">
            <w:pPr>
              <w:snapToGrid w:val="0"/>
              <w:jc w:val="center"/>
              <w:rPr>
                <w:rFonts w:ascii="宋体" w:hAnsi="宋体"/>
                <w:szCs w:val="21"/>
              </w:rPr>
            </w:pPr>
            <w:r w:rsidRPr="00EE5F1D">
              <w:rPr>
                <w:rFonts w:ascii="宋体" w:hAnsi="宋体" w:hint="eastAsia"/>
                <w:szCs w:val="21"/>
              </w:rPr>
              <w:t>2</w:t>
            </w:r>
          </w:p>
        </w:tc>
        <w:tc>
          <w:tcPr>
            <w:tcW w:w="1985" w:type="dxa"/>
            <w:tcBorders>
              <w:top w:val="single" w:sz="4" w:space="0" w:color="auto"/>
              <w:left w:val="single" w:sz="4" w:space="0" w:color="auto"/>
              <w:bottom w:val="single" w:sz="4" w:space="0" w:color="auto"/>
              <w:right w:val="single" w:sz="4" w:space="0" w:color="auto"/>
            </w:tcBorders>
            <w:vAlign w:val="center"/>
          </w:tcPr>
          <w:p w:rsidR="00154026" w:rsidRPr="00EE5F1D" w:rsidRDefault="00154026" w:rsidP="00B74E3F">
            <w:pPr>
              <w:snapToGrid w:val="0"/>
              <w:jc w:val="center"/>
              <w:rPr>
                <w:rFonts w:ascii="宋体" w:hAnsi="宋体"/>
                <w:szCs w:val="21"/>
              </w:rPr>
            </w:pPr>
            <w:r w:rsidRPr="00EE5F1D">
              <w:rPr>
                <w:rFonts w:ascii="宋体" w:hAnsi="宋体"/>
                <w:szCs w:val="21"/>
              </w:rPr>
              <w:t>毕永星</w:t>
            </w:r>
          </w:p>
        </w:tc>
        <w:tc>
          <w:tcPr>
            <w:tcW w:w="1611" w:type="dxa"/>
            <w:tcBorders>
              <w:top w:val="single" w:sz="4" w:space="0" w:color="auto"/>
              <w:left w:val="single" w:sz="4" w:space="0" w:color="auto"/>
              <w:bottom w:val="single" w:sz="4" w:space="0" w:color="auto"/>
              <w:right w:val="single" w:sz="4" w:space="0" w:color="auto"/>
            </w:tcBorders>
            <w:vAlign w:val="center"/>
          </w:tcPr>
          <w:p w:rsidR="00154026" w:rsidRPr="00EE5F1D" w:rsidRDefault="00154026" w:rsidP="00B74E3F">
            <w:pPr>
              <w:snapToGrid w:val="0"/>
              <w:jc w:val="center"/>
              <w:rPr>
                <w:rFonts w:ascii="宋体" w:hAnsi="宋体"/>
                <w:szCs w:val="21"/>
              </w:rPr>
            </w:pPr>
            <w:r w:rsidRPr="00EE5F1D">
              <w:rPr>
                <w:rFonts w:ascii="宋体" w:hAnsi="宋体"/>
                <w:szCs w:val="21"/>
              </w:rPr>
              <w:t>1,257,384</w:t>
            </w:r>
          </w:p>
        </w:tc>
        <w:tc>
          <w:tcPr>
            <w:tcW w:w="1366" w:type="dxa"/>
            <w:tcBorders>
              <w:top w:val="single" w:sz="4" w:space="0" w:color="auto"/>
              <w:left w:val="single" w:sz="4" w:space="0" w:color="auto"/>
              <w:bottom w:val="single" w:sz="4" w:space="0" w:color="auto"/>
              <w:right w:val="single" w:sz="4" w:space="0" w:color="auto"/>
            </w:tcBorders>
            <w:vAlign w:val="center"/>
          </w:tcPr>
          <w:p w:rsidR="00154026" w:rsidRPr="00EE5F1D" w:rsidRDefault="000316E0" w:rsidP="00B74E3F">
            <w:pPr>
              <w:snapToGrid w:val="0"/>
              <w:jc w:val="center"/>
              <w:rPr>
                <w:rFonts w:ascii="宋体" w:hAnsi="宋体"/>
                <w:szCs w:val="21"/>
              </w:rPr>
            </w:pPr>
            <w:r w:rsidRPr="00EE5F1D">
              <w:rPr>
                <w:rFonts w:ascii="宋体" w:hAnsi="宋体" w:hint="eastAsia"/>
                <w:szCs w:val="21"/>
              </w:rPr>
              <w:t>0.17</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54026" w:rsidRPr="00EE5F1D" w:rsidRDefault="00182D03" w:rsidP="00B74E3F">
            <w:pPr>
              <w:snapToGrid w:val="0"/>
              <w:jc w:val="center"/>
              <w:rPr>
                <w:rFonts w:ascii="宋体" w:hAnsi="宋体"/>
                <w:szCs w:val="21"/>
              </w:rPr>
            </w:pPr>
            <w:r w:rsidRPr="00EE5F1D">
              <w:rPr>
                <w:rFonts w:ascii="宋体" w:hAnsi="宋体" w:hint="eastAsia"/>
                <w:szCs w:val="21"/>
              </w:rPr>
              <w:t>595,874</w:t>
            </w:r>
          </w:p>
        </w:tc>
        <w:tc>
          <w:tcPr>
            <w:tcW w:w="138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54026" w:rsidRPr="00EE5F1D" w:rsidRDefault="00182D03" w:rsidP="00B74E3F">
            <w:pPr>
              <w:snapToGrid w:val="0"/>
              <w:jc w:val="center"/>
              <w:rPr>
                <w:rFonts w:ascii="宋体" w:hAnsi="宋体"/>
                <w:szCs w:val="21"/>
              </w:rPr>
            </w:pPr>
            <w:r w:rsidRPr="00EE5F1D">
              <w:rPr>
                <w:rFonts w:ascii="宋体" w:hAnsi="宋体" w:hint="eastAsia"/>
                <w:szCs w:val="21"/>
              </w:rPr>
              <w:t>661,510</w:t>
            </w:r>
          </w:p>
        </w:tc>
      </w:tr>
      <w:tr w:rsidR="00154026" w:rsidRPr="00EE5F1D" w:rsidTr="00B74E3F">
        <w:tc>
          <w:tcPr>
            <w:tcW w:w="709" w:type="dxa"/>
            <w:tcBorders>
              <w:top w:val="single" w:sz="4" w:space="0" w:color="auto"/>
              <w:left w:val="single" w:sz="4" w:space="0" w:color="auto"/>
              <w:bottom w:val="single" w:sz="4" w:space="0" w:color="auto"/>
              <w:right w:val="single" w:sz="4" w:space="0" w:color="auto"/>
            </w:tcBorders>
            <w:vAlign w:val="center"/>
          </w:tcPr>
          <w:p w:rsidR="00154026" w:rsidRPr="00EE5F1D" w:rsidRDefault="00154026" w:rsidP="00B74E3F">
            <w:pPr>
              <w:snapToGrid w:val="0"/>
              <w:jc w:val="center"/>
              <w:rPr>
                <w:rFonts w:ascii="宋体" w:hAnsi="宋体"/>
                <w:szCs w:val="21"/>
              </w:rPr>
            </w:pPr>
            <w:r w:rsidRPr="00EE5F1D">
              <w:rPr>
                <w:rFonts w:ascii="宋体" w:hAnsi="宋体" w:hint="eastAsia"/>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rsidR="00154026" w:rsidRPr="00EE5F1D" w:rsidRDefault="00154026" w:rsidP="00B74E3F">
            <w:pPr>
              <w:snapToGrid w:val="0"/>
              <w:jc w:val="center"/>
              <w:rPr>
                <w:rFonts w:ascii="宋体" w:hAnsi="宋体"/>
                <w:szCs w:val="21"/>
              </w:rPr>
            </w:pPr>
            <w:r w:rsidRPr="00EE5F1D">
              <w:rPr>
                <w:rFonts w:ascii="宋体" w:hAnsi="宋体"/>
                <w:szCs w:val="21"/>
              </w:rPr>
              <w:t>潘培华</w:t>
            </w:r>
          </w:p>
        </w:tc>
        <w:tc>
          <w:tcPr>
            <w:tcW w:w="1611" w:type="dxa"/>
            <w:tcBorders>
              <w:top w:val="single" w:sz="4" w:space="0" w:color="auto"/>
              <w:left w:val="single" w:sz="4" w:space="0" w:color="auto"/>
              <w:bottom w:val="single" w:sz="4" w:space="0" w:color="auto"/>
              <w:right w:val="single" w:sz="4" w:space="0" w:color="auto"/>
            </w:tcBorders>
            <w:vAlign w:val="center"/>
          </w:tcPr>
          <w:p w:rsidR="00154026" w:rsidRPr="00EE5F1D" w:rsidRDefault="00154026" w:rsidP="00B74E3F">
            <w:pPr>
              <w:snapToGrid w:val="0"/>
              <w:jc w:val="center"/>
              <w:rPr>
                <w:rFonts w:ascii="宋体" w:hAnsi="宋体"/>
                <w:szCs w:val="21"/>
              </w:rPr>
            </w:pPr>
            <w:r w:rsidRPr="00EE5F1D">
              <w:rPr>
                <w:rFonts w:ascii="宋体" w:hAnsi="宋体"/>
                <w:szCs w:val="21"/>
              </w:rPr>
              <w:t>1,153,022</w:t>
            </w:r>
          </w:p>
        </w:tc>
        <w:tc>
          <w:tcPr>
            <w:tcW w:w="1366" w:type="dxa"/>
            <w:tcBorders>
              <w:top w:val="single" w:sz="4" w:space="0" w:color="auto"/>
              <w:left w:val="single" w:sz="4" w:space="0" w:color="auto"/>
              <w:bottom w:val="single" w:sz="4" w:space="0" w:color="auto"/>
              <w:right w:val="single" w:sz="4" w:space="0" w:color="auto"/>
            </w:tcBorders>
            <w:vAlign w:val="center"/>
          </w:tcPr>
          <w:p w:rsidR="00154026" w:rsidRPr="00EE5F1D" w:rsidRDefault="000316E0" w:rsidP="00B74E3F">
            <w:pPr>
              <w:snapToGrid w:val="0"/>
              <w:jc w:val="center"/>
              <w:rPr>
                <w:rFonts w:ascii="宋体" w:hAnsi="宋体"/>
                <w:szCs w:val="21"/>
              </w:rPr>
            </w:pPr>
            <w:r w:rsidRPr="00EE5F1D">
              <w:rPr>
                <w:rFonts w:ascii="宋体" w:hAnsi="宋体" w:hint="eastAsia"/>
                <w:szCs w:val="21"/>
              </w:rPr>
              <w:t>0.16</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54026" w:rsidRPr="00EE5F1D" w:rsidRDefault="00182D03" w:rsidP="00B74E3F">
            <w:pPr>
              <w:snapToGrid w:val="0"/>
              <w:jc w:val="center"/>
              <w:rPr>
                <w:rFonts w:ascii="宋体" w:hAnsi="宋体"/>
                <w:szCs w:val="21"/>
              </w:rPr>
            </w:pPr>
            <w:r w:rsidRPr="00EE5F1D">
              <w:rPr>
                <w:rFonts w:ascii="宋体" w:hAnsi="宋体" w:hint="eastAsia"/>
                <w:szCs w:val="21"/>
              </w:rPr>
              <w:t>546,417</w:t>
            </w:r>
          </w:p>
        </w:tc>
        <w:tc>
          <w:tcPr>
            <w:tcW w:w="138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54026" w:rsidRPr="00EE5F1D" w:rsidRDefault="00182D03" w:rsidP="00B74E3F">
            <w:pPr>
              <w:snapToGrid w:val="0"/>
              <w:jc w:val="center"/>
              <w:rPr>
                <w:rFonts w:ascii="宋体" w:hAnsi="宋体"/>
                <w:szCs w:val="21"/>
              </w:rPr>
            </w:pPr>
            <w:r w:rsidRPr="00EE5F1D">
              <w:rPr>
                <w:rFonts w:ascii="宋体" w:hAnsi="宋体" w:hint="eastAsia"/>
                <w:szCs w:val="21"/>
              </w:rPr>
              <w:t>606,605</w:t>
            </w:r>
          </w:p>
        </w:tc>
      </w:tr>
      <w:tr w:rsidR="00154026" w:rsidRPr="00EE5F1D" w:rsidTr="00B74E3F">
        <w:tc>
          <w:tcPr>
            <w:tcW w:w="2694" w:type="dxa"/>
            <w:gridSpan w:val="2"/>
            <w:tcBorders>
              <w:top w:val="single" w:sz="4" w:space="0" w:color="auto"/>
              <w:left w:val="single" w:sz="4" w:space="0" w:color="auto"/>
              <w:bottom w:val="single" w:sz="4" w:space="0" w:color="auto"/>
              <w:right w:val="single" w:sz="4" w:space="0" w:color="auto"/>
            </w:tcBorders>
            <w:vAlign w:val="center"/>
          </w:tcPr>
          <w:p w:rsidR="00154026" w:rsidRPr="00EE5F1D" w:rsidRDefault="00154026" w:rsidP="00B74E3F">
            <w:pPr>
              <w:snapToGrid w:val="0"/>
              <w:jc w:val="center"/>
              <w:rPr>
                <w:rFonts w:ascii="宋体" w:hAnsi="宋体"/>
                <w:szCs w:val="21"/>
              </w:rPr>
            </w:pPr>
            <w:r w:rsidRPr="00EE5F1D">
              <w:rPr>
                <w:rFonts w:ascii="宋体" w:hAnsi="宋体" w:hint="eastAsia"/>
                <w:szCs w:val="21"/>
              </w:rPr>
              <w:t>合计</w:t>
            </w:r>
          </w:p>
        </w:tc>
        <w:tc>
          <w:tcPr>
            <w:tcW w:w="16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54026" w:rsidRPr="00EE5F1D" w:rsidRDefault="00154026" w:rsidP="00B74E3F">
            <w:pPr>
              <w:snapToGrid w:val="0"/>
              <w:ind w:firstLineChars="50" w:firstLine="105"/>
              <w:jc w:val="center"/>
              <w:rPr>
                <w:rFonts w:ascii="宋体" w:hAnsi="宋体"/>
                <w:szCs w:val="21"/>
              </w:rPr>
            </w:pPr>
            <w:r w:rsidRPr="00EE5F1D">
              <w:rPr>
                <w:rFonts w:ascii="宋体" w:hAnsi="宋体"/>
                <w:szCs w:val="21"/>
              </w:rPr>
              <w:t>12,573,843</w:t>
            </w:r>
          </w:p>
        </w:tc>
        <w:tc>
          <w:tcPr>
            <w:tcW w:w="136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54026" w:rsidRPr="00EE5F1D" w:rsidRDefault="000316E0" w:rsidP="00B74E3F">
            <w:pPr>
              <w:snapToGrid w:val="0"/>
              <w:jc w:val="center"/>
              <w:rPr>
                <w:rFonts w:ascii="宋体" w:hAnsi="宋体"/>
                <w:szCs w:val="21"/>
              </w:rPr>
            </w:pPr>
            <w:r w:rsidRPr="00EE5F1D">
              <w:rPr>
                <w:rFonts w:ascii="宋体" w:hAnsi="宋体" w:hint="eastAsia"/>
                <w:szCs w:val="21"/>
              </w:rPr>
              <w:t>1.74</w:t>
            </w:r>
          </w:p>
        </w:tc>
        <w:tc>
          <w:tcPr>
            <w:tcW w:w="1417" w:type="dxa"/>
            <w:tcBorders>
              <w:top w:val="single" w:sz="4" w:space="0" w:color="auto"/>
              <w:left w:val="single" w:sz="4" w:space="0" w:color="auto"/>
              <w:bottom w:val="single" w:sz="4" w:space="0" w:color="auto"/>
              <w:right w:val="single" w:sz="4" w:space="0" w:color="auto"/>
            </w:tcBorders>
            <w:vAlign w:val="center"/>
          </w:tcPr>
          <w:p w:rsidR="00154026" w:rsidRPr="00EE5F1D" w:rsidRDefault="00476E22" w:rsidP="00B74E3F">
            <w:pPr>
              <w:snapToGrid w:val="0"/>
              <w:jc w:val="center"/>
              <w:rPr>
                <w:rFonts w:ascii="宋体" w:hAnsi="宋体"/>
                <w:szCs w:val="21"/>
              </w:rPr>
            </w:pPr>
            <w:r w:rsidRPr="00476E22">
              <w:rPr>
                <w:rFonts w:ascii="宋体" w:hAnsi="宋体"/>
                <w:szCs w:val="21"/>
              </w:rPr>
              <w:t>5,958,740</w:t>
            </w:r>
          </w:p>
        </w:tc>
        <w:tc>
          <w:tcPr>
            <w:tcW w:w="138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54026" w:rsidRPr="00EE5F1D" w:rsidRDefault="00182D03" w:rsidP="00476E22">
            <w:pPr>
              <w:snapToGrid w:val="0"/>
              <w:jc w:val="center"/>
              <w:rPr>
                <w:rFonts w:ascii="宋体" w:hAnsi="宋体"/>
                <w:szCs w:val="21"/>
              </w:rPr>
            </w:pPr>
            <w:r w:rsidRPr="00EE5F1D">
              <w:rPr>
                <w:rFonts w:ascii="宋体" w:hAnsi="宋体" w:hint="eastAsia"/>
                <w:szCs w:val="21"/>
              </w:rPr>
              <w:t>6,</w:t>
            </w:r>
            <w:r w:rsidR="00476E22">
              <w:rPr>
                <w:rFonts w:ascii="宋体" w:hAnsi="宋体" w:hint="eastAsia"/>
                <w:szCs w:val="21"/>
              </w:rPr>
              <w:t>615</w:t>
            </w:r>
            <w:r w:rsidRPr="00EE5F1D">
              <w:rPr>
                <w:rFonts w:ascii="宋体" w:hAnsi="宋体" w:hint="eastAsia"/>
                <w:szCs w:val="21"/>
              </w:rPr>
              <w:t>,103</w:t>
            </w:r>
          </w:p>
        </w:tc>
      </w:tr>
    </w:tbl>
    <w:p w:rsidR="001C68DD" w:rsidRPr="00EE5F1D" w:rsidRDefault="001C68DD" w:rsidP="001C68DD">
      <w:pPr>
        <w:snapToGrid w:val="0"/>
        <w:ind w:firstLineChars="250" w:firstLine="525"/>
        <w:jc w:val="left"/>
        <w:rPr>
          <w:rFonts w:ascii="宋体" w:hAnsi="宋体"/>
          <w:szCs w:val="21"/>
        </w:rPr>
      </w:pPr>
    </w:p>
    <w:p w:rsidR="001C68DD" w:rsidRPr="00EE5F1D" w:rsidRDefault="001C68DD" w:rsidP="001C68DD">
      <w:pPr>
        <w:adjustRightInd w:val="0"/>
        <w:snapToGrid w:val="0"/>
        <w:spacing w:line="360" w:lineRule="auto"/>
        <w:ind w:firstLine="495"/>
        <w:rPr>
          <w:rFonts w:ascii="宋体" w:hAnsi="宋体"/>
          <w:b/>
          <w:sz w:val="24"/>
        </w:rPr>
      </w:pPr>
      <w:r w:rsidRPr="00EE5F1D">
        <w:rPr>
          <w:rFonts w:ascii="宋体" w:hAnsi="宋体" w:hint="eastAsia"/>
          <w:b/>
          <w:sz w:val="24"/>
        </w:rPr>
        <w:t>七、股本变动结构表</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90"/>
        <w:gridCol w:w="1985"/>
        <w:gridCol w:w="1843"/>
        <w:gridCol w:w="1701"/>
      </w:tblGrid>
      <w:tr w:rsidR="001C68DD" w:rsidRPr="00EE5F1D" w:rsidTr="00B74E3F">
        <w:trPr>
          <w:trHeight w:val="255"/>
        </w:trPr>
        <w:tc>
          <w:tcPr>
            <w:tcW w:w="2990" w:type="dxa"/>
            <w:noWrap/>
            <w:tcMar>
              <w:top w:w="13" w:type="dxa"/>
              <w:left w:w="13" w:type="dxa"/>
              <w:bottom w:w="0" w:type="dxa"/>
              <w:right w:w="13" w:type="dxa"/>
            </w:tcMar>
            <w:vAlign w:val="center"/>
          </w:tcPr>
          <w:p w:rsidR="001C68DD" w:rsidRPr="00EE5F1D" w:rsidRDefault="001C68DD" w:rsidP="00B74E3F">
            <w:pPr>
              <w:snapToGrid w:val="0"/>
              <w:spacing w:line="276" w:lineRule="auto"/>
              <w:jc w:val="center"/>
              <w:rPr>
                <w:rFonts w:ascii="宋体" w:hAnsi="宋体"/>
                <w:szCs w:val="21"/>
              </w:rPr>
            </w:pPr>
            <w:r w:rsidRPr="00EE5F1D">
              <w:rPr>
                <w:rFonts w:ascii="宋体" w:hAnsi="宋体" w:hint="eastAsia"/>
                <w:szCs w:val="21"/>
              </w:rPr>
              <w:t>单位：股</w:t>
            </w:r>
          </w:p>
        </w:tc>
        <w:tc>
          <w:tcPr>
            <w:tcW w:w="1985" w:type="dxa"/>
            <w:noWrap/>
            <w:tcMar>
              <w:top w:w="13" w:type="dxa"/>
              <w:left w:w="13" w:type="dxa"/>
              <w:bottom w:w="0" w:type="dxa"/>
              <w:right w:w="13" w:type="dxa"/>
            </w:tcMar>
            <w:vAlign w:val="center"/>
          </w:tcPr>
          <w:p w:rsidR="001C68DD" w:rsidRPr="00EE5F1D" w:rsidRDefault="001C68DD" w:rsidP="00B74E3F">
            <w:pPr>
              <w:snapToGrid w:val="0"/>
              <w:spacing w:line="276" w:lineRule="auto"/>
              <w:jc w:val="center"/>
              <w:rPr>
                <w:rFonts w:ascii="宋体" w:hAnsi="宋体"/>
                <w:szCs w:val="21"/>
              </w:rPr>
            </w:pPr>
            <w:r w:rsidRPr="00EE5F1D">
              <w:rPr>
                <w:rFonts w:ascii="宋体" w:hAnsi="宋体" w:hint="eastAsia"/>
                <w:szCs w:val="21"/>
              </w:rPr>
              <w:t>本次上市前</w:t>
            </w:r>
          </w:p>
        </w:tc>
        <w:tc>
          <w:tcPr>
            <w:tcW w:w="1843" w:type="dxa"/>
            <w:noWrap/>
            <w:tcMar>
              <w:top w:w="13" w:type="dxa"/>
              <w:left w:w="13" w:type="dxa"/>
              <w:bottom w:w="0" w:type="dxa"/>
              <w:right w:w="13" w:type="dxa"/>
            </w:tcMar>
            <w:vAlign w:val="center"/>
          </w:tcPr>
          <w:p w:rsidR="001C68DD" w:rsidRPr="00EE5F1D" w:rsidRDefault="001C68DD" w:rsidP="00B74E3F">
            <w:pPr>
              <w:snapToGrid w:val="0"/>
              <w:spacing w:line="276" w:lineRule="auto"/>
              <w:jc w:val="center"/>
              <w:rPr>
                <w:rFonts w:ascii="宋体" w:hAnsi="宋体"/>
                <w:szCs w:val="21"/>
              </w:rPr>
            </w:pPr>
            <w:r w:rsidRPr="00EE5F1D">
              <w:rPr>
                <w:rFonts w:ascii="宋体" w:hAnsi="宋体" w:hint="eastAsia"/>
                <w:szCs w:val="21"/>
              </w:rPr>
              <w:t>变动数</w:t>
            </w:r>
          </w:p>
        </w:tc>
        <w:tc>
          <w:tcPr>
            <w:tcW w:w="1701" w:type="dxa"/>
            <w:noWrap/>
            <w:tcMar>
              <w:top w:w="13" w:type="dxa"/>
              <w:left w:w="13" w:type="dxa"/>
              <w:bottom w:w="0" w:type="dxa"/>
              <w:right w:w="13" w:type="dxa"/>
            </w:tcMar>
            <w:vAlign w:val="center"/>
          </w:tcPr>
          <w:p w:rsidR="001C68DD" w:rsidRPr="00EE5F1D" w:rsidRDefault="001C68DD" w:rsidP="00B74E3F">
            <w:pPr>
              <w:snapToGrid w:val="0"/>
              <w:spacing w:line="276" w:lineRule="auto"/>
              <w:jc w:val="center"/>
              <w:rPr>
                <w:rFonts w:ascii="宋体" w:hAnsi="宋体"/>
                <w:szCs w:val="21"/>
              </w:rPr>
            </w:pPr>
            <w:r w:rsidRPr="00EE5F1D">
              <w:rPr>
                <w:rFonts w:ascii="宋体" w:hAnsi="宋体" w:hint="eastAsia"/>
                <w:szCs w:val="21"/>
              </w:rPr>
              <w:t>本次上市后</w:t>
            </w:r>
          </w:p>
        </w:tc>
      </w:tr>
      <w:tr w:rsidR="001C68DD" w:rsidRPr="00EE5F1D" w:rsidTr="00B74E3F">
        <w:trPr>
          <w:cantSplit/>
          <w:trHeight w:val="255"/>
        </w:trPr>
        <w:tc>
          <w:tcPr>
            <w:tcW w:w="2990" w:type="dxa"/>
            <w:vAlign w:val="center"/>
          </w:tcPr>
          <w:p w:rsidR="001C68DD" w:rsidRPr="00EE5F1D" w:rsidRDefault="001C68DD" w:rsidP="00B74E3F">
            <w:pPr>
              <w:snapToGrid w:val="0"/>
              <w:spacing w:line="276" w:lineRule="auto"/>
              <w:ind w:left="10" w:hangingChars="5" w:hanging="10"/>
              <w:jc w:val="center"/>
              <w:rPr>
                <w:rFonts w:ascii="宋体" w:hAnsi="宋体"/>
                <w:szCs w:val="21"/>
              </w:rPr>
            </w:pPr>
            <w:r w:rsidRPr="00EE5F1D">
              <w:rPr>
                <w:rFonts w:ascii="宋体" w:hAnsi="宋体" w:hint="eastAsia"/>
                <w:szCs w:val="21"/>
              </w:rPr>
              <w:t>有限</w:t>
            </w:r>
            <w:proofErr w:type="gramStart"/>
            <w:r w:rsidRPr="00EE5F1D">
              <w:rPr>
                <w:rFonts w:ascii="宋体" w:hAnsi="宋体" w:hint="eastAsia"/>
                <w:szCs w:val="21"/>
              </w:rPr>
              <w:t>售条件</w:t>
            </w:r>
            <w:proofErr w:type="gramEnd"/>
            <w:r w:rsidRPr="00EE5F1D">
              <w:rPr>
                <w:rFonts w:ascii="宋体" w:hAnsi="宋体" w:hint="eastAsia"/>
                <w:szCs w:val="21"/>
              </w:rPr>
              <w:t>的流通股份</w:t>
            </w:r>
          </w:p>
        </w:tc>
        <w:tc>
          <w:tcPr>
            <w:tcW w:w="1985" w:type="dxa"/>
            <w:noWrap/>
            <w:tcMar>
              <w:top w:w="13" w:type="dxa"/>
              <w:left w:w="13" w:type="dxa"/>
              <w:bottom w:w="0" w:type="dxa"/>
              <w:right w:w="13" w:type="dxa"/>
            </w:tcMar>
            <w:vAlign w:val="center"/>
          </w:tcPr>
          <w:p w:rsidR="001C68DD" w:rsidRPr="00EE5F1D" w:rsidRDefault="00182D03" w:rsidP="00B74E3F">
            <w:pPr>
              <w:snapToGrid w:val="0"/>
              <w:spacing w:line="276" w:lineRule="auto"/>
              <w:jc w:val="center"/>
              <w:rPr>
                <w:rFonts w:ascii="宋体" w:hAnsi="宋体"/>
                <w:szCs w:val="21"/>
              </w:rPr>
            </w:pPr>
            <w:r w:rsidRPr="00EE5F1D">
              <w:rPr>
                <w:rFonts w:ascii="宋体" w:hAnsi="宋体"/>
                <w:szCs w:val="21"/>
              </w:rPr>
              <w:t>12,573,843</w:t>
            </w:r>
          </w:p>
        </w:tc>
        <w:tc>
          <w:tcPr>
            <w:tcW w:w="1843" w:type="dxa"/>
            <w:noWrap/>
            <w:tcMar>
              <w:top w:w="13" w:type="dxa"/>
              <w:left w:w="13" w:type="dxa"/>
              <w:bottom w:w="0" w:type="dxa"/>
              <w:right w:w="13" w:type="dxa"/>
            </w:tcMar>
            <w:vAlign w:val="center"/>
          </w:tcPr>
          <w:p w:rsidR="001C68DD" w:rsidRPr="00EE5F1D" w:rsidRDefault="00182D03" w:rsidP="00B74E3F">
            <w:pPr>
              <w:snapToGrid w:val="0"/>
              <w:spacing w:line="276" w:lineRule="auto"/>
              <w:jc w:val="center"/>
              <w:rPr>
                <w:rFonts w:ascii="宋体" w:hAnsi="宋体"/>
                <w:szCs w:val="21"/>
              </w:rPr>
            </w:pPr>
            <w:r w:rsidRPr="00EE5F1D">
              <w:rPr>
                <w:rFonts w:ascii="宋体" w:hAnsi="宋体" w:hint="eastAsia"/>
                <w:szCs w:val="21"/>
              </w:rPr>
              <w:t>-</w:t>
            </w:r>
            <w:r w:rsidR="00DA7AE6" w:rsidRPr="00DA7AE6">
              <w:rPr>
                <w:rFonts w:ascii="宋体" w:hAnsi="宋体"/>
                <w:szCs w:val="21"/>
              </w:rPr>
              <w:t>5,958,740</w:t>
            </w:r>
          </w:p>
        </w:tc>
        <w:tc>
          <w:tcPr>
            <w:tcW w:w="1701" w:type="dxa"/>
            <w:noWrap/>
            <w:tcMar>
              <w:top w:w="13" w:type="dxa"/>
              <w:left w:w="13" w:type="dxa"/>
              <w:bottom w:w="0" w:type="dxa"/>
              <w:right w:w="13" w:type="dxa"/>
            </w:tcMar>
            <w:vAlign w:val="center"/>
          </w:tcPr>
          <w:p w:rsidR="001C68DD" w:rsidRPr="00EE5F1D" w:rsidRDefault="00DA7AE6" w:rsidP="00B74E3F">
            <w:pPr>
              <w:snapToGrid w:val="0"/>
              <w:spacing w:line="276" w:lineRule="auto"/>
              <w:jc w:val="center"/>
              <w:rPr>
                <w:rFonts w:ascii="宋体" w:hAnsi="宋体"/>
                <w:szCs w:val="21"/>
              </w:rPr>
            </w:pPr>
            <w:r w:rsidRPr="00DA7AE6">
              <w:rPr>
                <w:rFonts w:ascii="宋体" w:hAnsi="宋体"/>
                <w:szCs w:val="21"/>
              </w:rPr>
              <w:t>6,615,103</w:t>
            </w:r>
          </w:p>
        </w:tc>
      </w:tr>
      <w:tr w:rsidR="001C68DD" w:rsidRPr="00EE5F1D" w:rsidTr="00B74E3F">
        <w:trPr>
          <w:cantSplit/>
          <w:trHeight w:val="255"/>
        </w:trPr>
        <w:tc>
          <w:tcPr>
            <w:tcW w:w="2990" w:type="dxa"/>
            <w:tcMar>
              <w:top w:w="13" w:type="dxa"/>
              <w:left w:w="13" w:type="dxa"/>
              <w:bottom w:w="0" w:type="dxa"/>
              <w:right w:w="13" w:type="dxa"/>
            </w:tcMar>
            <w:vAlign w:val="center"/>
          </w:tcPr>
          <w:p w:rsidR="001C68DD" w:rsidRPr="00EE5F1D" w:rsidRDefault="001C68DD" w:rsidP="00B74E3F">
            <w:pPr>
              <w:snapToGrid w:val="0"/>
              <w:spacing w:line="276" w:lineRule="auto"/>
              <w:ind w:left="10" w:hangingChars="5" w:hanging="10"/>
              <w:jc w:val="center"/>
              <w:rPr>
                <w:rFonts w:ascii="宋体" w:hAnsi="宋体"/>
                <w:szCs w:val="21"/>
              </w:rPr>
            </w:pPr>
            <w:r w:rsidRPr="00EE5F1D">
              <w:rPr>
                <w:rFonts w:ascii="宋体" w:hAnsi="宋体" w:hint="eastAsia"/>
                <w:szCs w:val="21"/>
              </w:rPr>
              <w:t>无限</w:t>
            </w:r>
            <w:proofErr w:type="gramStart"/>
            <w:r w:rsidRPr="00EE5F1D">
              <w:rPr>
                <w:rFonts w:ascii="宋体" w:hAnsi="宋体" w:hint="eastAsia"/>
                <w:szCs w:val="21"/>
              </w:rPr>
              <w:t>售条件</w:t>
            </w:r>
            <w:proofErr w:type="gramEnd"/>
            <w:r w:rsidRPr="00EE5F1D">
              <w:rPr>
                <w:rFonts w:ascii="宋体" w:hAnsi="宋体" w:hint="eastAsia"/>
                <w:szCs w:val="21"/>
              </w:rPr>
              <w:t>的流通股份</w:t>
            </w:r>
          </w:p>
        </w:tc>
        <w:tc>
          <w:tcPr>
            <w:tcW w:w="1985" w:type="dxa"/>
            <w:noWrap/>
            <w:tcMar>
              <w:top w:w="13" w:type="dxa"/>
              <w:left w:w="13" w:type="dxa"/>
              <w:bottom w:w="0" w:type="dxa"/>
              <w:right w:w="13" w:type="dxa"/>
            </w:tcMar>
            <w:vAlign w:val="center"/>
          </w:tcPr>
          <w:p w:rsidR="001C68DD" w:rsidRPr="00EE5F1D" w:rsidRDefault="00182D03" w:rsidP="00B74E3F">
            <w:pPr>
              <w:snapToGrid w:val="0"/>
              <w:spacing w:line="276" w:lineRule="auto"/>
              <w:jc w:val="center"/>
              <w:rPr>
                <w:rFonts w:ascii="宋体" w:hAnsi="宋体"/>
                <w:szCs w:val="21"/>
              </w:rPr>
            </w:pPr>
            <w:r w:rsidRPr="00EE5F1D">
              <w:rPr>
                <w:rFonts w:ascii="宋体" w:hAnsi="宋体"/>
                <w:szCs w:val="21"/>
              </w:rPr>
              <w:t>709,318,115</w:t>
            </w:r>
          </w:p>
        </w:tc>
        <w:tc>
          <w:tcPr>
            <w:tcW w:w="1843" w:type="dxa"/>
            <w:noWrap/>
            <w:tcMar>
              <w:top w:w="13" w:type="dxa"/>
              <w:left w:w="13" w:type="dxa"/>
              <w:bottom w:w="0" w:type="dxa"/>
              <w:right w:w="13" w:type="dxa"/>
            </w:tcMar>
            <w:vAlign w:val="center"/>
          </w:tcPr>
          <w:p w:rsidR="001C68DD" w:rsidRPr="00EE5F1D" w:rsidRDefault="00182D03" w:rsidP="00B74E3F">
            <w:pPr>
              <w:snapToGrid w:val="0"/>
              <w:spacing w:line="276" w:lineRule="auto"/>
              <w:jc w:val="center"/>
              <w:rPr>
                <w:rFonts w:ascii="宋体" w:hAnsi="宋体"/>
                <w:szCs w:val="21"/>
              </w:rPr>
            </w:pPr>
            <w:r w:rsidRPr="00EE5F1D">
              <w:rPr>
                <w:rFonts w:ascii="宋体" w:hAnsi="宋体" w:hint="eastAsia"/>
                <w:szCs w:val="21"/>
              </w:rPr>
              <w:t>+</w:t>
            </w:r>
            <w:r w:rsidR="00DA7AE6" w:rsidRPr="00DA7AE6">
              <w:rPr>
                <w:rFonts w:ascii="宋体" w:hAnsi="宋体"/>
                <w:szCs w:val="21"/>
              </w:rPr>
              <w:t>5,958,740</w:t>
            </w:r>
          </w:p>
        </w:tc>
        <w:tc>
          <w:tcPr>
            <w:tcW w:w="1701" w:type="dxa"/>
            <w:noWrap/>
            <w:tcMar>
              <w:top w:w="13" w:type="dxa"/>
              <w:left w:w="13" w:type="dxa"/>
              <w:bottom w:w="0" w:type="dxa"/>
              <w:right w:w="13" w:type="dxa"/>
            </w:tcMar>
            <w:vAlign w:val="center"/>
          </w:tcPr>
          <w:p w:rsidR="001C68DD" w:rsidRPr="00EE5F1D" w:rsidRDefault="00182D03" w:rsidP="00DA7AE6">
            <w:pPr>
              <w:snapToGrid w:val="0"/>
              <w:spacing w:line="276" w:lineRule="auto"/>
              <w:jc w:val="center"/>
              <w:rPr>
                <w:rFonts w:ascii="宋体" w:hAnsi="宋体"/>
                <w:szCs w:val="21"/>
              </w:rPr>
            </w:pPr>
            <w:r w:rsidRPr="00EE5F1D">
              <w:rPr>
                <w:rFonts w:ascii="宋体" w:hAnsi="宋体" w:hint="eastAsia"/>
                <w:szCs w:val="21"/>
              </w:rPr>
              <w:t>715,</w:t>
            </w:r>
            <w:r w:rsidR="00DA7AE6">
              <w:rPr>
                <w:rFonts w:ascii="宋体" w:hAnsi="宋体" w:hint="eastAsia"/>
                <w:szCs w:val="21"/>
              </w:rPr>
              <w:t>276</w:t>
            </w:r>
            <w:r w:rsidRPr="00EE5F1D">
              <w:rPr>
                <w:rFonts w:ascii="宋体" w:hAnsi="宋体" w:hint="eastAsia"/>
                <w:szCs w:val="21"/>
              </w:rPr>
              <w:t>,855</w:t>
            </w:r>
          </w:p>
        </w:tc>
      </w:tr>
      <w:tr w:rsidR="001C68DD" w:rsidRPr="00DF0817" w:rsidTr="00B74E3F">
        <w:trPr>
          <w:trHeight w:val="270"/>
        </w:trPr>
        <w:tc>
          <w:tcPr>
            <w:tcW w:w="2990" w:type="dxa"/>
            <w:noWrap/>
            <w:tcMar>
              <w:top w:w="13" w:type="dxa"/>
              <w:left w:w="13" w:type="dxa"/>
              <w:bottom w:w="0" w:type="dxa"/>
              <w:right w:w="13" w:type="dxa"/>
            </w:tcMar>
            <w:vAlign w:val="center"/>
          </w:tcPr>
          <w:p w:rsidR="001C68DD" w:rsidRPr="00EE5F1D" w:rsidRDefault="001C68DD" w:rsidP="00B74E3F">
            <w:pPr>
              <w:snapToGrid w:val="0"/>
              <w:spacing w:line="276" w:lineRule="auto"/>
              <w:ind w:left="10" w:hangingChars="5" w:hanging="10"/>
              <w:jc w:val="center"/>
              <w:rPr>
                <w:rFonts w:ascii="宋体" w:hAnsi="宋体"/>
                <w:szCs w:val="21"/>
              </w:rPr>
            </w:pPr>
            <w:r w:rsidRPr="00EE5F1D">
              <w:rPr>
                <w:rFonts w:ascii="宋体" w:hAnsi="宋体" w:hint="eastAsia"/>
                <w:szCs w:val="21"/>
              </w:rPr>
              <w:t>股份总额</w:t>
            </w:r>
          </w:p>
        </w:tc>
        <w:tc>
          <w:tcPr>
            <w:tcW w:w="1985" w:type="dxa"/>
            <w:noWrap/>
            <w:tcMar>
              <w:top w:w="13" w:type="dxa"/>
              <w:left w:w="13" w:type="dxa"/>
              <w:bottom w:w="0" w:type="dxa"/>
              <w:right w:w="13" w:type="dxa"/>
            </w:tcMar>
            <w:vAlign w:val="center"/>
          </w:tcPr>
          <w:p w:rsidR="001C68DD" w:rsidRPr="00EE5F1D" w:rsidRDefault="001C68DD" w:rsidP="00B74E3F">
            <w:pPr>
              <w:snapToGrid w:val="0"/>
              <w:spacing w:line="276" w:lineRule="auto"/>
              <w:jc w:val="center"/>
              <w:rPr>
                <w:rFonts w:ascii="宋体" w:hAnsi="宋体"/>
                <w:szCs w:val="21"/>
              </w:rPr>
            </w:pPr>
            <w:r w:rsidRPr="00EE5F1D">
              <w:rPr>
                <w:rFonts w:ascii="宋体" w:hAnsi="宋体"/>
                <w:szCs w:val="21"/>
              </w:rPr>
              <w:t>721,891,958</w:t>
            </w:r>
          </w:p>
        </w:tc>
        <w:tc>
          <w:tcPr>
            <w:tcW w:w="1843" w:type="dxa"/>
            <w:noWrap/>
            <w:tcMar>
              <w:top w:w="13" w:type="dxa"/>
              <w:left w:w="13" w:type="dxa"/>
              <w:bottom w:w="0" w:type="dxa"/>
              <w:right w:w="13" w:type="dxa"/>
            </w:tcMar>
            <w:vAlign w:val="center"/>
          </w:tcPr>
          <w:p w:rsidR="001C68DD" w:rsidRPr="00EE5F1D" w:rsidRDefault="001C68DD" w:rsidP="00B74E3F">
            <w:pPr>
              <w:snapToGrid w:val="0"/>
              <w:spacing w:line="276" w:lineRule="auto"/>
              <w:jc w:val="center"/>
              <w:rPr>
                <w:rFonts w:ascii="宋体" w:hAnsi="宋体"/>
                <w:szCs w:val="21"/>
              </w:rPr>
            </w:pPr>
            <w:r w:rsidRPr="00EE5F1D">
              <w:rPr>
                <w:rFonts w:ascii="宋体" w:hAnsi="宋体" w:hint="eastAsia"/>
                <w:szCs w:val="21"/>
              </w:rPr>
              <w:t>0</w:t>
            </w:r>
          </w:p>
        </w:tc>
        <w:tc>
          <w:tcPr>
            <w:tcW w:w="1701" w:type="dxa"/>
            <w:noWrap/>
            <w:tcMar>
              <w:top w:w="13" w:type="dxa"/>
              <w:left w:w="13" w:type="dxa"/>
              <w:bottom w:w="0" w:type="dxa"/>
              <w:right w:w="13" w:type="dxa"/>
            </w:tcMar>
            <w:vAlign w:val="center"/>
          </w:tcPr>
          <w:p w:rsidR="001C68DD" w:rsidRPr="00DF0817" w:rsidRDefault="001C68DD" w:rsidP="00B74E3F">
            <w:pPr>
              <w:snapToGrid w:val="0"/>
              <w:spacing w:line="276" w:lineRule="auto"/>
              <w:jc w:val="center"/>
              <w:rPr>
                <w:rFonts w:ascii="宋体" w:hAnsi="宋体"/>
                <w:szCs w:val="21"/>
              </w:rPr>
            </w:pPr>
            <w:r w:rsidRPr="00EE5F1D">
              <w:rPr>
                <w:rFonts w:ascii="宋体" w:hAnsi="宋体"/>
                <w:szCs w:val="21"/>
              </w:rPr>
              <w:t>721,891,958</w:t>
            </w:r>
          </w:p>
        </w:tc>
      </w:tr>
    </w:tbl>
    <w:p w:rsidR="001C68DD" w:rsidRDefault="001C68DD" w:rsidP="001C68DD">
      <w:pPr>
        <w:adjustRightInd w:val="0"/>
        <w:snapToGrid w:val="0"/>
        <w:spacing w:line="360" w:lineRule="auto"/>
        <w:ind w:firstLine="495"/>
        <w:rPr>
          <w:rFonts w:ascii="宋体" w:hAnsi="宋体"/>
          <w:b/>
          <w:sz w:val="24"/>
        </w:rPr>
      </w:pPr>
    </w:p>
    <w:p w:rsidR="001C68DD" w:rsidRPr="002A7D85" w:rsidRDefault="001C68DD" w:rsidP="001C68DD">
      <w:pPr>
        <w:adjustRightInd w:val="0"/>
        <w:snapToGrid w:val="0"/>
        <w:spacing w:line="360" w:lineRule="auto"/>
        <w:ind w:firstLine="495"/>
        <w:rPr>
          <w:rFonts w:ascii="宋体" w:hAnsi="宋体"/>
          <w:b/>
          <w:sz w:val="24"/>
        </w:rPr>
      </w:pPr>
      <w:r w:rsidRPr="002A7D85">
        <w:rPr>
          <w:rFonts w:ascii="宋体" w:hAnsi="宋体" w:hint="eastAsia"/>
          <w:b/>
          <w:sz w:val="24"/>
        </w:rPr>
        <w:t>八、上网公告附件</w:t>
      </w:r>
    </w:p>
    <w:p w:rsidR="001C68DD" w:rsidRPr="001E60DB" w:rsidRDefault="001C68DD" w:rsidP="001C68DD">
      <w:pPr>
        <w:adjustRightInd w:val="0"/>
        <w:snapToGrid w:val="0"/>
        <w:spacing w:line="360" w:lineRule="auto"/>
        <w:ind w:firstLine="495"/>
        <w:rPr>
          <w:rFonts w:ascii="宋体" w:hAnsi="宋体"/>
          <w:sz w:val="24"/>
        </w:rPr>
      </w:pPr>
      <w:r w:rsidRPr="00427604">
        <w:rPr>
          <w:rFonts w:ascii="宋体" w:hAnsi="宋体" w:hint="eastAsia"/>
          <w:sz w:val="24"/>
        </w:rPr>
        <w:t>《</w:t>
      </w:r>
      <w:r w:rsidR="00EA38EB" w:rsidRPr="00EA38EB">
        <w:rPr>
          <w:rFonts w:ascii="宋体" w:hAnsi="宋体" w:hint="eastAsia"/>
          <w:sz w:val="24"/>
        </w:rPr>
        <w:t>瑞信方正证券有限责任公司关于江苏吴中实业股份有限公司2016年度发行股份及支付现金购买资产并募集配套资金部分限售股份解除限售之核查意见</w:t>
      </w:r>
      <w:r w:rsidRPr="00427604">
        <w:rPr>
          <w:rFonts w:ascii="宋体" w:hAnsi="宋体" w:hint="eastAsia"/>
          <w:sz w:val="24"/>
        </w:rPr>
        <w:t>》。</w:t>
      </w:r>
    </w:p>
    <w:p w:rsidR="001C68DD" w:rsidRDefault="001C68DD" w:rsidP="001C68DD">
      <w:pPr>
        <w:adjustRightInd w:val="0"/>
        <w:snapToGrid w:val="0"/>
        <w:spacing w:line="360" w:lineRule="auto"/>
        <w:ind w:firstLine="495"/>
        <w:rPr>
          <w:rFonts w:ascii="宋体" w:hAnsi="宋体"/>
          <w:sz w:val="24"/>
        </w:rPr>
      </w:pPr>
      <w:r>
        <w:rPr>
          <w:rFonts w:ascii="宋体" w:hAnsi="宋体" w:hint="eastAsia"/>
          <w:sz w:val="24"/>
        </w:rPr>
        <w:t>特此公告。</w:t>
      </w:r>
    </w:p>
    <w:p w:rsidR="001C68DD" w:rsidRDefault="001C68DD" w:rsidP="001C68DD">
      <w:pPr>
        <w:adjustRightInd w:val="0"/>
        <w:snapToGrid w:val="0"/>
        <w:spacing w:line="360" w:lineRule="auto"/>
        <w:ind w:firstLine="495"/>
        <w:jc w:val="right"/>
        <w:rPr>
          <w:rFonts w:ascii="宋体" w:hAnsi="宋体"/>
          <w:sz w:val="24"/>
        </w:rPr>
      </w:pPr>
      <w:r>
        <w:rPr>
          <w:rFonts w:ascii="宋体" w:hAnsi="宋体" w:hint="eastAsia"/>
          <w:sz w:val="24"/>
        </w:rPr>
        <w:t xml:space="preserve">                                 </w:t>
      </w:r>
    </w:p>
    <w:p w:rsidR="001C68DD" w:rsidRDefault="001C68DD" w:rsidP="001C68DD">
      <w:pPr>
        <w:adjustRightInd w:val="0"/>
        <w:snapToGrid w:val="0"/>
        <w:spacing w:line="360" w:lineRule="auto"/>
        <w:ind w:firstLine="495"/>
        <w:jc w:val="right"/>
        <w:rPr>
          <w:rFonts w:ascii="宋体" w:hAnsi="宋体"/>
          <w:sz w:val="24"/>
        </w:rPr>
      </w:pPr>
      <w:r>
        <w:rPr>
          <w:rFonts w:ascii="宋体" w:hAnsi="宋体" w:hint="eastAsia"/>
          <w:sz w:val="24"/>
        </w:rPr>
        <w:t>江苏吴中实业股份有限公司</w:t>
      </w:r>
    </w:p>
    <w:p w:rsidR="001C68DD" w:rsidRDefault="001C68DD" w:rsidP="001C68DD">
      <w:pPr>
        <w:adjustRightInd w:val="0"/>
        <w:snapToGrid w:val="0"/>
        <w:spacing w:line="360" w:lineRule="auto"/>
        <w:ind w:firstLineChars="2855" w:firstLine="6852"/>
        <w:rPr>
          <w:rFonts w:ascii="宋体" w:hAnsi="宋体"/>
          <w:sz w:val="24"/>
        </w:rPr>
      </w:pPr>
      <w:r>
        <w:rPr>
          <w:rFonts w:ascii="宋体" w:hAnsi="宋体" w:hint="eastAsia"/>
          <w:sz w:val="24"/>
        </w:rPr>
        <w:t>董事会</w:t>
      </w:r>
    </w:p>
    <w:p w:rsidR="001C68DD" w:rsidRDefault="001C68DD" w:rsidP="00D922A3">
      <w:pPr>
        <w:adjustRightInd w:val="0"/>
        <w:snapToGrid w:val="0"/>
        <w:spacing w:line="360" w:lineRule="auto"/>
        <w:ind w:firstLineChars="2600" w:firstLine="6240"/>
        <w:rPr>
          <w:rFonts w:ascii="宋体" w:hAnsi="宋体"/>
          <w:sz w:val="24"/>
        </w:rPr>
      </w:pPr>
      <w:r w:rsidRPr="003952D9">
        <w:rPr>
          <w:rFonts w:ascii="宋体" w:hAnsi="宋体" w:hint="eastAsia"/>
          <w:sz w:val="24"/>
        </w:rPr>
        <w:t>201</w:t>
      </w:r>
      <w:r w:rsidR="00F15B00">
        <w:rPr>
          <w:rFonts w:ascii="宋体" w:hAnsi="宋体" w:hint="eastAsia"/>
          <w:sz w:val="24"/>
        </w:rPr>
        <w:t>8</w:t>
      </w:r>
      <w:r w:rsidRPr="003952D9">
        <w:rPr>
          <w:rFonts w:ascii="宋体" w:hAnsi="宋体" w:hint="eastAsia"/>
          <w:sz w:val="24"/>
        </w:rPr>
        <w:t>年7月</w:t>
      </w:r>
      <w:r w:rsidR="00924AE2">
        <w:rPr>
          <w:rFonts w:ascii="宋体" w:hAnsi="宋体" w:hint="eastAsia"/>
          <w:sz w:val="24"/>
        </w:rPr>
        <w:t>5</w:t>
      </w:r>
      <w:r w:rsidRPr="003952D9">
        <w:rPr>
          <w:rFonts w:ascii="宋体" w:hAnsi="宋体" w:hint="eastAsia"/>
          <w:sz w:val="24"/>
        </w:rPr>
        <w:t>日</w:t>
      </w:r>
    </w:p>
    <w:sectPr w:rsidR="001C68DD" w:rsidSect="002B0664">
      <w:footerReference w:type="even" r:id="rId8"/>
      <w:footerReference w:type="default" r:id="rId9"/>
      <w:pgSz w:w="11906" w:h="16838"/>
      <w:pgMar w:top="1247" w:right="1797" w:bottom="124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F8A" w:rsidRDefault="001B4F8A" w:rsidP="001C68DD">
      <w:r>
        <w:separator/>
      </w:r>
    </w:p>
  </w:endnote>
  <w:endnote w:type="continuationSeparator" w:id="0">
    <w:p w:rsidR="001B4F8A" w:rsidRDefault="001B4F8A" w:rsidP="001C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E7" w:rsidRDefault="003C6CBC" w:rsidP="00736D5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805E7" w:rsidRDefault="001B4F8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E7" w:rsidRDefault="003C6CBC" w:rsidP="00736D5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90D20">
      <w:rPr>
        <w:rStyle w:val="a5"/>
        <w:noProof/>
      </w:rPr>
      <w:t>5</w:t>
    </w:r>
    <w:r>
      <w:rPr>
        <w:rStyle w:val="a5"/>
      </w:rPr>
      <w:fldChar w:fldCharType="end"/>
    </w:r>
  </w:p>
  <w:p w:rsidR="004805E7" w:rsidRDefault="001B4F8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F8A" w:rsidRDefault="001B4F8A" w:rsidP="001C68DD">
      <w:r>
        <w:separator/>
      </w:r>
    </w:p>
  </w:footnote>
  <w:footnote w:type="continuationSeparator" w:id="0">
    <w:p w:rsidR="001B4F8A" w:rsidRDefault="001B4F8A" w:rsidP="001C68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F4A20"/>
    <w:multiLevelType w:val="hybridMultilevel"/>
    <w:tmpl w:val="083EB14C"/>
    <w:lvl w:ilvl="0" w:tplc="04090001">
      <w:start w:val="1"/>
      <w:numFmt w:val="bullet"/>
      <w:lvlText w:val=""/>
      <w:lvlJc w:val="left"/>
      <w:pPr>
        <w:tabs>
          <w:tab w:val="num" w:pos="846"/>
        </w:tabs>
        <w:ind w:left="846"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
    <w:nsid w:val="3C6C46BB"/>
    <w:multiLevelType w:val="hybridMultilevel"/>
    <w:tmpl w:val="778CA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F66"/>
    <w:rsid w:val="00000881"/>
    <w:rsid w:val="0002659D"/>
    <w:rsid w:val="000316E0"/>
    <w:rsid w:val="0004169E"/>
    <w:rsid w:val="00093008"/>
    <w:rsid w:val="000A1E28"/>
    <w:rsid w:val="000B6B98"/>
    <w:rsid w:val="000C1FD3"/>
    <w:rsid w:val="000C288D"/>
    <w:rsid w:val="000E73B1"/>
    <w:rsid w:val="001362D3"/>
    <w:rsid w:val="00154026"/>
    <w:rsid w:val="00182D03"/>
    <w:rsid w:val="001B4F8A"/>
    <w:rsid w:val="001C68DD"/>
    <w:rsid w:val="002977C4"/>
    <w:rsid w:val="002C16B6"/>
    <w:rsid w:val="002F423C"/>
    <w:rsid w:val="00311494"/>
    <w:rsid w:val="00335854"/>
    <w:rsid w:val="00336E42"/>
    <w:rsid w:val="00351F66"/>
    <w:rsid w:val="0038120C"/>
    <w:rsid w:val="00391D2B"/>
    <w:rsid w:val="003C40CC"/>
    <w:rsid w:val="003C6CBC"/>
    <w:rsid w:val="00402F84"/>
    <w:rsid w:val="0042013F"/>
    <w:rsid w:val="00465487"/>
    <w:rsid w:val="00476E22"/>
    <w:rsid w:val="004B33BC"/>
    <w:rsid w:val="004D07C9"/>
    <w:rsid w:val="004E7264"/>
    <w:rsid w:val="004F608F"/>
    <w:rsid w:val="00510F48"/>
    <w:rsid w:val="00525BAB"/>
    <w:rsid w:val="005447A6"/>
    <w:rsid w:val="0057366B"/>
    <w:rsid w:val="00591057"/>
    <w:rsid w:val="005C0167"/>
    <w:rsid w:val="005E09A1"/>
    <w:rsid w:val="006308F8"/>
    <w:rsid w:val="0063769D"/>
    <w:rsid w:val="006C06BB"/>
    <w:rsid w:val="0074602B"/>
    <w:rsid w:val="00754AD6"/>
    <w:rsid w:val="007979A8"/>
    <w:rsid w:val="007F4A1D"/>
    <w:rsid w:val="0081134F"/>
    <w:rsid w:val="00821EB0"/>
    <w:rsid w:val="00883FF6"/>
    <w:rsid w:val="00924AE2"/>
    <w:rsid w:val="00B856CC"/>
    <w:rsid w:val="00C336F0"/>
    <w:rsid w:val="00C72026"/>
    <w:rsid w:val="00C72F74"/>
    <w:rsid w:val="00C91DC2"/>
    <w:rsid w:val="00D10A9E"/>
    <w:rsid w:val="00D7422E"/>
    <w:rsid w:val="00D85BFA"/>
    <w:rsid w:val="00D87489"/>
    <w:rsid w:val="00D922A3"/>
    <w:rsid w:val="00DA268D"/>
    <w:rsid w:val="00DA49C1"/>
    <w:rsid w:val="00DA7AE6"/>
    <w:rsid w:val="00DC4DA1"/>
    <w:rsid w:val="00DC72A7"/>
    <w:rsid w:val="00DE2EF5"/>
    <w:rsid w:val="00DF0817"/>
    <w:rsid w:val="00E0777E"/>
    <w:rsid w:val="00E826F4"/>
    <w:rsid w:val="00E85452"/>
    <w:rsid w:val="00E90D20"/>
    <w:rsid w:val="00EA38EB"/>
    <w:rsid w:val="00ED38D1"/>
    <w:rsid w:val="00EE5F1D"/>
    <w:rsid w:val="00F15B00"/>
    <w:rsid w:val="00F55AC0"/>
    <w:rsid w:val="00F823EC"/>
    <w:rsid w:val="00F844B2"/>
    <w:rsid w:val="00F91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68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68DD"/>
    <w:rPr>
      <w:sz w:val="18"/>
      <w:szCs w:val="18"/>
    </w:rPr>
  </w:style>
  <w:style w:type="paragraph" w:styleId="a4">
    <w:name w:val="footer"/>
    <w:basedOn w:val="a"/>
    <w:link w:val="Char0"/>
    <w:unhideWhenUsed/>
    <w:rsid w:val="001C68DD"/>
    <w:pPr>
      <w:tabs>
        <w:tab w:val="center" w:pos="4153"/>
        <w:tab w:val="right" w:pos="8306"/>
      </w:tabs>
      <w:snapToGrid w:val="0"/>
      <w:jc w:val="left"/>
    </w:pPr>
    <w:rPr>
      <w:sz w:val="18"/>
      <w:szCs w:val="18"/>
    </w:rPr>
  </w:style>
  <w:style w:type="character" w:customStyle="1" w:styleId="Char0">
    <w:name w:val="页脚 Char"/>
    <w:basedOn w:val="a0"/>
    <w:link w:val="a4"/>
    <w:uiPriority w:val="99"/>
    <w:rsid w:val="001C68DD"/>
    <w:rPr>
      <w:sz w:val="18"/>
      <w:szCs w:val="18"/>
    </w:rPr>
  </w:style>
  <w:style w:type="character" w:styleId="a5">
    <w:name w:val="page number"/>
    <w:basedOn w:val="a0"/>
    <w:rsid w:val="001C68DD"/>
  </w:style>
  <w:style w:type="paragraph" w:customStyle="1" w:styleId="2">
    <w:name w:val="样式 首行缩进:  2 字符"/>
    <w:basedOn w:val="a"/>
    <w:semiHidden/>
    <w:rsid w:val="001C68DD"/>
    <w:pPr>
      <w:snapToGrid w:val="0"/>
      <w:spacing w:before="60" w:after="60" w:line="360" w:lineRule="auto"/>
      <w:ind w:firstLineChars="200" w:firstLine="480"/>
    </w:pPr>
    <w:rPr>
      <w:rFonts w:cs="宋体"/>
      <w:sz w:val="24"/>
      <w:szCs w:val="20"/>
    </w:rPr>
  </w:style>
  <w:style w:type="paragraph" w:styleId="a6">
    <w:name w:val="No Spacing"/>
    <w:uiPriority w:val="1"/>
    <w:qFormat/>
    <w:rsid w:val="001C68DD"/>
    <w:pPr>
      <w:widowControl w:val="0"/>
      <w:jc w:val="both"/>
    </w:pPr>
    <w:rPr>
      <w:rFonts w:ascii="Calibri" w:eastAsia="宋体" w:hAnsi="Calibri" w:cs="Times New Roman"/>
    </w:rPr>
  </w:style>
  <w:style w:type="paragraph" w:customStyle="1" w:styleId="a7">
    <w:name w:val="附注一级"/>
    <w:basedOn w:val="a"/>
    <w:rsid w:val="001C68DD"/>
    <w:pPr>
      <w:tabs>
        <w:tab w:val="left" w:pos="714"/>
      </w:tabs>
      <w:adjustRightInd w:val="0"/>
      <w:snapToGrid w:val="0"/>
      <w:spacing w:line="400" w:lineRule="atLeast"/>
      <w:ind w:left="720" w:hanging="734"/>
      <w:outlineLvl w:val="0"/>
    </w:pPr>
    <w:rPr>
      <w:rFonts w:ascii="宋体" w:hAnsi="宋体"/>
      <w:b/>
    </w:rPr>
  </w:style>
  <w:style w:type="character" w:customStyle="1" w:styleId="2Char">
    <w:name w:val="立信附注正文 [2级] Char"/>
    <w:link w:val="20"/>
    <w:rsid w:val="00C336F0"/>
    <w:rPr>
      <w:color w:val="000000"/>
    </w:rPr>
  </w:style>
  <w:style w:type="paragraph" w:customStyle="1" w:styleId="20">
    <w:name w:val="立信附注正文 [2级]"/>
    <w:link w:val="2Char"/>
    <w:rsid w:val="00C336F0"/>
    <w:pPr>
      <w:widowControl w:val="0"/>
      <w:tabs>
        <w:tab w:val="left" w:pos="0"/>
      </w:tabs>
      <w:adjustRightInd w:val="0"/>
      <w:snapToGrid w:val="0"/>
      <w:spacing w:line="400" w:lineRule="atLeast"/>
      <w:ind w:left="714"/>
      <w:jc w:val="both"/>
    </w:pPr>
    <w:rPr>
      <w:color w:val="000000"/>
    </w:rPr>
  </w:style>
  <w:style w:type="paragraph" w:customStyle="1" w:styleId="4">
    <w:name w:val="4募集书四级"/>
    <w:basedOn w:val="a"/>
    <w:link w:val="4Char"/>
    <w:qFormat/>
    <w:rsid w:val="00C336F0"/>
    <w:pPr>
      <w:spacing w:beforeLines="50" w:before="156" w:afterLines="50" w:after="156" w:line="360" w:lineRule="auto"/>
      <w:ind w:firstLineChars="200" w:firstLine="480"/>
    </w:pPr>
    <w:rPr>
      <w:rFonts w:cs="Arial"/>
      <w:sz w:val="24"/>
    </w:rPr>
  </w:style>
  <w:style w:type="character" w:customStyle="1" w:styleId="4Char">
    <w:name w:val="4募集书四级 Char"/>
    <w:link w:val="4"/>
    <w:rsid w:val="00C336F0"/>
    <w:rPr>
      <w:rFonts w:ascii="Times New Roman" w:eastAsia="宋体" w:hAnsi="Times New Roman" w:cs="Arial"/>
      <w:sz w:val="24"/>
      <w:szCs w:val="24"/>
    </w:rPr>
  </w:style>
  <w:style w:type="paragraph" w:customStyle="1" w:styleId="5">
    <w:name w:val="5募集书五级"/>
    <w:basedOn w:val="a"/>
    <w:link w:val="5Char"/>
    <w:qFormat/>
    <w:rsid w:val="00C336F0"/>
    <w:rPr>
      <w:rFonts w:cs="Arial"/>
      <w:color w:val="000000"/>
      <w:szCs w:val="22"/>
    </w:rPr>
  </w:style>
  <w:style w:type="character" w:customStyle="1" w:styleId="5Char">
    <w:name w:val="5募集书五级 Char"/>
    <w:link w:val="5"/>
    <w:rsid w:val="00C336F0"/>
    <w:rPr>
      <w:rFonts w:ascii="Times New Roman" w:eastAsia="宋体" w:hAnsi="Times New Roman" w:cs="Arial"/>
      <w:color w:val="000000"/>
    </w:rPr>
  </w:style>
  <w:style w:type="paragraph" w:styleId="a8">
    <w:name w:val="Balloon Text"/>
    <w:basedOn w:val="a"/>
    <w:link w:val="Char1"/>
    <w:uiPriority w:val="99"/>
    <w:semiHidden/>
    <w:unhideWhenUsed/>
    <w:rsid w:val="00E90D20"/>
    <w:rPr>
      <w:sz w:val="18"/>
      <w:szCs w:val="18"/>
    </w:rPr>
  </w:style>
  <w:style w:type="character" w:customStyle="1" w:styleId="Char1">
    <w:name w:val="批注框文本 Char"/>
    <w:basedOn w:val="a0"/>
    <w:link w:val="a8"/>
    <w:uiPriority w:val="99"/>
    <w:semiHidden/>
    <w:rsid w:val="00E90D2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68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68DD"/>
    <w:rPr>
      <w:sz w:val="18"/>
      <w:szCs w:val="18"/>
    </w:rPr>
  </w:style>
  <w:style w:type="paragraph" w:styleId="a4">
    <w:name w:val="footer"/>
    <w:basedOn w:val="a"/>
    <w:link w:val="Char0"/>
    <w:unhideWhenUsed/>
    <w:rsid w:val="001C68DD"/>
    <w:pPr>
      <w:tabs>
        <w:tab w:val="center" w:pos="4153"/>
        <w:tab w:val="right" w:pos="8306"/>
      </w:tabs>
      <w:snapToGrid w:val="0"/>
      <w:jc w:val="left"/>
    </w:pPr>
    <w:rPr>
      <w:sz w:val="18"/>
      <w:szCs w:val="18"/>
    </w:rPr>
  </w:style>
  <w:style w:type="character" w:customStyle="1" w:styleId="Char0">
    <w:name w:val="页脚 Char"/>
    <w:basedOn w:val="a0"/>
    <w:link w:val="a4"/>
    <w:uiPriority w:val="99"/>
    <w:rsid w:val="001C68DD"/>
    <w:rPr>
      <w:sz w:val="18"/>
      <w:szCs w:val="18"/>
    </w:rPr>
  </w:style>
  <w:style w:type="character" w:styleId="a5">
    <w:name w:val="page number"/>
    <w:basedOn w:val="a0"/>
    <w:rsid w:val="001C68DD"/>
  </w:style>
  <w:style w:type="paragraph" w:customStyle="1" w:styleId="2">
    <w:name w:val="样式 首行缩进:  2 字符"/>
    <w:basedOn w:val="a"/>
    <w:semiHidden/>
    <w:rsid w:val="001C68DD"/>
    <w:pPr>
      <w:snapToGrid w:val="0"/>
      <w:spacing w:before="60" w:after="60" w:line="360" w:lineRule="auto"/>
      <w:ind w:firstLineChars="200" w:firstLine="480"/>
    </w:pPr>
    <w:rPr>
      <w:rFonts w:cs="宋体"/>
      <w:sz w:val="24"/>
      <w:szCs w:val="20"/>
    </w:rPr>
  </w:style>
  <w:style w:type="paragraph" w:styleId="a6">
    <w:name w:val="No Spacing"/>
    <w:uiPriority w:val="1"/>
    <w:qFormat/>
    <w:rsid w:val="001C68DD"/>
    <w:pPr>
      <w:widowControl w:val="0"/>
      <w:jc w:val="both"/>
    </w:pPr>
    <w:rPr>
      <w:rFonts w:ascii="Calibri" w:eastAsia="宋体" w:hAnsi="Calibri" w:cs="Times New Roman"/>
    </w:rPr>
  </w:style>
  <w:style w:type="paragraph" w:customStyle="1" w:styleId="a7">
    <w:name w:val="附注一级"/>
    <w:basedOn w:val="a"/>
    <w:rsid w:val="001C68DD"/>
    <w:pPr>
      <w:tabs>
        <w:tab w:val="left" w:pos="714"/>
      </w:tabs>
      <w:adjustRightInd w:val="0"/>
      <w:snapToGrid w:val="0"/>
      <w:spacing w:line="400" w:lineRule="atLeast"/>
      <w:ind w:left="720" w:hanging="734"/>
      <w:outlineLvl w:val="0"/>
    </w:pPr>
    <w:rPr>
      <w:rFonts w:ascii="宋体" w:hAnsi="宋体"/>
      <w:b/>
    </w:rPr>
  </w:style>
  <w:style w:type="character" w:customStyle="1" w:styleId="2Char">
    <w:name w:val="立信附注正文 [2级] Char"/>
    <w:link w:val="20"/>
    <w:rsid w:val="00C336F0"/>
    <w:rPr>
      <w:color w:val="000000"/>
    </w:rPr>
  </w:style>
  <w:style w:type="paragraph" w:customStyle="1" w:styleId="20">
    <w:name w:val="立信附注正文 [2级]"/>
    <w:link w:val="2Char"/>
    <w:rsid w:val="00C336F0"/>
    <w:pPr>
      <w:widowControl w:val="0"/>
      <w:tabs>
        <w:tab w:val="left" w:pos="0"/>
      </w:tabs>
      <w:adjustRightInd w:val="0"/>
      <w:snapToGrid w:val="0"/>
      <w:spacing w:line="400" w:lineRule="atLeast"/>
      <w:ind w:left="714"/>
      <w:jc w:val="both"/>
    </w:pPr>
    <w:rPr>
      <w:color w:val="000000"/>
    </w:rPr>
  </w:style>
  <w:style w:type="paragraph" w:customStyle="1" w:styleId="4">
    <w:name w:val="4募集书四级"/>
    <w:basedOn w:val="a"/>
    <w:link w:val="4Char"/>
    <w:qFormat/>
    <w:rsid w:val="00C336F0"/>
    <w:pPr>
      <w:spacing w:beforeLines="50" w:before="156" w:afterLines="50" w:after="156" w:line="360" w:lineRule="auto"/>
      <w:ind w:firstLineChars="200" w:firstLine="480"/>
    </w:pPr>
    <w:rPr>
      <w:rFonts w:cs="Arial"/>
      <w:sz w:val="24"/>
    </w:rPr>
  </w:style>
  <w:style w:type="character" w:customStyle="1" w:styleId="4Char">
    <w:name w:val="4募集书四级 Char"/>
    <w:link w:val="4"/>
    <w:rsid w:val="00C336F0"/>
    <w:rPr>
      <w:rFonts w:ascii="Times New Roman" w:eastAsia="宋体" w:hAnsi="Times New Roman" w:cs="Arial"/>
      <w:sz w:val="24"/>
      <w:szCs w:val="24"/>
    </w:rPr>
  </w:style>
  <w:style w:type="paragraph" w:customStyle="1" w:styleId="5">
    <w:name w:val="5募集书五级"/>
    <w:basedOn w:val="a"/>
    <w:link w:val="5Char"/>
    <w:qFormat/>
    <w:rsid w:val="00C336F0"/>
    <w:rPr>
      <w:rFonts w:cs="Arial"/>
      <w:color w:val="000000"/>
      <w:szCs w:val="22"/>
    </w:rPr>
  </w:style>
  <w:style w:type="character" w:customStyle="1" w:styleId="5Char">
    <w:name w:val="5募集书五级 Char"/>
    <w:link w:val="5"/>
    <w:rsid w:val="00C336F0"/>
    <w:rPr>
      <w:rFonts w:ascii="Times New Roman" w:eastAsia="宋体" w:hAnsi="Times New Roman" w:cs="Arial"/>
      <w:color w:val="000000"/>
    </w:rPr>
  </w:style>
  <w:style w:type="paragraph" w:styleId="a8">
    <w:name w:val="Balloon Text"/>
    <w:basedOn w:val="a"/>
    <w:link w:val="Char1"/>
    <w:uiPriority w:val="99"/>
    <w:semiHidden/>
    <w:unhideWhenUsed/>
    <w:rsid w:val="00E90D20"/>
    <w:rPr>
      <w:sz w:val="18"/>
      <w:szCs w:val="18"/>
    </w:rPr>
  </w:style>
  <w:style w:type="character" w:customStyle="1" w:styleId="Char1">
    <w:name w:val="批注框文本 Char"/>
    <w:basedOn w:val="a0"/>
    <w:link w:val="a8"/>
    <w:uiPriority w:val="99"/>
    <w:semiHidden/>
    <w:rsid w:val="00E90D2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jswz</dc:creator>
  <cp:keywords/>
  <dc:description/>
  <cp:lastModifiedBy>jswz</cp:lastModifiedBy>
  <cp:revision>30</cp:revision>
  <cp:lastPrinted>2018-07-03T09:30:00Z</cp:lastPrinted>
  <dcterms:created xsi:type="dcterms:W3CDTF">2018-06-11T01:10:00Z</dcterms:created>
  <dcterms:modified xsi:type="dcterms:W3CDTF">2018-07-03T09:36:00Z</dcterms:modified>
</cp:coreProperties>
</file>