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153" w:rightChars="-73"/>
        <w:jc w:val="center"/>
        <w:rPr>
          <w:rFonts w:ascii="黑体" w:hAnsi="宋体"/>
          <w:b/>
          <w:bCs/>
          <w:color w:val="FF0000"/>
          <w:sz w:val="32"/>
        </w:rPr>
      </w:pPr>
      <w:bookmarkStart w:id="0" w:name="_GoBack"/>
      <w:bookmarkEnd w:id="0"/>
      <w:r>
        <w:rPr>
          <w:rFonts w:hint="eastAsia" w:ascii="宋体" w:hAnsi="宋体" w:cs="宋体"/>
          <w:color w:val="000000"/>
          <w:kern w:val="0"/>
          <w:sz w:val="24"/>
        </w:rPr>
        <w:t xml:space="preserve">证券代码：600200         证券简称：江苏吴中     公告编号：临2022-014 </w:t>
      </w:r>
    </w:p>
    <w:p>
      <w:pPr>
        <w:spacing w:line="360" w:lineRule="auto"/>
        <w:ind w:right="-153" w:rightChars="-73"/>
        <w:jc w:val="center"/>
        <w:rPr>
          <w:rFonts w:ascii="黑体" w:hAnsi="宋体" w:eastAsia="黑体"/>
          <w:b/>
          <w:bCs/>
          <w:color w:val="FF0000"/>
          <w:sz w:val="32"/>
        </w:rPr>
      </w:pP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江苏吴中医药发展股份有限公司</w:t>
      </w: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关于调整公司2021年限制性股票激励计划</w:t>
      </w: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首次授予激励对象名单及授予数量的公告</w:t>
      </w:r>
    </w:p>
    <w:p>
      <w:pPr>
        <w:autoSpaceDE w:val="0"/>
        <w:autoSpaceDN w:val="0"/>
        <w:adjustRightInd w:val="0"/>
        <w:spacing w:line="360" w:lineRule="auto"/>
        <w:ind w:firstLine="482" w:firstLineChars="200"/>
        <w:rPr>
          <w:rFonts w:hint="eastAsia" w:ascii="ˎ̥" w:hAnsi="ˎ̥"/>
          <w:b/>
          <w:sz w:val="24"/>
        </w:rPr>
      </w:pPr>
    </w:p>
    <w:p>
      <w:pPr>
        <w:autoSpaceDE w:val="0"/>
        <w:autoSpaceDN w:val="0"/>
        <w:adjustRightInd w:val="0"/>
        <w:spacing w:line="360" w:lineRule="auto"/>
        <w:ind w:firstLine="482" w:firstLineChars="200"/>
        <w:rPr>
          <w:rFonts w:hint="eastAsia" w:ascii="ˎ̥" w:hAnsi="ˎ̥"/>
          <w:b/>
          <w:sz w:val="24"/>
        </w:rPr>
      </w:pPr>
      <w:r>
        <w:rPr>
          <w:rFonts w:hint="eastAsia" w:ascii="ˎ̥" w:hAnsi="ˎ̥"/>
          <w:b/>
          <w:sz w:val="24"/>
        </w:rPr>
        <w:t>本公司董事会及董事会全体成员保证公告内容不存在虚假记载、误导性陈述或者重大遗漏，并对其内容的真实、准确和完整承担个别及连带责任。</w:t>
      </w:r>
    </w:p>
    <w:p>
      <w:pPr>
        <w:pStyle w:val="9"/>
        <w:spacing w:line="360" w:lineRule="auto"/>
      </w:pPr>
    </w:p>
    <w:p>
      <w:pPr>
        <w:tabs>
          <w:tab w:val="left" w:pos="540"/>
          <w:tab w:val="left" w:pos="900"/>
        </w:tabs>
        <w:adjustRightInd w:val="0"/>
        <w:snapToGrid w:val="0"/>
        <w:spacing w:line="360" w:lineRule="auto"/>
        <w:ind w:firstLine="480" w:firstLineChars="200"/>
        <w:rPr>
          <w:rFonts w:ascii="宋体" w:hAnsi="宋体"/>
          <w:bCs/>
          <w:sz w:val="24"/>
        </w:rPr>
      </w:pPr>
      <w:r>
        <w:rPr>
          <w:rFonts w:hint="eastAsia" w:ascii="宋体" w:hAnsi="宋体"/>
          <w:bCs/>
          <w:sz w:val="24"/>
        </w:rPr>
        <w:t>重要内容提示：</w:t>
      </w:r>
    </w:p>
    <w:p>
      <w:pPr>
        <w:numPr>
          <w:ilvl w:val="0"/>
          <w:numId w:val="1"/>
        </w:numPr>
        <w:adjustRightInd w:val="0"/>
        <w:snapToGrid w:val="0"/>
        <w:spacing w:line="360" w:lineRule="auto"/>
        <w:rPr>
          <w:rFonts w:ascii="宋体" w:hAnsi="宋体"/>
          <w:sz w:val="24"/>
        </w:rPr>
      </w:pPr>
      <w:r>
        <w:rPr>
          <w:rFonts w:hint="eastAsia" w:ascii="宋体" w:hAnsi="宋体"/>
          <w:bCs/>
          <w:sz w:val="24"/>
        </w:rPr>
        <w:t>首次授予激励对象人数：由143人调整为1</w:t>
      </w:r>
      <w:r>
        <w:rPr>
          <w:rFonts w:ascii="宋体" w:hAnsi="宋体"/>
          <w:bCs/>
          <w:sz w:val="24"/>
        </w:rPr>
        <w:t>10</w:t>
      </w:r>
      <w:r>
        <w:rPr>
          <w:rFonts w:hint="eastAsia" w:ascii="宋体" w:hAnsi="宋体"/>
          <w:bCs/>
          <w:sz w:val="24"/>
        </w:rPr>
        <w:t>人</w:t>
      </w:r>
    </w:p>
    <w:p>
      <w:pPr>
        <w:numPr>
          <w:ilvl w:val="0"/>
          <w:numId w:val="2"/>
        </w:numPr>
        <w:adjustRightInd w:val="0"/>
        <w:snapToGrid w:val="0"/>
        <w:spacing w:line="360" w:lineRule="auto"/>
        <w:rPr>
          <w:rFonts w:ascii="宋体" w:hAnsi="宋体"/>
          <w:bCs/>
          <w:sz w:val="24"/>
        </w:rPr>
      </w:pPr>
      <w:r>
        <w:rPr>
          <w:rFonts w:hint="eastAsia" w:ascii="宋体" w:hAnsi="宋体"/>
          <w:bCs/>
          <w:sz w:val="24"/>
        </w:rPr>
        <w:t>首次授予限制性股票数量：本激励计划拟首次授予限制性股票数量由374.0000万股调整为</w:t>
      </w:r>
      <w:r>
        <w:rPr>
          <w:rFonts w:ascii="宋体" w:hAnsi="宋体"/>
          <w:bCs/>
          <w:sz w:val="24"/>
        </w:rPr>
        <w:t>331.9000</w:t>
      </w:r>
      <w:r>
        <w:rPr>
          <w:rFonts w:hint="eastAsia" w:ascii="宋体" w:hAnsi="宋体"/>
          <w:bCs/>
          <w:sz w:val="24"/>
        </w:rPr>
        <w:t>万股；预留授予限制性股票由38.4303万股调整为</w:t>
      </w:r>
      <w:r>
        <w:rPr>
          <w:rFonts w:ascii="宋体" w:hAnsi="宋体"/>
          <w:bCs/>
          <w:sz w:val="24"/>
        </w:rPr>
        <w:t>80.5303</w:t>
      </w:r>
      <w:r>
        <w:rPr>
          <w:rFonts w:hint="eastAsia" w:ascii="宋体" w:hAnsi="宋体"/>
          <w:bCs/>
          <w:sz w:val="24"/>
        </w:rPr>
        <w:t>万股，本激励计划拟授予的限制性股票总数不变。</w:t>
      </w:r>
    </w:p>
    <w:p>
      <w:pPr>
        <w:pStyle w:val="9"/>
        <w:spacing w:line="360" w:lineRule="auto"/>
      </w:pPr>
    </w:p>
    <w:p>
      <w:pPr>
        <w:spacing w:line="360" w:lineRule="auto"/>
        <w:ind w:firstLine="480" w:firstLineChars="200"/>
        <w:rPr>
          <w:rFonts w:asciiTheme="minorEastAsia" w:hAnsiTheme="minorEastAsia" w:eastAsiaTheme="minorEastAsia"/>
          <w:sz w:val="24"/>
        </w:rPr>
      </w:pPr>
      <w:r>
        <w:rPr>
          <w:rFonts w:hint="eastAsia" w:ascii="宋体" w:hAnsi="宋体"/>
          <w:sz w:val="24"/>
        </w:rPr>
        <w:t>江苏吴中医药发展股份有限公司（以下简称“公司”）于2022年2月16日召开第十届董事会2022年第二次临时会议（通讯表决），审议通过了《关于调整 公司2021年限制性股票激励计划首次授予激励对象名单及授予数量的议案》。根据</w:t>
      </w:r>
      <w:r>
        <w:rPr>
          <w:rFonts w:hint="eastAsia" w:asciiTheme="minorEastAsia" w:hAnsiTheme="minorEastAsia" w:eastAsiaTheme="minorEastAsia"/>
          <w:sz w:val="24"/>
        </w:rPr>
        <w:t>《江苏吴中医药发展股份有限公司2021年限制性股票激励计划》（以下简称“《激励计划》”、“本激励计划”或“本次激励计划”）的规定和公司2022年第一次临时股东大会的授权，公司董事会对本次激励计划首次授予激励对象名单及授予数量进行了调整。现将有关事项公告如下：</w:t>
      </w:r>
    </w:p>
    <w:p>
      <w:pPr>
        <w:spacing w:line="360" w:lineRule="auto"/>
        <w:ind w:firstLine="482" w:firstLineChars="200"/>
        <w:rPr>
          <w:rFonts w:ascii="宋体" w:hAnsi="宋体"/>
          <w:b/>
          <w:sz w:val="24"/>
        </w:rPr>
      </w:pPr>
      <w:r>
        <w:rPr>
          <w:rFonts w:hint="eastAsia" w:asciiTheme="minorEastAsia" w:hAnsiTheme="minorEastAsia" w:eastAsiaTheme="minorEastAsia"/>
          <w:b/>
          <w:sz w:val="24"/>
        </w:rPr>
        <w:t>一、本次激励计划已履行的决策程序和信息披露情况</w:t>
      </w:r>
    </w:p>
    <w:p>
      <w:pPr>
        <w:spacing w:line="360" w:lineRule="auto"/>
        <w:ind w:firstLine="480" w:firstLineChars="200"/>
        <w:rPr>
          <w:rFonts w:ascii="宋体" w:hAnsi="宋体"/>
          <w:sz w:val="24"/>
        </w:rPr>
      </w:pPr>
      <w:r>
        <w:rPr>
          <w:rFonts w:hint="eastAsia" w:ascii="宋体" w:hAnsi="宋体"/>
          <w:sz w:val="24"/>
        </w:rPr>
        <w:t>1、2021年12月16日，公司召开了第十届董事会2021年第四次临时会议（通讯表决），审议通过了《关于&lt;江苏吴中医药发展股份有限公司2021年限制性股票激励计划（草案）&gt;及其摘要的议案》《关于&lt;江苏吴中医药发展股份有限公司2021年限制性股票激励计划实施考核管理办法&gt;的议案》《关于提请股东大会授权董事会办理公司股权激励计划相关事项的议案》等议案。公司独立董事就本激励计划是否有利于公司的持续发展及是否存在损害公司及全体股东利益的情形发表了独立意见。同日，公司召开第十届监事会2021年第三次临时会议（通讯表决），审议通过了《关于&lt;江苏吴中医药发展股份有限公司2021年限制性股票激励计划（草案）&gt;及其摘要的议案》《关于&lt;江苏吴中医药发展股份有限公司2021年限制性股票激励计划实施考核管理办法&gt;的议案》等议案，公司监事会对本激励计划的相关事项进行核实并出具了相关核查意见。</w:t>
      </w:r>
    </w:p>
    <w:p>
      <w:pPr>
        <w:spacing w:line="360" w:lineRule="auto"/>
        <w:ind w:firstLine="480" w:firstLineChars="200"/>
        <w:rPr>
          <w:rFonts w:ascii="宋体" w:hAnsi="宋体"/>
          <w:sz w:val="24"/>
        </w:rPr>
      </w:pPr>
      <w:r>
        <w:rPr>
          <w:rFonts w:hint="eastAsia" w:ascii="宋体" w:hAnsi="宋体"/>
          <w:sz w:val="24"/>
        </w:rPr>
        <w:t>2、2021年12月17日至2021年12月27日，公司将本次拟首次授予激励对象的姓名及职务在公司内部予以公示。在公示期内，公司监事会未收到任何对本次拟首次授予激励对象提出的异议。2021年12月28日，公司披露了《江苏吴中医药发展股份有限公司监事会关于公司2021年限制性股票激励计划首次授予激励对象名单的公示情况说明及核查意见》。</w:t>
      </w:r>
    </w:p>
    <w:p>
      <w:pPr>
        <w:spacing w:line="360" w:lineRule="auto"/>
        <w:ind w:firstLine="480" w:firstLineChars="200"/>
        <w:rPr>
          <w:rFonts w:ascii="宋体" w:hAnsi="宋体"/>
          <w:sz w:val="24"/>
        </w:rPr>
      </w:pPr>
      <w:r>
        <w:rPr>
          <w:rFonts w:hint="eastAsia" w:ascii="宋体" w:hAnsi="宋体"/>
          <w:sz w:val="24"/>
        </w:rPr>
        <w:t>3、2022年1月5日，公司召开2022年第一次临时股东大会,审议通过了《关于&lt;江苏吴中医药发展股份有限公司2021年限制性股票激励计划（草案）&gt;及其摘要的议案》《关于&lt;江苏吴中医药发展股份有限公司2021年限制性股票激励计划实施考核管理办法&gt;的议案》《关于提请股东大会授权董事会办理公司股权激励计划相关事项的议案》等议案。2022年1月6日，公司披露了《江苏吴中医药发展股份有限公司关于2021 年限制性股票激励计划内幕信息知情人买卖公司股票情况的自查报告》，未发现本次激励计划的内幕信息知情人存在利用本次激励计划相关内幕信息买卖公司股票的行为或泄露本激励计划有关内幕信息导致内幕交易发生的情形。</w:t>
      </w:r>
    </w:p>
    <w:p>
      <w:pPr>
        <w:spacing w:before="156" w:beforeLines="50" w:line="360" w:lineRule="auto"/>
        <w:ind w:firstLine="480" w:firstLineChars="200"/>
        <w:rPr>
          <w:rFonts w:asciiTheme="minorEastAsia" w:hAnsiTheme="minorEastAsia" w:eastAsiaTheme="minorEastAsia"/>
          <w:sz w:val="24"/>
        </w:rPr>
      </w:pPr>
      <w:r>
        <w:rPr>
          <w:rFonts w:hint="eastAsia" w:ascii="宋体" w:hAnsi="宋体"/>
          <w:sz w:val="24"/>
        </w:rPr>
        <w:t>4、2022年2月16日，公司召开第十届董事会2022年第二次临时会议（通讯表决）及第十届监事会2022年第一次临时会议（通讯表决），审议通过了《关于调整公司2021年限制性股票激励计划首次授予激励对象名单及授予数量的议案》《关于向公司2021年限制性股票激励计划激励对象首次授予限制性股票的议案》。同意公司本激励计划拟首次授予的激励对象人数由</w:t>
      </w:r>
      <w:r>
        <w:rPr>
          <w:rFonts w:ascii="宋体" w:hAnsi="宋体"/>
          <w:sz w:val="24"/>
        </w:rPr>
        <w:t>143人</w:t>
      </w:r>
      <w:r>
        <w:rPr>
          <w:rFonts w:hint="eastAsia" w:ascii="宋体" w:hAnsi="宋体"/>
          <w:sz w:val="24"/>
          <w:highlight w:val="none"/>
        </w:rPr>
        <w:t>调整为</w:t>
      </w:r>
      <w:r>
        <w:rPr>
          <w:rFonts w:ascii="宋体" w:hAnsi="宋体"/>
          <w:sz w:val="24"/>
          <w:highlight w:val="none"/>
        </w:rPr>
        <w:t>110</w:t>
      </w:r>
      <w:r>
        <w:rPr>
          <w:rFonts w:hint="eastAsia" w:ascii="宋体" w:hAnsi="宋体"/>
          <w:sz w:val="24"/>
          <w:highlight w:val="none"/>
        </w:rPr>
        <w:t>人</w:t>
      </w:r>
      <w:r>
        <w:rPr>
          <w:rFonts w:hint="eastAsia" w:ascii="宋体" w:hAnsi="宋体"/>
          <w:sz w:val="24"/>
        </w:rPr>
        <w:t>，首次授予限制性股票数量</w:t>
      </w:r>
      <w:r>
        <w:rPr>
          <w:rFonts w:hint="eastAsia" w:ascii="宋体" w:hAnsi="宋体"/>
          <w:sz w:val="24"/>
          <w:highlight w:val="none"/>
        </w:rPr>
        <w:t>由</w:t>
      </w:r>
      <w:r>
        <w:rPr>
          <w:rFonts w:ascii="宋体" w:hAnsi="宋体"/>
          <w:sz w:val="24"/>
          <w:highlight w:val="none"/>
        </w:rPr>
        <w:t xml:space="preserve">374.0000 </w:t>
      </w:r>
      <w:r>
        <w:rPr>
          <w:rFonts w:hint="eastAsia" w:ascii="宋体" w:hAnsi="宋体"/>
          <w:sz w:val="24"/>
          <w:highlight w:val="none"/>
        </w:rPr>
        <w:t>万股调整为</w:t>
      </w:r>
      <w:r>
        <w:rPr>
          <w:rFonts w:ascii="宋体" w:hAnsi="宋体"/>
          <w:sz w:val="24"/>
        </w:rPr>
        <w:t>331.9000</w:t>
      </w:r>
      <w:r>
        <w:rPr>
          <w:rFonts w:hint="eastAsia" w:ascii="宋体" w:hAnsi="宋体"/>
          <w:sz w:val="24"/>
          <w:highlight w:val="none"/>
        </w:rPr>
        <w:t>万股</w:t>
      </w:r>
      <w:r>
        <w:rPr>
          <w:rFonts w:hint="eastAsia" w:ascii="宋体" w:hAnsi="宋体"/>
          <w:sz w:val="24"/>
        </w:rPr>
        <w:t>；预留授予限制性股票由</w:t>
      </w:r>
      <w:r>
        <w:rPr>
          <w:rFonts w:ascii="宋体" w:hAnsi="宋体"/>
          <w:sz w:val="24"/>
        </w:rPr>
        <w:t>38.4303万股调整为80.5303</w:t>
      </w:r>
      <w:r>
        <w:rPr>
          <w:rFonts w:hint="eastAsia" w:ascii="宋体" w:hAnsi="宋体"/>
          <w:sz w:val="24"/>
          <w:highlight w:val="none"/>
        </w:rPr>
        <w:t>万</w:t>
      </w:r>
      <w:r>
        <w:rPr>
          <w:rFonts w:hint="eastAsia" w:ascii="宋体" w:hAnsi="宋体"/>
          <w:sz w:val="24"/>
        </w:rPr>
        <w:t>股，本激励计划拟授予的限制性股票总数不变。公司董事会认为本次激励计划规定的限制性股票的首次授予条件已经成就，</w:t>
      </w:r>
      <w:r>
        <w:rPr>
          <w:rFonts w:hint="eastAsia" w:asciiTheme="minorEastAsia" w:hAnsiTheme="minorEastAsia" w:eastAsiaTheme="minorEastAsia"/>
          <w:sz w:val="24"/>
        </w:rPr>
        <w:t>同意确定以</w:t>
      </w:r>
      <w:r>
        <w:rPr>
          <w:rFonts w:asciiTheme="minorEastAsia" w:hAnsiTheme="minorEastAsia" w:eastAsiaTheme="minorEastAsia"/>
          <w:sz w:val="24"/>
          <w:highlight w:val="none"/>
        </w:rPr>
        <w:t>2022年2月16日为限制性股票首次授予日，向符合条件的110</w:t>
      </w:r>
      <w:r>
        <w:rPr>
          <w:rFonts w:hint="eastAsia" w:asciiTheme="minorEastAsia" w:hAnsiTheme="minorEastAsia" w:eastAsiaTheme="minorEastAsia"/>
          <w:sz w:val="24"/>
          <w:highlight w:val="none"/>
        </w:rPr>
        <w:t>名激励对象授予</w:t>
      </w:r>
      <w:r>
        <w:rPr>
          <w:rFonts w:asciiTheme="minorEastAsia" w:hAnsiTheme="minorEastAsia" w:eastAsiaTheme="minorEastAsia"/>
          <w:sz w:val="24"/>
        </w:rPr>
        <w:t>331.9000</w:t>
      </w:r>
      <w:r>
        <w:rPr>
          <w:rFonts w:hint="eastAsia" w:asciiTheme="minorEastAsia" w:hAnsiTheme="minorEastAsia" w:eastAsiaTheme="minorEastAsia"/>
          <w:sz w:val="24"/>
          <w:highlight w:val="none"/>
        </w:rPr>
        <w:t>万股限制性股票</w:t>
      </w:r>
      <w:r>
        <w:rPr>
          <w:rFonts w:hint="eastAsia" w:asciiTheme="minorEastAsia" w:hAnsiTheme="minorEastAsia" w:eastAsiaTheme="minorEastAsia"/>
          <w:sz w:val="24"/>
        </w:rPr>
        <w:t>，授予价格为3.68元/股。公司监事会对调整后的激励对象名单再次进行了核实并发表了明确同意的意见。公司独立董事对此发表了同意的独立意见。</w:t>
      </w:r>
    </w:p>
    <w:p>
      <w:pPr>
        <w:spacing w:line="360" w:lineRule="auto"/>
        <w:ind w:firstLine="482" w:firstLineChars="200"/>
        <w:rPr>
          <w:rFonts w:ascii="宋体" w:hAnsi="宋体"/>
          <w:b/>
          <w:sz w:val="24"/>
        </w:rPr>
      </w:pPr>
      <w:r>
        <w:rPr>
          <w:rFonts w:hint="eastAsia" w:ascii="宋体" w:hAnsi="宋体"/>
          <w:b/>
          <w:sz w:val="24"/>
        </w:rPr>
        <w:t>二、本次激励对象名单及授予数量调整的情况说明</w:t>
      </w:r>
    </w:p>
    <w:p>
      <w:pPr>
        <w:spacing w:line="360" w:lineRule="auto"/>
        <w:ind w:firstLine="480" w:firstLineChars="200"/>
        <w:jc w:val="both"/>
        <w:rPr>
          <w:rFonts w:ascii="宋体" w:hAnsi="宋体"/>
          <w:sz w:val="24"/>
        </w:rPr>
      </w:pPr>
      <w:r>
        <w:rPr>
          <w:rFonts w:hint="eastAsia" w:ascii="宋体" w:hAnsi="宋体"/>
          <w:sz w:val="24"/>
        </w:rPr>
        <w:t>鉴于首次授予激励对象中</w:t>
      </w:r>
      <w:r>
        <w:rPr>
          <w:rFonts w:hint="eastAsia" w:ascii="宋体" w:hAnsi="宋体"/>
          <w:sz w:val="24"/>
          <w:highlight w:val="none"/>
          <w:lang w:val="en-US" w:eastAsia="zh-CN"/>
        </w:rPr>
        <w:t>部分</w:t>
      </w:r>
      <w:r>
        <w:rPr>
          <w:rFonts w:hint="eastAsia" w:ascii="宋体" w:hAnsi="宋体"/>
          <w:sz w:val="24"/>
          <w:highlight w:val="none"/>
        </w:rPr>
        <w:t>激励对</w:t>
      </w:r>
      <w:r>
        <w:rPr>
          <w:rFonts w:hint="eastAsia" w:ascii="宋体" w:hAnsi="宋体"/>
          <w:sz w:val="24"/>
        </w:rPr>
        <w:t>象因个人原因自愿放弃拟授予其的全部限制性股票</w:t>
      </w:r>
      <w:r>
        <w:rPr>
          <w:rFonts w:ascii="宋体" w:hAnsi="宋体"/>
          <w:sz w:val="24"/>
        </w:rPr>
        <w:t>42.1000</w:t>
      </w:r>
      <w:r>
        <w:rPr>
          <w:rFonts w:hint="eastAsia" w:ascii="宋体" w:hAnsi="宋体"/>
          <w:sz w:val="24"/>
        </w:rPr>
        <w:t>万股，公司董事会根据本激励计划规定及</w:t>
      </w:r>
      <w:r>
        <w:rPr>
          <w:rFonts w:ascii="宋体" w:hAnsi="宋体"/>
          <w:sz w:val="24"/>
        </w:rPr>
        <w:t>2022年第一次临时股东大会的授权，对本激励计划拟首次授予激励对象名单及授予数量进行调整。</w:t>
      </w:r>
    </w:p>
    <w:p>
      <w:pPr>
        <w:spacing w:line="360" w:lineRule="auto"/>
        <w:ind w:firstLine="480" w:firstLineChars="200"/>
        <w:jc w:val="both"/>
        <w:rPr>
          <w:rFonts w:ascii="宋体" w:hAnsi="宋体"/>
          <w:sz w:val="24"/>
        </w:rPr>
      </w:pPr>
      <w:r>
        <w:rPr>
          <w:rFonts w:hint="eastAsia" w:ascii="宋体" w:hAnsi="宋体"/>
          <w:sz w:val="24"/>
        </w:rPr>
        <w:t>调整后，公司本激励计划拟首次授予的激励对象人数由</w:t>
      </w:r>
      <w:r>
        <w:rPr>
          <w:rFonts w:ascii="宋体" w:hAnsi="宋体"/>
          <w:sz w:val="24"/>
        </w:rPr>
        <w:t>143人</w:t>
      </w:r>
      <w:r>
        <w:rPr>
          <w:rFonts w:hint="eastAsia" w:ascii="宋体" w:hAnsi="宋体"/>
          <w:sz w:val="24"/>
          <w:highlight w:val="none"/>
        </w:rPr>
        <w:t>调整为</w:t>
      </w:r>
      <w:r>
        <w:rPr>
          <w:rFonts w:ascii="宋体" w:hAnsi="宋体"/>
          <w:sz w:val="24"/>
          <w:highlight w:val="none"/>
        </w:rPr>
        <w:t>110</w:t>
      </w:r>
      <w:r>
        <w:rPr>
          <w:rFonts w:hint="eastAsia" w:ascii="宋体" w:hAnsi="宋体"/>
          <w:sz w:val="24"/>
          <w:highlight w:val="none"/>
        </w:rPr>
        <w:t>人</w:t>
      </w:r>
      <w:r>
        <w:rPr>
          <w:rFonts w:hint="eastAsia" w:ascii="宋体" w:hAnsi="宋体"/>
          <w:sz w:val="24"/>
        </w:rPr>
        <w:t>，首次授予限制性股票数量</w:t>
      </w:r>
      <w:r>
        <w:rPr>
          <w:rFonts w:hint="eastAsia" w:ascii="宋体" w:hAnsi="宋体"/>
          <w:sz w:val="24"/>
          <w:highlight w:val="none"/>
        </w:rPr>
        <w:t>由</w:t>
      </w:r>
      <w:r>
        <w:rPr>
          <w:rFonts w:ascii="宋体" w:hAnsi="宋体"/>
          <w:sz w:val="24"/>
          <w:highlight w:val="none"/>
        </w:rPr>
        <w:t>374.0000</w:t>
      </w:r>
      <w:r>
        <w:rPr>
          <w:rFonts w:hint="eastAsia" w:ascii="宋体" w:hAnsi="宋体"/>
          <w:sz w:val="24"/>
          <w:highlight w:val="none"/>
        </w:rPr>
        <w:t>万股调整为</w:t>
      </w:r>
      <w:r>
        <w:rPr>
          <w:rFonts w:ascii="宋体" w:hAnsi="宋体"/>
          <w:sz w:val="24"/>
        </w:rPr>
        <w:t>331.9000</w:t>
      </w:r>
      <w:r>
        <w:rPr>
          <w:rFonts w:hint="eastAsia" w:ascii="宋体" w:hAnsi="宋体"/>
          <w:sz w:val="24"/>
          <w:highlight w:val="none"/>
        </w:rPr>
        <w:t>万股</w:t>
      </w:r>
      <w:r>
        <w:rPr>
          <w:rFonts w:hint="eastAsia" w:ascii="宋体" w:hAnsi="宋体"/>
          <w:sz w:val="24"/>
        </w:rPr>
        <w:t>；预留授予限制性股票由</w:t>
      </w:r>
      <w:r>
        <w:rPr>
          <w:rFonts w:ascii="宋体" w:hAnsi="宋体"/>
          <w:sz w:val="24"/>
        </w:rPr>
        <w:t>38.4303万股调整为80.5303</w:t>
      </w:r>
      <w:r>
        <w:rPr>
          <w:rFonts w:hint="eastAsia" w:ascii="宋体" w:hAnsi="宋体"/>
          <w:sz w:val="24"/>
          <w:highlight w:val="none"/>
        </w:rPr>
        <w:t>万</w:t>
      </w:r>
      <w:r>
        <w:rPr>
          <w:rFonts w:hint="eastAsia" w:ascii="宋体" w:hAnsi="宋体"/>
          <w:sz w:val="24"/>
        </w:rPr>
        <w:t>股，本激励计划拟授予的限制性股票总数不变。</w:t>
      </w:r>
    </w:p>
    <w:p>
      <w:pPr>
        <w:spacing w:line="360" w:lineRule="auto"/>
        <w:ind w:firstLine="480" w:firstLineChars="200"/>
        <w:rPr>
          <w:rFonts w:ascii="宋体" w:hAnsi="宋体"/>
          <w:sz w:val="24"/>
        </w:rPr>
      </w:pPr>
      <w:r>
        <w:rPr>
          <w:rFonts w:hint="eastAsia" w:ascii="宋体" w:hAnsi="宋体"/>
          <w:sz w:val="24"/>
        </w:rPr>
        <w:t>调整后的激励对象名单及授予分配情况如下：</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54"/>
        <w:gridCol w:w="1742"/>
        <w:gridCol w:w="2016"/>
        <w:gridCol w:w="2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616" w:type="pct"/>
            <w:vAlign w:val="center"/>
          </w:tcPr>
          <w:p>
            <w:pPr>
              <w:spacing w:before="100" w:beforeAutospacing="1" w:after="100" w:afterAutospacing="1" w:line="360" w:lineRule="auto"/>
              <w:jc w:val="center"/>
              <w:rPr>
                <w:b/>
                <w:szCs w:val="21"/>
              </w:rPr>
            </w:pPr>
            <w:r>
              <w:rPr>
                <w:b/>
                <w:szCs w:val="21"/>
              </w:rPr>
              <w:t>职务</w:t>
            </w:r>
          </w:p>
        </w:tc>
        <w:tc>
          <w:tcPr>
            <w:tcW w:w="1022" w:type="pct"/>
            <w:vAlign w:val="center"/>
          </w:tcPr>
          <w:p>
            <w:pPr>
              <w:spacing w:before="100" w:beforeAutospacing="1" w:after="100" w:afterAutospacing="1" w:line="276" w:lineRule="auto"/>
              <w:jc w:val="center"/>
              <w:rPr>
                <w:b/>
                <w:szCs w:val="21"/>
              </w:rPr>
            </w:pPr>
            <w:r>
              <w:rPr>
                <w:b/>
                <w:szCs w:val="21"/>
              </w:rPr>
              <w:t>获授的限制性股票数量</w:t>
            </w:r>
            <w:r>
              <w:rPr>
                <w:rFonts w:hint="eastAsia"/>
                <w:b/>
                <w:szCs w:val="21"/>
              </w:rPr>
              <w:t>（</w:t>
            </w:r>
            <w:r>
              <w:rPr>
                <w:b/>
                <w:szCs w:val="21"/>
              </w:rPr>
              <w:t>万股</w:t>
            </w:r>
            <w:r>
              <w:rPr>
                <w:rFonts w:hint="eastAsia"/>
                <w:b/>
                <w:szCs w:val="21"/>
              </w:rPr>
              <w:t>）</w:t>
            </w:r>
          </w:p>
        </w:tc>
        <w:tc>
          <w:tcPr>
            <w:tcW w:w="1183" w:type="pct"/>
            <w:vAlign w:val="center"/>
          </w:tcPr>
          <w:p>
            <w:pPr>
              <w:spacing w:before="100" w:beforeAutospacing="1" w:after="100" w:afterAutospacing="1" w:line="276" w:lineRule="auto"/>
              <w:jc w:val="center"/>
              <w:rPr>
                <w:b/>
                <w:szCs w:val="21"/>
              </w:rPr>
            </w:pPr>
            <w:r>
              <w:rPr>
                <w:b/>
                <w:szCs w:val="21"/>
              </w:rPr>
              <w:t>占本激励计划授出权益数量的比例</w:t>
            </w:r>
          </w:p>
        </w:tc>
        <w:tc>
          <w:tcPr>
            <w:tcW w:w="1179" w:type="pct"/>
            <w:vAlign w:val="center"/>
          </w:tcPr>
          <w:p>
            <w:pPr>
              <w:spacing w:before="100" w:beforeAutospacing="1" w:after="100" w:afterAutospacing="1" w:line="276" w:lineRule="auto"/>
              <w:jc w:val="center"/>
              <w:rPr>
                <w:b/>
                <w:szCs w:val="21"/>
              </w:rPr>
            </w:pPr>
            <w:r>
              <w:rPr>
                <w:b/>
                <w:szCs w:val="21"/>
              </w:rPr>
              <w:t>占授予时股本总额比例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16" w:type="pct"/>
            <w:vAlign w:val="center"/>
          </w:tcPr>
          <w:p>
            <w:pPr>
              <w:jc w:val="center"/>
              <w:rPr>
                <w:szCs w:val="21"/>
              </w:rPr>
            </w:pPr>
            <w:r>
              <w:rPr>
                <w:rFonts w:hint="eastAsia"/>
                <w:szCs w:val="21"/>
              </w:rPr>
              <w:t>核心技术人员</w:t>
            </w:r>
            <w:r>
              <w:rPr>
                <w:szCs w:val="21"/>
              </w:rPr>
              <w:t>及</w:t>
            </w:r>
            <w:r>
              <w:rPr>
                <w:rFonts w:hint="eastAsia"/>
                <w:szCs w:val="21"/>
              </w:rPr>
              <w:t>核心业务</w:t>
            </w:r>
          </w:p>
          <w:p>
            <w:pPr>
              <w:jc w:val="center"/>
              <w:rPr>
                <w:szCs w:val="21"/>
              </w:rPr>
            </w:pPr>
            <w:r>
              <w:rPr>
                <w:rFonts w:hint="eastAsia"/>
                <w:szCs w:val="21"/>
              </w:rPr>
              <w:t>人</w:t>
            </w:r>
            <w:r>
              <w:rPr>
                <w:rFonts w:hint="eastAsia"/>
                <w:szCs w:val="21"/>
                <w:highlight w:val="none"/>
              </w:rPr>
              <w:t>员（</w:t>
            </w:r>
            <w:r>
              <w:rPr>
                <w:szCs w:val="21"/>
                <w:highlight w:val="none"/>
              </w:rPr>
              <w:t>110</w:t>
            </w:r>
            <w:r>
              <w:rPr>
                <w:rFonts w:hint="eastAsia"/>
                <w:szCs w:val="21"/>
                <w:highlight w:val="none"/>
              </w:rPr>
              <w:t>人）</w:t>
            </w:r>
          </w:p>
        </w:tc>
        <w:tc>
          <w:tcPr>
            <w:tcW w:w="1022" w:type="pct"/>
            <w:vAlign w:val="center"/>
          </w:tcPr>
          <w:p>
            <w:pPr>
              <w:spacing w:line="360" w:lineRule="auto"/>
              <w:jc w:val="center"/>
              <w:rPr>
                <w:szCs w:val="21"/>
                <w:highlight w:val="yellow"/>
              </w:rPr>
            </w:pPr>
            <w:r>
              <w:rPr>
                <w:szCs w:val="21"/>
              </w:rPr>
              <w:t>331.9000</w:t>
            </w:r>
          </w:p>
        </w:tc>
        <w:tc>
          <w:tcPr>
            <w:tcW w:w="1183" w:type="pct"/>
            <w:vAlign w:val="center"/>
          </w:tcPr>
          <w:p>
            <w:pPr>
              <w:spacing w:line="360" w:lineRule="auto"/>
              <w:jc w:val="center"/>
              <w:rPr>
                <w:szCs w:val="21"/>
                <w:highlight w:val="yellow"/>
              </w:rPr>
            </w:pPr>
            <w:r>
              <w:rPr>
                <w:szCs w:val="21"/>
              </w:rPr>
              <w:t>80.47%</w:t>
            </w:r>
          </w:p>
        </w:tc>
        <w:tc>
          <w:tcPr>
            <w:tcW w:w="1179" w:type="pct"/>
            <w:vAlign w:val="center"/>
          </w:tcPr>
          <w:p>
            <w:pPr>
              <w:spacing w:line="360" w:lineRule="auto"/>
              <w:jc w:val="center"/>
              <w:rPr>
                <w:szCs w:val="21"/>
                <w:highlight w:val="yellow"/>
              </w:rPr>
            </w:pPr>
            <w:r>
              <w:rPr>
                <w:szCs w:val="21"/>
              </w:rPr>
              <w:t>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16" w:type="pct"/>
            <w:vAlign w:val="center"/>
          </w:tcPr>
          <w:p>
            <w:pPr>
              <w:spacing w:line="360" w:lineRule="auto"/>
              <w:jc w:val="center"/>
              <w:rPr>
                <w:szCs w:val="21"/>
              </w:rPr>
            </w:pPr>
            <w:r>
              <w:rPr>
                <w:szCs w:val="21"/>
              </w:rPr>
              <w:t>预留</w:t>
            </w:r>
          </w:p>
        </w:tc>
        <w:tc>
          <w:tcPr>
            <w:tcW w:w="1022" w:type="pct"/>
            <w:vAlign w:val="center"/>
          </w:tcPr>
          <w:p>
            <w:pPr>
              <w:spacing w:line="360" w:lineRule="auto"/>
              <w:jc w:val="center"/>
              <w:rPr>
                <w:szCs w:val="21"/>
                <w:highlight w:val="yellow"/>
              </w:rPr>
            </w:pPr>
            <w:r>
              <w:rPr>
                <w:szCs w:val="21"/>
              </w:rPr>
              <w:t>80.5303</w:t>
            </w:r>
          </w:p>
        </w:tc>
        <w:tc>
          <w:tcPr>
            <w:tcW w:w="1183" w:type="pct"/>
            <w:vAlign w:val="center"/>
          </w:tcPr>
          <w:p>
            <w:pPr>
              <w:spacing w:line="360" w:lineRule="auto"/>
              <w:jc w:val="center"/>
              <w:rPr>
                <w:szCs w:val="21"/>
                <w:highlight w:val="yellow"/>
              </w:rPr>
            </w:pPr>
            <w:r>
              <w:rPr>
                <w:szCs w:val="21"/>
              </w:rPr>
              <w:t>19.53%</w:t>
            </w:r>
          </w:p>
        </w:tc>
        <w:tc>
          <w:tcPr>
            <w:tcW w:w="1179" w:type="pct"/>
            <w:vAlign w:val="center"/>
          </w:tcPr>
          <w:p>
            <w:pPr>
              <w:spacing w:line="360" w:lineRule="auto"/>
              <w:jc w:val="center"/>
              <w:rPr>
                <w:szCs w:val="21"/>
                <w:highlight w:val="yellow"/>
              </w:rPr>
            </w:pPr>
            <w:r>
              <w:rPr>
                <w:szCs w:val="21"/>
              </w:rPr>
              <w:t>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16" w:type="pct"/>
            <w:vAlign w:val="center"/>
          </w:tcPr>
          <w:p>
            <w:pPr>
              <w:spacing w:line="360" w:lineRule="auto"/>
              <w:jc w:val="center"/>
              <w:rPr>
                <w:szCs w:val="21"/>
              </w:rPr>
            </w:pPr>
            <w:r>
              <w:rPr>
                <w:szCs w:val="21"/>
              </w:rPr>
              <w:t>合计</w:t>
            </w:r>
          </w:p>
        </w:tc>
        <w:tc>
          <w:tcPr>
            <w:tcW w:w="1022" w:type="pct"/>
            <w:vAlign w:val="center"/>
          </w:tcPr>
          <w:p>
            <w:pPr>
              <w:spacing w:line="360" w:lineRule="auto"/>
              <w:jc w:val="center"/>
              <w:rPr>
                <w:szCs w:val="21"/>
              </w:rPr>
            </w:pPr>
            <w:r>
              <w:rPr>
                <w:szCs w:val="21"/>
              </w:rPr>
              <w:t xml:space="preserve">412.4303 </w:t>
            </w:r>
          </w:p>
        </w:tc>
        <w:tc>
          <w:tcPr>
            <w:tcW w:w="1183" w:type="pct"/>
            <w:vAlign w:val="center"/>
          </w:tcPr>
          <w:p>
            <w:pPr>
              <w:spacing w:line="360" w:lineRule="auto"/>
              <w:jc w:val="center"/>
              <w:rPr>
                <w:szCs w:val="21"/>
              </w:rPr>
            </w:pPr>
            <w:r>
              <w:rPr>
                <w:szCs w:val="21"/>
              </w:rPr>
              <w:t>100.00%</w:t>
            </w:r>
          </w:p>
        </w:tc>
        <w:tc>
          <w:tcPr>
            <w:tcW w:w="1179" w:type="pct"/>
            <w:vAlign w:val="center"/>
          </w:tcPr>
          <w:p>
            <w:pPr>
              <w:spacing w:line="360" w:lineRule="auto"/>
              <w:jc w:val="center"/>
              <w:rPr>
                <w:szCs w:val="21"/>
              </w:rPr>
            </w:pPr>
            <w:r>
              <w:rPr>
                <w:szCs w:val="21"/>
              </w:rPr>
              <w:t>0.58%</w:t>
            </w:r>
          </w:p>
        </w:tc>
      </w:tr>
    </w:tbl>
    <w:p>
      <w:pPr>
        <w:spacing w:before="156" w:beforeLines="50" w:after="156" w:line="300" w:lineRule="auto"/>
        <w:rPr>
          <w:szCs w:val="21"/>
        </w:rPr>
      </w:pPr>
      <w:r>
        <w:rPr>
          <w:rFonts w:hint="eastAsia"/>
          <w:szCs w:val="21"/>
        </w:rPr>
        <w:t>注：上表中部分合计数与各明细数相加之和在尾数上如有差异，系以上百分比结果四舍五入所致。</w:t>
      </w:r>
    </w:p>
    <w:p>
      <w:pPr>
        <w:spacing w:line="360" w:lineRule="auto"/>
        <w:ind w:firstLine="480" w:firstLineChars="200"/>
        <w:rPr>
          <w:rFonts w:ascii="宋体" w:hAnsi="宋体"/>
          <w:sz w:val="24"/>
        </w:rPr>
      </w:pPr>
      <w:r>
        <w:rPr>
          <w:rFonts w:hint="eastAsia" w:ascii="宋体" w:hAnsi="宋体"/>
          <w:sz w:val="24"/>
        </w:rPr>
        <w:t>本次激励计划首次授予激励对象名单详见公司于</w:t>
      </w:r>
      <w:r>
        <w:rPr>
          <w:rFonts w:ascii="宋体" w:hAnsi="宋体"/>
          <w:sz w:val="24"/>
        </w:rPr>
        <w:t>2022年2月17</w:t>
      </w:r>
      <w:r>
        <w:rPr>
          <w:rFonts w:hint="eastAsia" w:ascii="宋体" w:hAnsi="宋体"/>
          <w:sz w:val="24"/>
        </w:rPr>
        <w:t>日</w:t>
      </w:r>
      <w:r>
        <w:rPr>
          <w:rFonts w:ascii="宋体" w:hAnsi="宋体"/>
          <w:sz w:val="24"/>
        </w:rPr>
        <w:t>在上海证券交易所网站</w:t>
      </w:r>
      <w:r>
        <w:rPr>
          <w:rFonts w:hint="eastAsia" w:ascii="宋体" w:hAnsi="宋体"/>
          <w:sz w:val="24"/>
        </w:rPr>
        <w:t>（</w:t>
      </w:r>
      <w:r>
        <w:rPr>
          <w:rFonts w:ascii="宋体" w:hAnsi="宋体"/>
          <w:sz w:val="24"/>
        </w:rPr>
        <w:t>www.sse.com.cn</w:t>
      </w:r>
      <w:r>
        <w:rPr>
          <w:rFonts w:hint="eastAsia" w:ascii="宋体" w:hAnsi="宋体"/>
          <w:sz w:val="24"/>
        </w:rPr>
        <w:t>）上披露的《公司</w:t>
      </w:r>
      <w:r>
        <w:rPr>
          <w:rFonts w:ascii="宋体" w:hAnsi="宋体"/>
          <w:sz w:val="24"/>
        </w:rPr>
        <w:t>2021年</w:t>
      </w:r>
      <w:r>
        <w:rPr>
          <w:rFonts w:hint="eastAsia" w:ascii="宋体" w:hAnsi="宋体"/>
          <w:sz w:val="24"/>
        </w:rPr>
        <w:t>限制性股票激励计划首次授予激励对象名单（授予日）》。</w:t>
      </w:r>
    </w:p>
    <w:p>
      <w:pPr>
        <w:spacing w:line="360" w:lineRule="auto"/>
        <w:ind w:firstLine="480" w:firstLineChars="200"/>
        <w:rPr>
          <w:rFonts w:ascii="宋体" w:hAnsi="宋体"/>
          <w:sz w:val="24"/>
        </w:rPr>
      </w:pPr>
      <w:r>
        <w:rPr>
          <w:rFonts w:hint="eastAsia" w:ascii="宋体" w:hAnsi="宋体"/>
          <w:sz w:val="24"/>
        </w:rPr>
        <w:t>除上述调整内容外，本次实施的激励计划其他内容与公司2022年第一次临时股东大会审议通过的《激励计划》一致。本次调整内容在公司2022年第一次临时股东大会对董事会的授权范围内，无需提交股东大会审议。</w:t>
      </w:r>
    </w:p>
    <w:p>
      <w:pPr>
        <w:spacing w:line="360" w:lineRule="auto"/>
        <w:ind w:firstLine="482" w:firstLineChars="200"/>
        <w:rPr>
          <w:rFonts w:ascii="宋体" w:hAnsi="宋体"/>
          <w:b/>
          <w:sz w:val="24"/>
        </w:rPr>
      </w:pPr>
      <w:r>
        <w:rPr>
          <w:rFonts w:hint="eastAsia" w:ascii="宋体" w:hAnsi="宋体"/>
          <w:b/>
          <w:sz w:val="24"/>
        </w:rPr>
        <w:t>三、本次调整事项对公司的影响</w:t>
      </w:r>
    </w:p>
    <w:p>
      <w:pPr>
        <w:spacing w:line="360" w:lineRule="auto"/>
        <w:ind w:firstLine="480" w:firstLineChars="200"/>
        <w:rPr>
          <w:rFonts w:ascii="宋体" w:hAnsi="宋体"/>
          <w:sz w:val="24"/>
        </w:rPr>
      </w:pPr>
      <w:r>
        <w:rPr>
          <w:rFonts w:hint="eastAsia" w:ascii="宋体" w:hAnsi="宋体"/>
          <w:sz w:val="24"/>
        </w:rPr>
        <w:t>公司对本次激励计划激励对象名单及授予数量的调整不会对公司的财务状况和经营成果产生实质性影响。</w:t>
      </w:r>
    </w:p>
    <w:p>
      <w:pPr>
        <w:spacing w:line="360" w:lineRule="auto"/>
        <w:ind w:firstLine="482" w:firstLineChars="200"/>
        <w:rPr>
          <w:rFonts w:ascii="宋体" w:hAnsi="宋体"/>
          <w:b/>
          <w:sz w:val="24"/>
        </w:rPr>
      </w:pPr>
      <w:r>
        <w:rPr>
          <w:rFonts w:hint="eastAsia" w:ascii="宋体" w:hAnsi="宋体"/>
          <w:b/>
          <w:sz w:val="24"/>
        </w:rPr>
        <w:t>四、独立董事独立意见</w:t>
      </w:r>
    </w:p>
    <w:p>
      <w:pPr>
        <w:spacing w:before="156" w:beforeLines="50" w:line="360" w:lineRule="auto"/>
        <w:ind w:firstLine="480" w:firstLineChars="200"/>
        <w:rPr>
          <w:rFonts w:ascii="宋体" w:hAnsi="宋体"/>
          <w:sz w:val="24"/>
        </w:rPr>
      </w:pPr>
      <w:r>
        <w:rPr>
          <w:rFonts w:hint="eastAsia" w:ascii="宋体" w:hAnsi="宋体"/>
          <w:sz w:val="24"/>
        </w:rPr>
        <w:t>公司独立董事对本次调整事项出具了书面同意的意见：公司本次对2021年限制性股票激励计划首次授予激励对象名单及授予数量的调整，已经公司2022年第一次临时股东大会授权，作出的决议合法、有效，有利于公司的持续发展，不存在损害公司及全体股东利益的情形，符合《上市公司股权激励管理办法》（以下简称“《管理办法》”）等法律、法规、规范性文件以及《激励计划》的相关规定，并履行了必要的审议程序。调整后的激励对象名单不存在禁止获授限制性股票的情况，激励对象的主体资格合法、有效。综上所述，我们同意公司对2021年限制性股票激励计划首次授予激励对象名单及授予数量进行调整。</w:t>
      </w:r>
    </w:p>
    <w:p>
      <w:pPr>
        <w:spacing w:before="156" w:beforeLines="50"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五、监事会意见</w:t>
      </w:r>
    </w:p>
    <w:p>
      <w:pPr>
        <w:spacing w:line="460" w:lineRule="exact"/>
        <w:ind w:firstLine="480" w:firstLineChars="200"/>
        <w:rPr>
          <w:rFonts w:ascii="宋体" w:hAnsi="宋体"/>
          <w:sz w:val="24"/>
        </w:rPr>
      </w:pPr>
      <w:r>
        <w:rPr>
          <w:rFonts w:hint="eastAsia" w:ascii="宋体" w:hAnsi="宋体"/>
          <w:sz w:val="24"/>
        </w:rPr>
        <w:t>监事会认为：本次对2021年限制性股票激励计划首次授予激励对象名单及授予数量调整符合《管理办法》等相关法律法规以及《激励计划》的相关规定，不存在损害公司及全体股东利益的情形。调整后的激励对象符合《管理办法》及《激励计划》所规定的激励对象条件，其作为公司本次激励计划首次授予的激励对象的主体资格合法、有效。</w:t>
      </w:r>
    </w:p>
    <w:p>
      <w:pPr>
        <w:spacing w:before="156" w:beforeLines="50"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六、法律意见书的结论性意见</w:t>
      </w:r>
    </w:p>
    <w:p>
      <w:pPr>
        <w:spacing w:before="156" w:beforeLines="50" w:line="360" w:lineRule="auto"/>
        <w:ind w:firstLine="480" w:firstLineChars="200"/>
        <w:rPr>
          <w:rFonts w:asciiTheme="minorEastAsia" w:hAnsiTheme="minorEastAsia" w:eastAsiaTheme="minorEastAsia"/>
          <w:b w:val="0"/>
          <w:sz w:val="24"/>
          <w:highlight w:val="none"/>
        </w:rPr>
      </w:pPr>
      <w:r>
        <w:rPr>
          <w:rFonts w:hint="eastAsia" w:asciiTheme="minorEastAsia" w:hAnsiTheme="minorEastAsia" w:eastAsiaTheme="minorEastAsia"/>
          <w:b w:val="0"/>
          <w:sz w:val="24"/>
          <w:highlight w:val="none"/>
        </w:rPr>
        <w:t>浙江天册律师事务认为：</w:t>
      </w:r>
      <w:r>
        <w:rPr>
          <w:rFonts w:hint="eastAsia" w:asciiTheme="minorEastAsia" w:hAnsiTheme="minorEastAsia" w:eastAsiaTheme="minorEastAsia"/>
          <w:b w:val="0"/>
          <w:sz w:val="24"/>
          <w:highlight w:val="none"/>
        </w:rPr>
        <w:t>公司具备实施本次激励计划的主体资格和条件；公司本次激励计划所涉限制性股票调整和授予事宜已取得了现阶段必要的批准和授权；本次限制性股票调整和授予事宜及授予日及授予对象的确定符合《管理办法》等法律法规、规范性文件以及《激励计划（草案）》的相关规定，合法有效；公司本次限制性股票授予的前提条件均已成就，符合《激励计划（草案）》的相关规定。</w:t>
      </w:r>
    </w:p>
    <w:p>
      <w:pPr>
        <w:spacing w:before="156" w:beforeLines="50"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七、独立财务顾问核查意见</w:t>
      </w:r>
    </w:p>
    <w:p>
      <w:pPr>
        <w:spacing w:before="156" w:beforeLines="5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上海信公轶禾企业管理咨询有限公司认为：公司首次授予相关事项已取得了必要的批准与授权，本次限制性股票授予日、授予价格、授予对象、授予数量等的确定以及本次限制性股票激励计划的调整及授予事项符合《中华人民共和国公司法》《中华人民共和国证券法》《管理办法》等法律、法规和规范性文件的规定，公司不存在不符合公司2021年限制性股票激励计划规定的授予条件的情形。</w:t>
      </w:r>
    </w:p>
    <w:p>
      <w:pPr>
        <w:spacing w:before="156" w:beforeLines="50" w:line="360" w:lineRule="auto"/>
        <w:ind w:firstLine="480" w:firstLineChars="200"/>
        <w:rPr>
          <w:rFonts w:asciiTheme="minorEastAsia" w:hAnsiTheme="minorEastAsia" w:eastAsiaTheme="minorEastAsia"/>
          <w:sz w:val="24"/>
        </w:rPr>
      </w:pPr>
    </w:p>
    <w:p>
      <w:pPr>
        <w:spacing w:line="360" w:lineRule="auto"/>
        <w:ind w:firstLine="480" w:firstLineChars="200"/>
        <w:rPr>
          <w:rFonts w:ascii="宋体" w:hAnsi="宋体"/>
          <w:sz w:val="24"/>
        </w:rPr>
      </w:pPr>
      <w:r>
        <w:rPr>
          <w:rFonts w:ascii="宋体" w:hAnsi="宋体"/>
          <w:sz w:val="24"/>
        </w:rPr>
        <w:t>特此公告</w:t>
      </w:r>
      <w:r>
        <w:rPr>
          <w:rFonts w:hint="eastAsia" w:ascii="宋体" w:hAnsi="宋体"/>
          <w:sz w:val="24"/>
        </w:rPr>
        <w:t>。</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320" w:firstLineChars="1800"/>
        <w:jc w:val="right"/>
        <w:rPr>
          <w:rFonts w:ascii="宋体" w:hAnsi="宋体"/>
          <w:sz w:val="24"/>
        </w:rPr>
      </w:pPr>
      <w:r>
        <w:rPr>
          <w:rFonts w:hint="eastAsia" w:ascii="宋体" w:hAnsi="宋体"/>
          <w:sz w:val="24"/>
        </w:rPr>
        <w:t>江苏吴中医药发展股份有限公司</w:t>
      </w:r>
    </w:p>
    <w:p>
      <w:pPr>
        <w:spacing w:line="360" w:lineRule="auto"/>
        <w:ind w:right="1200" w:firstLine="4320" w:firstLineChars="1800"/>
        <w:jc w:val="right"/>
        <w:rPr>
          <w:rFonts w:ascii="宋体" w:hAnsi="宋体"/>
          <w:sz w:val="24"/>
        </w:rPr>
      </w:pPr>
      <w:r>
        <w:rPr>
          <w:rFonts w:hint="eastAsia" w:ascii="宋体" w:hAnsi="宋体"/>
          <w:sz w:val="24"/>
        </w:rPr>
        <w:t xml:space="preserve">董事会      </w:t>
      </w:r>
    </w:p>
    <w:p>
      <w:pPr>
        <w:spacing w:line="360" w:lineRule="auto"/>
        <w:ind w:right="480" w:firstLine="5220" w:firstLineChars="2175"/>
        <w:jc w:val="center"/>
        <w:rPr>
          <w:rFonts w:ascii="宋体" w:hAnsi="宋体"/>
          <w:sz w:val="24"/>
        </w:rPr>
      </w:pPr>
      <w:r>
        <w:rPr>
          <w:rFonts w:hint="eastAsia" w:ascii="宋体" w:hAnsi="宋体"/>
          <w:sz w:val="24"/>
        </w:rPr>
        <w:t xml:space="preserve">    2022年2月17日</w:t>
      </w:r>
    </w:p>
    <w:p>
      <w:pPr>
        <w:spacing w:line="360" w:lineRule="auto"/>
        <w:rPr>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426C3B"/>
    <w:multiLevelType w:val="multilevel"/>
    <w:tmpl w:val="73426C3B"/>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74CA3624"/>
    <w:multiLevelType w:val="multilevel"/>
    <w:tmpl w:val="74CA3624"/>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9C4"/>
    <w:rsid w:val="00001E62"/>
    <w:rsid w:val="00003634"/>
    <w:rsid w:val="000052DC"/>
    <w:rsid w:val="0001153F"/>
    <w:rsid w:val="00014AE5"/>
    <w:rsid w:val="00015559"/>
    <w:rsid w:val="0003171D"/>
    <w:rsid w:val="00034EAF"/>
    <w:rsid w:val="000377FA"/>
    <w:rsid w:val="00037B42"/>
    <w:rsid w:val="000514F9"/>
    <w:rsid w:val="00054AB4"/>
    <w:rsid w:val="00055DC4"/>
    <w:rsid w:val="00060AD4"/>
    <w:rsid w:val="0007113B"/>
    <w:rsid w:val="0007726A"/>
    <w:rsid w:val="00077985"/>
    <w:rsid w:val="00082AEF"/>
    <w:rsid w:val="00084BC3"/>
    <w:rsid w:val="0008586E"/>
    <w:rsid w:val="000B428E"/>
    <w:rsid w:val="000C1EBF"/>
    <w:rsid w:val="000D5160"/>
    <w:rsid w:val="000D59A8"/>
    <w:rsid w:val="000E2525"/>
    <w:rsid w:val="000E5928"/>
    <w:rsid w:val="000E7F53"/>
    <w:rsid w:val="000F4B47"/>
    <w:rsid w:val="00101299"/>
    <w:rsid w:val="001012CE"/>
    <w:rsid w:val="001044FC"/>
    <w:rsid w:val="00115DE0"/>
    <w:rsid w:val="00123151"/>
    <w:rsid w:val="00125BE8"/>
    <w:rsid w:val="00125EB5"/>
    <w:rsid w:val="001302DF"/>
    <w:rsid w:val="00141A30"/>
    <w:rsid w:val="0014235B"/>
    <w:rsid w:val="001449C0"/>
    <w:rsid w:val="00151157"/>
    <w:rsid w:val="00163205"/>
    <w:rsid w:val="00167B35"/>
    <w:rsid w:val="00173650"/>
    <w:rsid w:val="00173BB6"/>
    <w:rsid w:val="001741A0"/>
    <w:rsid w:val="00184711"/>
    <w:rsid w:val="00190F6C"/>
    <w:rsid w:val="00194544"/>
    <w:rsid w:val="001A4B2A"/>
    <w:rsid w:val="001A69DA"/>
    <w:rsid w:val="001A6F91"/>
    <w:rsid w:val="001C16DA"/>
    <w:rsid w:val="001D0721"/>
    <w:rsid w:val="001D198B"/>
    <w:rsid w:val="001E048D"/>
    <w:rsid w:val="001E39C4"/>
    <w:rsid w:val="001E49FF"/>
    <w:rsid w:val="001E57CA"/>
    <w:rsid w:val="001F02C0"/>
    <w:rsid w:val="001F698F"/>
    <w:rsid w:val="00201E57"/>
    <w:rsid w:val="00204DB0"/>
    <w:rsid w:val="002101B8"/>
    <w:rsid w:val="002127B8"/>
    <w:rsid w:val="00227A64"/>
    <w:rsid w:val="002339D0"/>
    <w:rsid w:val="002343EA"/>
    <w:rsid w:val="002442A3"/>
    <w:rsid w:val="002473AD"/>
    <w:rsid w:val="00251C73"/>
    <w:rsid w:val="00256018"/>
    <w:rsid w:val="002561CC"/>
    <w:rsid w:val="0025726D"/>
    <w:rsid w:val="0025795B"/>
    <w:rsid w:val="002646DF"/>
    <w:rsid w:val="00266464"/>
    <w:rsid w:val="00270486"/>
    <w:rsid w:val="0027220C"/>
    <w:rsid w:val="0027469E"/>
    <w:rsid w:val="002808AB"/>
    <w:rsid w:val="00284CD2"/>
    <w:rsid w:val="00297F43"/>
    <w:rsid w:val="002A1B60"/>
    <w:rsid w:val="002B5713"/>
    <w:rsid w:val="002B7CCB"/>
    <w:rsid w:val="002C43B8"/>
    <w:rsid w:val="002C45E5"/>
    <w:rsid w:val="002C71E7"/>
    <w:rsid w:val="002D2369"/>
    <w:rsid w:val="002D4C8C"/>
    <w:rsid w:val="002D65CF"/>
    <w:rsid w:val="002F22D1"/>
    <w:rsid w:val="002F64AF"/>
    <w:rsid w:val="002F74DC"/>
    <w:rsid w:val="0030503B"/>
    <w:rsid w:val="00324EB8"/>
    <w:rsid w:val="003307ED"/>
    <w:rsid w:val="003334F6"/>
    <w:rsid w:val="003402E8"/>
    <w:rsid w:val="00342CB6"/>
    <w:rsid w:val="00353BA1"/>
    <w:rsid w:val="003540BF"/>
    <w:rsid w:val="00360937"/>
    <w:rsid w:val="00363847"/>
    <w:rsid w:val="0036422B"/>
    <w:rsid w:val="003657D5"/>
    <w:rsid w:val="00367CCA"/>
    <w:rsid w:val="003726BC"/>
    <w:rsid w:val="0037324C"/>
    <w:rsid w:val="00373349"/>
    <w:rsid w:val="0038210C"/>
    <w:rsid w:val="003870CC"/>
    <w:rsid w:val="003A1590"/>
    <w:rsid w:val="003B1D84"/>
    <w:rsid w:val="003B5345"/>
    <w:rsid w:val="003C607D"/>
    <w:rsid w:val="003D0C3B"/>
    <w:rsid w:val="003D3FFF"/>
    <w:rsid w:val="003D798A"/>
    <w:rsid w:val="003E1D67"/>
    <w:rsid w:val="003E2FD2"/>
    <w:rsid w:val="003E355B"/>
    <w:rsid w:val="003F5DA1"/>
    <w:rsid w:val="00410015"/>
    <w:rsid w:val="00417107"/>
    <w:rsid w:val="0041720E"/>
    <w:rsid w:val="004224C7"/>
    <w:rsid w:val="0042410C"/>
    <w:rsid w:val="004345B5"/>
    <w:rsid w:val="004374BE"/>
    <w:rsid w:val="0044127B"/>
    <w:rsid w:val="00444265"/>
    <w:rsid w:val="004502F4"/>
    <w:rsid w:val="00456C8B"/>
    <w:rsid w:val="004667F2"/>
    <w:rsid w:val="00475AC0"/>
    <w:rsid w:val="004958E0"/>
    <w:rsid w:val="00496E8A"/>
    <w:rsid w:val="004A41EF"/>
    <w:rsid w:val="004A44DF"/>
    <w:rsid w:val="004B4421"/>
    <w:rsid w:val="004B70B1"/>
    <w:rsid w:val="004B7E3E"/>
    <w:rsid w:val="004C0C76"/>
    <w:rsid w:val="004C27B9"/>
    <w:rsid w:val="004C3A3E"/>
    <w:rsid w:val="004C3DB4"/>
    <w:rsid w:val="004D2BA0"/>
    <w:rsid w:val="004E363D"/>
    <w:rsid w:val="004F1ED6"/>
    <w:rsid w:val="004F1F15"/>
    <w:rsid w:val="004F65E5"/>
    <w:rsid w:val="005014D1"/>
    <w:rsid w:val="00507FDE"/>
    <w:rsid w:val="00517BE0"/>
    <w:rsid w:val="00517C61"/>
    <w:rsid w:val="005216F4"/>
    <w:rsid w:val="0054211F"/>
    <w:rsid w:val="00542DA0"/>
    <w:rsid w:val="0054311D"/>
    <w:rsid w:val="005477DA"/>
    <w:rsid w:val="005542A7"/>
    <w:rsid w:val="00555131"/>
    <w:rsid w:val="00557690"/>
    <w:rsid w:val="005712CB"/>
    <w:rsid w:val="00572AC7"/>
    <w:rsid w:val="00572D96"/>
    <w:rsid w:val="005737FA"/>
    <w:rsid w:val="00577CBB"/>
    <w:rsid w:val="00580E39"/>
    <w:rsid w:val="00591636"/>
    <w:rsid w:val="005B4F18"/>
    <w:rsid w:val="005C3668"/>
    <w:rsid w:val="005D417A"/>
    <w:rsid w:val="005D4ACB"/>
    <w:rsid w:val="005D5EDA"/>
    <w:rsid w:val="005E4AFF"/>
    <w:rsid w:val="005F0AEF"/>
    <w:rsid w:val="005F0C4F"/>
    <w:rsid w:val="00606509"/>
    <w:rsid w:val="00615D49"/>
    <w:rsid w:val="0062719F"/>
    <w:rsid w:val="006412D7"/>
    <w:rsid w:val="006446F0"/>
    <w:rsid w:val="00645C77"/>
    <w:rsid w:val="00647683"/>
    <w:rsid w:val="00662769"/>
    <w:rsid w:val="00663516"/>
    <w:rsid w:val="00666E56"/>
    <w:rsid w:val="0067327D"/>
    <w:rsid w:val="0067661A"/>
    <w:rsid w:val="00682D83"/>
    <w:rsid w:val="00683AED"/>
    <w:rsid w:val="0069424B"/>
    <w:rsid w:val="00695D72"/>
    <w:rsid w:val="006A1A8F"/>
    <w:rsid w:val="006A4EA1"/>
    <w:rsid w:val="006B089B"/>
    <w:rsid w:val="006B29CA"/>
    <w:rsid w:val="006B2B65"/>
    <w:rsid w:val="006B7491"/>
    <w:rsid w:val="006C1D25"/>
    <w:rsid w:val="006E12CC"/>
    <w:rsid w:val="007001F0"/>
    <w:rsid w:val="007014FC"/>
    <w:rsid w:val="00712B2A"/>
    <w:rsid w:val="007230C3"/>
    <w:rsid w:val="0075060C"/>
    <w:rsid w:val="007564B5"/>
    <w:rsid w:val="0076676A"/>
    <w:rsid w:val="00766EEB"/>
    <w:rsid w:val="00772A33"/>
    <w:rsid w:val="007826E8"/>
    <w:rsid w:val="0078609E"/>
    <w:rsid w:val="007918EE"/>
    <w:rsid w:val="007A1575"/>
    <w:rsid w:val="007C0761"/>
    <w:rsid w:val="007C79A9"/>
    <w:rsid w:val="007C7BAF"/>
    <w:rsid w:val="007E3476"/>
    <w:rsid w:val="00802A0A"/>
    <w:rsid w:val="008051A9"/>
    <w:rsid w:val="008051F9"/>
    <w:rsid w:val="00813216"/>
    <w:rsid w:val="00820611"/>
    <w:rsid w:val="00824AB0"/>
    <w:rsid w:val="008378DC"/>
    <w:rsid w:val="00837AFB"/>
    <w:rsid w:val="008412C9"/>
    <w:rsid w:val="00887DA0"/>
    <w:rsid w:val="008913D2"/>
    <w:rsid w:val="00893296"/>
    <w:rsid w:val="008935D4"/>
    <w:rsid w:val="008A72B1"/>
    <w:rsid w:val="008B3703"/>
    <w:rsid w:val="008B3DD4"/>
    <w:rsid w:val="008B43ED"/>
    <w:rsid w:val="008B4735"/>
    <w:rsid w:val="008B5B30"/>
    <w:rsid w:val="008B6235"/>
    <w:rsid w:val="008C0E07"/>
    <w:rsid w:val="008E57CC"/>
    <w:rsid w:val="008F5155"/>
    <w:rsid w:val="008F6AB5"/>
    <w:rsid w:val="00933FA5"/>
    <w:rsid w:val="00934104"/>
    <w:rsid w:val="009440E4"/>
    <w:rsid w:val="0094672C"/>
    <w:rsid w:val="00955A3F"/>
    <w:rsid w:val="00960430"/>
    <w:rsid w:val="00967AA4"/>
    <w:rsid w:val="00972218"/>
    <w:rsid w:val="009841CB"/>
    <w:rsid w:val="00995DC5"/>
    <w:rsid w:val="009E1FA0"/>
    <w:rsid w:val="009E3014"/>
    <w:rsid w:val="009E66F9"/>
    <w:rsid w:val="009F0BB3"/>
    <w:rsid w:val="00A05A16"/>
    <w:rsid w:val="00A06832"/>
    <w:rsid w:val="00A1341B"/>
    <w:rsid w:val="00A13AC5"/>
    <w:rsid w:val="00A1423D"/>
    <w:rsid w:val="00A204FB"/>
    <w:rsid w:val="00A205C1"/>
    <w:rsid w:val="00A206E4"/>
    <w:rsid w:val="00A267F9"/>
    <w:rsid w:val="00A31603"/>
    <w:rsid w:val="00A34683"/>
    <w:rsid w:val="00A36051"/>
    <w:rsid w:val="00A37C3C"/>
    <w:rsid w:val="00A42891"/>
    <w:rsid w:val="00A51FF0"/>
    <w:rsid w:val="00A54F32"/>
    <w:rsid w:val="00A70502"/>
    <w:rsid w:val="00A72475"/>
    <w:rsid w:val="00A842DF"/>
    <w:rsid w:val="00A950B9"/>
    <w:rsid w:val="00A973BC"/>
    <w:rsid w:val="00AA10D4"/>
    <w:rsid w:val="00AA706B"/>
    <w:rsid w:val="00AB0CFB"/>
    <w:rsid w:val="00AB15F8"/>
    <w:rsid w:val="00AB2664"/>
    <w:rsid w:val="00AB53AC"/>
    <w:rsid w:val="00AB6C97"/>
    <w:rsid w:val="00AC11D0"/>
    <w:rsid w:val="00AC7ABF"/>
    <w:rsid w:val="00AD0003"/>
    <w:rsid w:val="00AD4D37"/>
    <w:rsid w:val="00AD7DEB"/>
    <w:rsid w:val="00AE30A2"/>
    <w:rsid w:val="00AF45BF"/>
    <w:rsid w:val="00AF476E"/>
    <w:rsid w:val="00B03668"/>
    <w:rsid w:val="00B07E79"/>
    <w:rsid w:val="00B141A7"/>
    <w:rsid w:val="00B17AF8"/>
    <w:rsid w:val="00B27494"/>
    <w:rsid w:val="00B31A8D"/>
    <w:rsid w:val="00B369BE"/>
    <w:rsid w:val="00B40795"/>
    <w:rsid w:val="00B40E4D"/>
    <w:rsid w:val="00B52013"/>
    <w:rsid w:val="00B57C2F"/>
    <w:rsid w:val="00B83882"/>
    <w:rsid w:val="00B83EF8"/>
    <w:rsid w:val="00B87AB6"/>
    <w:rsid w:val="00B929E0"/>
    <w:rsid w:val="00BA1EF6"/>
    <w:rsid w:val="00BA40BC"/>
    <w:rsid w:val="00BA46C7"/>
    <w:rsid w:val="00BB0BBC"/>
    <w:rsid w:val="00BB5C59"/>
    <w:rsid w:val="00BB5E17"/>
    <w:rsid w:val="00BB5F62"/>
    <w:rsid w:val="00BC7D27"/>
    <w:rsid w:val="00BE0A0A"/>
    <w:rsid w:val="00BE7989"/>
    <w:rsid w:val="00BF5380"/>
    <w:rsid w:val="00BF68F7"/>
    <w:rsid w:val="00C01D90"/>
    <w:rsid w:val="00C1036D"/>
    <w:rsid w:val="00C14435"/>
    <w:rsid w:val="00C209AA"/>
    <w:rsid w:val="00C20B2B"/>
    <w:rsid w:val="00C37A71"/>
    <w:rsid w:val="00C442D1"/>
    <w:rsid w:val="00C51C5F"/>
    <w:rsid w:val="00C62BAA"/>
    <w:rsid w:val="00C65924"/>
    <w:rsid w:val="00C66833"/>
    <w:rsid w:val="00C66A20"/>
    <w:rsid w:val="00C6792D"/>
    <w:rsid w:val="00C71DAA"/>
    <w:rsid w:val="00C745A9"/>
    <w:rsid w:val="00C770B6"/>
    <w:rsid w:val="00C77455"/>
    <w:rsid w:val="00C77936"/>
    <w:rsid w:val="00C77C63"/>
    <w:rsid w:val="00C8490D"/>
    <w:rsid w:val="00C84E9B"/>
    <w:rsid w:val="00C875F5"/>
    <w:rsid w:val="00CA0720"/>
    <w:rsid w:val="00CA1004"/>
    <w:rsid w:val="00CB2DCE"/>
    <w:rsid w:val="00CC65AD"/>
    <w:rsid w:val="00CC7C0B"/>
    <w:rsid w:val="00CD2A4D"/>
    <w:rsid w:val="00CD44DC"/>
    <w:rsid w:val="00CD5891"/>
    <w:rsid w:val="00CD607E"/>
    <w:rsid w:val="00CD6EAB"/>
    <w:rsid w:val="00CD7F62"/>
    <w:rsid w:val="00CE00C4"/>
    <w:rsid w:val="00CE3B3D"/>
    <w:rsid w:val="00CE4D8A"/>
    <w:rsid w:val="00CF2676"/>
    <w:rsid w:val="00CF42BE"/>
    <w:rsid w:val="00CF7E7A"/>
    <w:rsid w:val="00D0156B"/>
    <w:rsid w:val="00D01579"/>
    <w:rsid w:val="00D04CBB"/>
    <w:rsid w:val="00D05E2F"/>
    <w:rsid w:val="00D141A5"/>
    <w:rsid w:val="00D21B8D"/>
    <w:rsid w:val="00D24824"/>
    <w:rsid w:val="00D26D15"/>
    <w:rsid w:val="00D3212E"/>
    <w:rsid w:val="00D431AD"/>
    <w:rsid w:val="00D45281"/>
    <w:rsid w:val="00D466B8"/>
    <w:rsid w:val="00D4717A"/>
    <w:rsid w:val="00D53DC4"/>
    <w:rsid w:val="00D601FE"/>
    <w:rsid w:val="00D6753A"/>
    <w:rsid w:val="00D7040A"/>
    <w:rsid w:val="00D71559"/>
    <w:rsid w:val="00D73864"/>
    <w:rsid w:val="00D77523"/>
    <w:rsid w:val="00D819D3"/>
    <w:rsid w:val="00D86A2F"/>
    <w:rsid w:val="00D909E7"/>
    <w:rsid w:val="00D90BC6"/>
    <w:rsid w:val="00D92B06"/>
    <w:rsid w:val="00D93CC8"/>
    <w:rsid w:val="00D9452A"/>
    <w:rsid w:val="00DC0757"/>
    <w:rsid w:val="00DC1510"/>
    <w:rsid w:val="00DD409A"/>
    <w:rsid w:val="00DE24B3"/>
    <w:rsid w:val="00DE3893"/>
    <w:rsid w:val="00DE4805"/>
    <w:rsid w:val="00DE61F4"/>
    <w:rsid w:val="00DF08C9"/>
    <w:rsid w:val="00E003D0"/>
    <w:rsid w:val="00E025CD"/>
    <w:rsid w:val="00E05034"/>
    <w:rsid w:val="00E14AD6"/>
    <w:rsid w:val="00E220DE"/>
    <w:rsid w:val="00E26F68"/>
    <w:rsid w:val="00E30EA1"/>
    <w:rsid w:val="00E31233"/>
    <w:rsid w:val="00E373CB"/>
    <w:rsid w:val="00E43EF3"/>
    <w:rsid w:val="00E4508D"/>
    <w:rsid w:val="00E62058"/>
    <w:rsid w:val="00E64F91"/>
    <w:rsid w:val="00E74755"/>
    <w:rsid w:val="00E74E4D"/>
    <w:rsid w:val="00E77D37"/>
    <w:rsid w:val="00E81D6C"/>
    <w:rsid w:val="00E849C4"/>
    <w:rsid w:val="00E90C0B"/>
    <w:rsid w:val="00E915EA"/>
    <w:rsid w:val="00E9529E"/>
    <w:rsid w:val="00E96761"/>
    <w:rsid w:val="00E97E93"/>
    <w:rsid w:val="00EA6444"/>
    <w:rsid w:val="00EB0FB2"/>
    <w:rsid w:val="00EB12B9"/>
    <w:rsid w:val="00EB5658"/>
    <w:rsid w:val="00EB7FBA"/>
    <w:rsid w:val="00ED4428"/>
    <w:rsid w:val="00ED6800"/>
    <w:rsid w:val="00EE1637"/>
    <w:rsid w:val="00EE35D7"/>
    <w:rsid w:val="00EE75FB"/>
    <w:rsid w:val="00EF67AA"/>
    <w:rsid w:val="00F03FA2"/>
    <w:rsid w:val="00F07A0E"/>
    <w:rsid w:val="00F11687"/>
    <w:rsid w:val="00F12677"/>
    <w:rsid w:val="00F13C59"/>
    <w:rsid w:val="00F161EE"/>
    <w:rsid w:val="00F168FB"/>
    <w:rsid w:val="00F21312"/>
    <w:rsid w:val="00F23D77"/>
    <w:rsid w:val="00F25681"/>
    <w:rsid w:val="00F3504C"/>
    <w:rsid w:val="00F41B3B"/>
    <w:rsid w:val="00F43502"/>
    <w:rsid w:val="00F642E6"/>
    <w:rsid w:val="00F75621"/>
    <w:rsid w:val="00F75B8D"/>
    <w:rsid w:val="00F7601B"/>
    <w:rsid w:val="00F768B2"/>
    <w:rsid w:val="00F84401"/>
    <w:rsid w:val="00F92A30"/>
    <w:rsid w:val="00FA5496"/>
    <w:rsid w:val="00FB3375"/>
    <w:rsid w:val="00FB56C5"/>
    <w:rsid w:val="00FB79DD"/>
    <w:rsid w:val="00FC0511"/>
    <w:rsid w:val="00FC0FA4"/>
    <w:rsid w:val="00FC49C6"/>
    <w:rsid w:val="00FD17D4"/>
    <w:rsid w:val="00FD212D"/>
    <w:rsid w:val="00FE4FBE"/>
    <w:rsid w:val="00FE57F0"/>
    <w:rsid w:val="00FE5ACA"/>
    <w:rsid w:val="00FF4417"/>
    <w:rsid w:val="0B346051"/>
    <w:rsid w:val="1B3A33AC"/>
    <w:rsid w:val="268072C7"/>
    <w:rsid w:val="298B00BC"/>
    <w:rsid w:val="465F02EE"/>
    <w:rsid w:val="668B5F29"/>
    <w:rsid w:val="77BE7204"/>
    <w:rsid w:val="77C813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
    <w:qFormat/>
    <w:uiPriority w:val="1"/>
    <w:pPr>
      <w:autoSpaceDE w:val="0"/>
      <w:autoSpaceDN w:val="0"/>
      <w:jc w:val="left"/>
    </w:pPr>
    <w:rPr>
      <w:rFonts w:ascii="宋体" w:hAnsi="宋体" w:cs="宋体"/>
      <w:kern w:val="0"/>
      <w:sz w:val="24"/>
      <w:lang w:eastAsia="en-US"/>
    </w:rPr>
  </w:style>
  <w:style w:type="paragraph" w:styleId="3">
    <w:name w:val="Balloon Text"/>
    <w:basedOn w:val="1"/>
    <w:link w:val="10"/>
    <w:semiHidden/>
    <w:unhideWhenUsed/>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正文文本 Char"/>
    <w:basedOn w:val="7"/>
    <w:link w:val="2"/>
    <w:qFormat/>
    <w:uiPriority w:val="1"/>
    <w:rPr>
      <w:rFonts w:ascii="宋体" w:hAnsi="宋体" w:eastAsia="宋体" w:cs="宋体"/>
      <w:kern w:val="0"/>
      <w:sz w:val="24"/>
      <w:szCs w:val="24"/>
      <w:lang w:eastAsia="en-US"/>
    </w:rPr>
  </w:style>
  <w:style w:type="paragraph" w:customStyle="1" w:styleId="9">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character" w:customStyle="1" w:styleId="10">
    <w:name w:val="批注框文本 Char"/>
    <w:basedOn w:val="7"/>
    <w:link w:val="3"/>
    <w:semiHidden/>
    <w:uiPriority w:val="99"/>
    <w:rPr>
      <w:rFonts w:ascii="Times New Roman" w:hAnsi="Times New Roman" w:eastAsia="宋体" w:cs="Times New Roman"/>
      <w:sz w:val="18"/>
      <w:szCs w:val="18"/>
    </w:rPr>
  </w:style>
  <w:style w:type="character" w:customStyle="1" w:styleId="11">
    <w:name w:val="页眉 Char"/>
    <w:basedOn w:val="7"/>
    <w:link w:val="5"/>
    <w:qFormat/>
    <w:uiPriority w:val="99"/>
    <w:rPr>
      <w:rFonts w:ascii="Times New Roman" w:hAnsi="Times New Roman" w:eastAsia="宋体" w:cs="Times New Roman"/>
      <w:sz w:val="18"/>
      <w:szCs w:val="18"/>
    </w:rPr>
  </w:style>
  <w:style w:type="character" w:customStyle="1" w:styleId="12">
    <w:name w:val="页脚 Char"/>
    <w:basedOn w:val="7"/>
    <w:link w:val="4"/>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517</Words>
  <Characters>2948</Characters>
  <Lines>24</Lines>
  <Paragraphs>6</Paragraphs>
  <TotalTime>3</TotalTime>
  <ScaleCrop>false</ScaleCrop>
  <LinksUpToDate>false</LinksUpToDate>
  <CharactersWithSpaces>3459</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2022-02-14T08:41:00Z</dcterms:created>
  <dc:creator>李锐</dc:creator>
  <cp:lastModifiedBy>王雅杰</cp:lastModifiedBy>
  <dcterms:modified xsi:type="dcterms:W3CDTF">2022-02-16T02:59:34Z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FBB5744B23D64F05BEE7AA021C058F23</vt:lpwstr>
  </property>
</Properties>
</file>