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DD" w:rsidRPr="001015DE" w:rsidRDefault="00040FDD" w:rsidP="00040FDD">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0928F3">
        <w:rPr>
          <w:rFonts w:ascii="宋体" w:hAnsi="宋体" w:cs="宋体" w:hint="eastAsia"/>
          <w:color w:val="000000"/>
          <w:kern w:val="0"/>
          <w:sz w:val="24"/>
        </w:rPr>
        <w:t>公告编号：</w:t>
      </w:r>
      <w:r w:rsidRPr="005F3F15">
        <w:rPr>
          <w:rFonts w:ascii="宋体" w:hAnsi="宋体" w:cs="宋体" w:hint="eastAsia"/>
          <w:color w:val="000000"/>
          <w:kern w:val="0"/>
          <w:sz w:val="24"/>
        </w:rPr>
        <w:t>临2020-</w:t>
      </w:r>
      <w:r w:rsidR="004310A7" w:rsidRPr="005F3F15">
        <w:rPr>
          <w:rFonts w:ascii="宋体" w:hAnsi="宋体" w:cs="宋体" w:hint="eastAsia"/>
          <w:color w:val="000000"/>
          <w:kern w:val="0"/>
          <w:sz w:val="24"/>
        </w:rPr>
        <w:t>0</w:t>
      </w:r>
      <w:bookmarkStart w:id="0" w:name="_GoBack"/>
      <w:bookmarkEnd w:id="0"/>
      <w:r w:rsidR="004310A7">
        <w:rPr>
          <w:rFonts w:ascii="宋体" w:hAnsi="宋体" w:cs="宋体" w:hint="eastAsia"/>
          <w:color w:val="000000"/>
          <w:kern w:val="0"/>
          <w:sz w:val="24"/>
        </w:rPr>
        <w:t>53</w:t>
      </w:r>
    </w:p>
    <w:p w:rsidR="00040FDD" w:rsidRPr="00CB351E" w:rsidRDefault="00040FDD" w:rsidP="00040FDD">
      <w:pPr>
        <w:ind w:rightChars="-73" w:right="-153"/>
        <w:jc w:val="center"/>
        <w:rPr>
          <w:rFonts w:ascii="黑体" w:eastAsia="黑体" w:hAnsi="宋体"/>
          <w:b/>
          <w:bCs/>
          <w:color w:val="FF0000"/>
          <w:sz w:val="32"/>
        </w:rPr>
      </w:pPr>
    </w:p>
    <w:p w:rsidR="00040FDD" w:rsidRDefault="00040FDD" w:rsidP="00040FDD">
      <w:pPr>
        <w:autoSpaceDE w:val="0"/>
        <w:autoSpaceDN w:val="0"/>
        <w:adjustRightInd w:val="0"/>
        <w:spacing w:line="360" w:lineRule="auto"/>
        <w:jc w:val="center"/>
        <w:rPr>
          <w:rFonts w:ascii="黑体" w:eastAsia="黑体" w:hAnsi="宋体"/>
          <w:b/>
          <w:bCs/>
          <w:color w:val="FF0000"/>
          <w:sz w:val="32"/>
        </w:rPr>
      </w:pPr>
      <w:r w:rsidRPr="003F2AE6">
        <w:rPr>
          <w:rFonts w:ascii="黑体" w:eastAsia="黑体" w:hAnsi="宋体" w:hint="eastAsia"/>
          <w:b/>
          <w:bCs/>
          <w:color w:val="FF0000"/>
          <w:sz w:val="32"/>
        </w:rPr>
        <w:t>江苏吴中实业股份有限公司</w:t>
      </w:r>
    </w:p>
    <w:p w:rsidR="00040FDD" w:rsidRDefault="00040FDD" w:rsidP="00040FDD">
      <w:pPr>
        <w:autoSpaceDE w:val="0"/>
        <w:autoSpaceDN w:val="0"/>
        <w:adjustRightInd w:val="0"/>
        <w:spacing w:line="360" w:lineRule="auto"/>
        <w:jc w:val="center"/>
        <w:rPr>
          <w:rFonts w:ascii="宋体" w:hAnsi="宋体" w:cs="宋体"/>
          <w:b/>
          <w:color w:val="000000"/>
          <w:kern w:val="0"/>
          <w:sz w:val="24"/>
        </w:rPr>
      </w:pPr>
      <w:r w:rsidRPr="009F3B3B">
        <w:rPr>
          <w:rFonts w:ascii="黑体" w:eastAsia="黑体" w:hAnsi="宋体" w:hint="eastAsia"/>
          <w:b/>
          <w:bCs/>
          <w:color w:val="FF0000"/>
          <w:sz w:val="32"/>
        </w:rPr>
        <w:t>关于20</w:t>
      </w:r>
      <w:r>
        <w:rPr>
          <w:rFonts w:ascii="黑体" w:eastAsia="黑体" w:hAnsi="宋体" w:hint="eastAsia"/>
          <w:b/>
          <w:bCs/>
          <w:color w:val="FF0000"/>
          <w:sz w:val="32"/>
        </w:rPr>
        <w:t>20</w:t>
      </w:r>
      <w:r w:rsidRPr="009F3B3B">
        <w:rPr>
          <w:rFonts w:ascii="黑体" w:eastAsia="黑体" w:hAnsi="宋体" w:hint="eastAsia"/>
          <w:b/>
          <w:bCs/>
          <w:color w:val="FF0000"/>
          <w:sz w:val="32"/>
        </w:rPr>
        <w:t>年</w:t>
      </w:r>
      <w:r>
        <w:rPr>
          <w:rFonts w:ascii="黑体" w:eastAsia="黑体" w:hAnsi="宋体" w:hint="eastAsia"/>
          <w:b/>
          <w:bCs/>
          <w:color w:val="FF0000"/>
          <w:sz w:val="32"/>
        </w:rPr>
        <w:t>1-</w:t>
      </w:r>
      <w:r w:rsidR="00490C60">
        <w:rPr>
          <w:rFonts w:ascii="黑体" w:eastAsia="黑体" w:hAnsi="宋体" w:hint="eastAsia"/>
          <w:b/>
          <w:bCs/>
          <w:color w:val="FF0000"/>
          <w:sz w:val="32"/>
        </w:rPr>
        <w:t>6</w:t>
      </w:r>
      <w:r>
        <w:rPr>
          <w:rFonts w:ascii="黑体" w:eastAsia="黑体" w:hAnsi="宋体" w:hint="eastAsia"/>
          <w:b/>
          <w:bCs/>
          <w:color w:val="FF0000"/>
          <w:sz w:val="32"/>
        </w:rPr>
        <w:t>月</w:t>
      </w:r>
      <w:r w:rsidRPr="009F3B3B">
        <w:rPr>
          <w:rFonts w:ascii="黑体" w:eastAsia="黑体" w:hAnsi="宋体" w:hint="eastAsia"/>
          <w:b/>
          <w:bCs/>
          <w:color w:val="FF0000"/>
          <w:sz w:val="32"/>
        </w:rPr>
        <w:t>主要经营数据</w:t>
      </w:r>
      <w:r w:rsidR="00B82FE7">
        <w:rPr>
          <w:rFonts w:ascii="黑体" w:eastAsia="黑体" w:hAnsi="宋体" w:hint="eastAsia"/>
          <w:b/>
          <w:bCs/>
          <w:color w:val="FF0000"/>
          <w:sz w:val="32"/>
        </w:rPr>
        <w:t>情况</w:t>
      </w:r>
      <w:r w:rsidRPr="009F3B3B">
        <w:rPr>
          <w:rFonts w:ascii="黑体" w:eastAsia="黑体" w:hAnsi="宋体" w:hint="eastAsia"/>
          <w:b/>
          <w:bCs/>
          <w:color w:val="FF0000"/>
          <w:sz w:val="32"/>
        </w:rPr>
        <w:t>的公告</w:t>
      </w:r>
    </w:p>
    <w:p w:rsidR="00040FDD" w:rsidRPr="00040FDD" w:rsidRDefault="00040FDD" w:rsidP="00040FDD">
      <w:pPr>
        <w:autoSpaceDE w:val="0"/>
        <w:autoSpaceDN w:val="0"/>
        <w:adjustRightInd w:val="0"/>
        <w:spacing w:line="360" w:lineRule="auto"/>
        <w:ind w:firstLineChars="200" w:firstLine="482"/>
        <w:rPr>
          <w:rFonts w:ascii="宋体" w:hAnsi="宋体" w:cs="宋体"/>
          <w:b/>
          <w:color w:val="000000"/>
          <w:kern w:val="0"/>
          <w:sz w:val="24"/>
        </w:rPr>
      </w:pPr>
    </w:p>
    <w:p w:rsidR="00040FDD" w:rsidRPr="004638FB" w:rsidRDefault="00040FDD" w:rsidP="00040FDD">
      <w:pPr>
        <w:autoSpaceDE w:val="0"/>
        <w:autoSpaceDN w:val="0"/>
        <w:adjustRightInd w:val="0"/>
        <w:spacing w:line="360" w:lineRule="auto"/>
        <w:ind w:firstLineChars="200" w:firstLine="482"/>
        <w:rPr>
          <w:rFonts w:ascii="宋体" w:hAnsi="宋体" w:cs="Arial"/>
          <w:b/>
          <w:kern w:val="0"/>
          <w:sz w:val="24"/>
        </w:rPr>
      </w:pPr>
      <w:r w:rsidRPr="004638FB">
        <w:rPr>
          <w:rFonts w:ascii="宋体" w:hAnsi="宋体" w:cs="宋体" w:hint="eastAsia"/>
          <w:b/>
          <w:kern w:val="0"/>
          <w:sz w:val="24"/>
        </w:rPr>
        <w:t>本公司董事会及全体董事保证</w:t>
      </w:r>
      <w:r w:rsidRPr="004638FB">
        <w:rPr>
          <w:rFonts w:ascii="ˎ̥" w:hAnsi="ˎ̥"/>
          <w:b/>
          <w:sz w:val="24"/>
        </w:rPr>
        <w:t>本公告内容不存在任何虚假记载、误导性陈述或者重大遗漏，并对其内容的真实性、准确性和完整性承担个别及连带责任。</w:t>
      </w:r>
    </w:p>
    <w:p w:rsidR="00040FDD" w:rsidRPr="004638FB" w:rsidRDefault="00040FDD" w:rsidP="00040FDD">
      <w:pPr>
        <w:spacing w:line="360" w:lineRule="auto"/>
        <w:ind w:firstLineChars="200" w:firstLine="480"/>
        <w:rPr>
          <w:rFonts w:ascii="宋体" w:hAnsi="宋体"/>
          <w:sz w:val="24"/>
        </w:rPr>
      </w:pPr>
    </w:p>
    <w:p w:rsidR="00F5203C" w:rsidRPr="00A04745" w:rsidRDefault="00F5203C" w:rsidP="00F5203C">
      <w:pPr>
        <w:spacing w:line="36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根据上海证券交易所《关于做好上市公司20</w:t>
      </w:r>
      <w:r>
        <w:rPr>
          <w:rFonts w:asciiTheme="minorEastAsia" w:eastAsiaTheme="minorEastAsia" w:hAnsiTheme="minorEastAsia" w:hint="eastAsia"/>
          <w:sz w:val="24"/>
        </w:rPr>
        <w:t>20</w:t>
      </w:r>
      <w:r w:rsidRPr="00A04745">
        <w:rPr>
          <w:rFonts w:asciiTheme="minorEastAsia" w:eastAsiaTheme="minorEastAsia" w:hAnsiTheme="minorEastAsia" w:hint="eastAsia"/>
          <w:sz w:val="24"/>
        </w:rPr>
        <w:t>年</w:t>
      </w:r>
      <w:r w:rsidRPr="007D689B">
        <w:rPr>
          <w:rFonts w:asciiTheme="minorEastAsia" w:eastAsiaTheme="minorEastAsia" w:hAnsiTheme="minorEastAsia" w:hint="eastAsia"/>
          <w:sz w:val="24"/>
        </w:rPr>
        <w:t>半年度报告</w:t>
      </w:r>
      <w:r w:rsidRPr="00A04745">
        <w:rPr>
          <w:rFonts w:asciiTheme="minorEastAsia" w:eastAsiaTheme="minorEastAsia" w:hAnsiTheme="minorEastAsia" w:hint="eastAsia"/>
          <w:sz w:val="24"/>
        </w:rPr>
        <w:t>披露工作的通知》、《上市公司行业信息披露指引第七号——医药制造》及《上市公司行业信息披露指引第十八号——化工》等相关规定的要求，特此公告江苏吴中实业股份有限公司（以下简称“公司”）主营业务分行业（医药、化工）20</w:t>
      </w:r>
      <w:r>
        <w:rPr>
          <w:rFonts w:asciiTheme="minorEastAsia" w:eastAsiaTheme="minorEastAsia" w:hAnsiTheme="minorEastAsia" w:hint="eastAsia"/>
          <w:sz w:val="24"/>
        </w:rPr>
        <w:t>20</w:t>
      </w:r>
      <w:r w:rsidRPr="00A04745">
        <w:rPr>
          <w:rFonts w:asciiTheme="minorEastAsia" w:eastAsiaTheme="minorEastAsia" w:hAnsiTheme="minorEastAsia" w:hint="eastAsia"/>
          <w:sz w:val="24"/>
        </w:rPr>
        <w:t>年1-</w:t>
      </w:r>
      <w:r>
        <w:rPr>
          <w:rFonts w:asciiTheme="minorEastAsia" w:eastAsiaTheme="minorEastAsia" w:hAnsiTheme="minorEastAsia" w:hint="eastAsia"/>
          <w:sz w:val="24"/>
        </w:rPr>
        <w:t>6</w:t>
      </w:r>
      <w:r w:rsidRPr="00A04745">
        <w:rPr>
          <w:rFonts w:asciiTheme="minorEastAsia" w:eastAsiaTheme="minorEastAsia" w:hAnsiTheme="minorEastAsia" w:hint="eastAsia"/>
          <w:sz w:val="24"/>
        </w:rPr>
        <w:t>月主要经营数据情况。</w:t>
      </w:r>
    </w:p>
    <w:p w:rsidR="00040FDD" w:rsidRPr="00F5203C" w:rsidRDefault="00040FDD" w:rsidP="00040FDD">
      <w:pPr>
        <w:spacing w:line="360" w:lineRule="auto"/>
        <w:ind w:firstLine="540"/>
        <w:rPr>
          <w:rFonts w:asciiTheme="minorEastAsia" w:eastAsiaTheme="minorEastAsia" w:hAnsiTheme="minorEastAsia"/>
          <w:b/>
          <w:sz w:val="24"/>
        </w:rPr>
      </w:pPr>
    </w:p>
    <w:p w:rsidR="00040FDD" w:rsidRPr="00A04745" w:rsidRDefault="00040FDD" w:rsidP="00040FDD">
      <w:pPr>
        <w:spacing w:line="360" w:lineRule="auto"/>
        <w:ind w:firstLine="540"/>
        <w:rPr>
          <w:rFonts w:asciiTheme="minorEastAsia" w:eastAsiaTheme="minorEastAsia" w:hAnsiTheme="minorEastAsia"/>
          <w:b/>
          <w:sz w:val="24"/>
        </w:rPr>
      </w:pPr>
      <w:r w:rsidRPr="00A04745">
        <w:rPr>
          <w:rFonts w:asciiTheme="minorEastAsia" w:eastAsiaTheme="minorEastAsia" w:hAnsiTheme="minorEastAsia" w:hint="eastAsia"/>
          <w:b/>
          <w:sz w:val="24"/>
        </w:rPr>
        <w:t>一、公司医药板块20</w:t>
      </w:r>
      <w:r w:rsidR="004D0D42">
        <w:rPr>
          <w:rFonts w:asciiTheme="minorEastAsia" w:eastAsiaTheme="minorEastAsia" w:hAnsiTheme="minorEastAsia" w:hint="eastAsia"/>
          <w:b/>
          <w:sz w:val="24"/>
        </w:rPr>
        <w:t>20</w:t>
      </w:r>
      <w:r w:rsidRPr="00A04745">
        <w:rPr>
          <w:rFonts w:asciiTheme="minorEastAsia" w:eastAsiaTheme="minorEastAsia" w:hAnsiTheme="minorEastAsia" w:hint="eastAsia"/>
          <w:b/>
          <w:sz w:val="24"/>
        </w:rPr>
        <w:t>年1</w:t>
      </w:r>
      <w:r w:rsidRPr="00A04745">
        <w:rPr>
          <w:rFonts w:asciiTheme="minorEastAsia" w:eastAsiaTheme="minorEastAsia" w:hAnsiTheme="minorEastAsia"/>
          <w:b/>
          <w:sz w:val="24"/>
        </w:rPr>
        <w:t>-</w:t>
      </w:r>
      <w:r w:rsidR="00490C60">
        <w:rPr>
          <w:rFonts w:asciiTheme="minorEastAsia" w:eastAsiaTheme="minorEastAsia" w:hAnsiTheme="minorEastAsia" w:hint="eastAsia"/>
          <w:b/>
          <w:sz w:val="24"/>
        </w:rPr>
        <w:t>6</w:t>
      </w:r>
      <w:r w:rsidRPr="00A04745">
        <w:rPr>
          <w:rFonts w:asciiTheme="minorEastAsia" w:eastAsiaTheme="minorEastAsia" w:hAnsiTheme="minorEastAsia" w:hint="eastAsia"/>
          <w:b/>
          <w:sz w:val="24"/>
        </w:rPr>
        <w:t>月主要经营</w:t>
      </w:r>
      <w:r w:rsidR="00AF7CF9">
        <w:rPr>
          <w:rFonts w:asciiTheme="minorEastAsia" w:eastAsiaTheme="minorEastAsia" w:hAnsiTheme="minorEastAsia" w:hint="eastAsia"/>
          <w:b/>
          <w:sz w:val="24"/>
        </w:rPr>
        <w:t>情况</w:t>
      </w:r>
    </w:p>
    <w:p w:rsidR="00040FDD" w:rsidRPr="000A51FC" w:rsidRDefault="00040FDD" w:rsidP="00040FDD">
      <w:pPr>
        <w:spacing w:line="360" w:lineRule="auto"/>
        <w:ind w:firstLine="540"/>
        <w:rPr>
          <w:rFonts w:asciiTheme="minorEastAsia" w:eastAsiaTheme="minorEastAsia" w:hAnsiTheme="minorEastAsia"/>
          <w:sz w:val="24"/>
        </w:rPr>
      </w:pPr>
      <w:r w:rsidRPr="000A51FC">
        <w:rPr>
          <w:rFonts w:asciiTheme="minorEastAsia" w:eastAsiaTheme="minorEastAsia" w:hAnsiTheme="minorEastAsia" w:hint="eastAsia"/>
          <w:sz w:val="24"/>
        </w:rPr>
        <w:t>20</w:t>
      </w:r>
      <w:r w:rsidR="004D0D42" w:rsidRPr="000A51FC">
        <w:rPr>
          <w:rFonts w:asciiTheme="minorEastAsia" w:eastAsiaTheme="minorEastAsia" w:hAnsiTheme="minorEastAsia" w:hint="eastAsia"/>
          <w:sz w:val="24"/>
        </w:rPr>
        <w:t>20</w:t>
      </w:r>
      <w:r w:rsidRPr="000A51FC">
        <w:rPr>
          <w:rFonts w:asciiTheme="minorEastAsia" w:eastAsiaTheme="minorEastAsia" w:hAnsiTheme="minorEastAsia" w:hint="eastAsia"/>
          <w:sz w:val="24"/>
        </w:rPr>
        <w:t>年1-</w:t>
      </w:r>
      <w:r w:rsidR="00490C60">
        <w:rPr>
          <w:rFonts w:asciiTheme="minorEastAsia" w:eastAsiaTheme="minorEastAsia" w:hAnsiTheme="minorEastAsia" w:hint="eastAsia"/>
          <w:sz w:val="24"/>
        </w:rPr>
        <w:t>6</w:t>
      </w:r>
      <w:r w:rsidRPr="000A51FC">
        <w:rPr>
          <w:rFonts w:asciiTheme="minorEastAsia" w:eastAsiaTheme="minorEastAsia" w:hAnsiTheme="minorEastAsia" w:hint="eastAsia"/>
          <w:sz w:val="24"/>
        </w:rPr>
        <w:t>月，公司医药业务累计实现主营业务收入</w:t>
      </w:r>
      <w:r w:rsidR="00490C60">
        <w:rPr>
          <w:rFonts w:asciiTheme="minorEastAsia" w:eastAsiaTheme="minorEastAsia" w:hAnsiTheme="minorEastAsia" w:hint="eastAsia"/>
          <w:sz w:val="24"/>
        </w:rPr>
        <w:t>60</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553</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63</w:t>
      </w:r>
      <w:r w:rsidRPr="000A51FC">
        <w:rPr>
          <w:rFonts w:asciiTheme="minorEastAsia" w:eastAsiaTheme="minorEastAsia" w:hAnsiTheme="minorEastAsia"/>
          <w:sz w:val="24"/>
        </w:rPr>
        <w:t>万元</w:t>
      </w:r>
      <w:r w:rsidRPr="000A51FC">
        <w:rPr>
          <w:rFonts w:asciiTheme="minorEastAsia" w:eastAsiaTheme="minorEastAsia" w:hAnsiTheme="minorEastAsia" w:hint="eastAsia"/>
          <w:sz w:val="24"/>
        </w:rPr>
        <w:t>（其中医药工业</w:t>
      </w:r>
      <w:r w:rsidR="00490C60">
        <w:rPr>
          <w:rFonts w:asciiTheme="minorEastAsia" w:eastAsiaTheme="minorEastAsia" w:hAnsiTheme="minorEastAsia" w:hint="eastAsia"/>
          <w:sz w:val="24"/>
        </w:rPr>
        <w:t>31</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090</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25</w:t>
      </w:r>
      <w:r w:rsidRPr="000A51FC">
        <w:rPr>
          <w:rFonts w:asciiTheme="minorEastAsia" w:eastAsiaTheme="minorEastAsia" w:hAnsiTheme="minorEastAsia" w:hint="eastAsia"/>
          <w:sz w:val="24"/>
        </w:rPr>
        <w:t>万元，医药商业</w:t>
      </w:r>
      <w:r w:rsidR="00490C60">
        <w:rPr>
          <w:rFonts w:asciiTheme="minorEastAsia" w:eastAsiaTheme="minorEastAsia" w:hAnsiTheme="minorEastAsia" w:hint="eastAsia"/>
          <w:sz w:val="24"/>
        </w:rPr>
        <w:t>29</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463</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38</w:t>
      </w:r>
      <w:r w:rsidRPr="000A51FC">
        <w:rPr>
          <w:rFonts w:asciiTheme="minorEastAsia" w:eastAsiaTheme="minorEastAsia" w:hAnsiTheme="minorEastAsia" w:hint="eastAsia"/>
          <w:sz w:val="24"/>
        </w:rPr>
        <w:t>万元）</w:t>
      </w:r>
      <w:r w:rsidRPr="000A51FC">
        <w:rPr>
          <w:rFonts w:asciiTheme="minorEastAsia" w:eastAsiaTheme="minorEastAsia" w:hAnsiTheme="minorEastAsia"/>
          <w:sz w:val="24"/>
        </w:rPr>
        <w:t>，较上年</w:t>
      </w:r>
      <w:r w:rsidRPr="000A51FC">
        <w:rPr>
          <w:rFonts w:asciiTheme="minorEastAsia" w:eastAsiaTheme="minorEastAsia" w:hAnsiTheme="minorEastAsia" w:hint="eastAsia"/>
          <w:sz w:val="24"/>
        </w:rPr>
        <w:t>同期</w:t>
      </w:r>
      <w:r w:rsidR="00731A38" w:rsidRPr="000A51FC">
        <w:rPr>
          <w:rFonts w:asciiTheme="minorEastAsia" w:eastAsiaTheme="minorEastAsia" w:hAnsiTheme="minorEastAsia" w:hint="eastAsia"/>
          <w:sz w:val="24"/>
        </w:rPr>
        <w:t>下降</w:t>
      </w:r>
      <w:r w:rsidR="00490C60">
        <w:rPr>
          <w:rFonts w:asciiTheme="minorEastAsia" w:eastAsiaTheme="minorEastAsia" w:hAnsiTheme="minorEastAsia" w:hint="eastAsia"/>
          <w:sz w:val="24"/>
        </w:rPr>
        <w:t>17</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329</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66</w:t>
      </w:r>
      <w:r w:rsidRPr="000A51FC">
        <w:rPr>
          <w:rFonts w:asciiTheme="minorEastAsia" w:eastAsiaTheme="minorEastAsia" w:hAnsiTheme="minorEastAsia"/>
          <w:sz w:val="24"/>
        </w:rPr>
        <w:t>万元，</w:t>
      </w:r>
      <w:r w:rsidR="00731A38" w:rsidRPr="000A51FC">
        <w:rPr>
          <w:rFonts w:asciiTheme="minorEastAsia" w:eastAsiaTheme="minorEastAsia" w:hAnsiTheme="minorEastAsia" w:hint="eastAsia"/>
          <w:sz w:val="24"/>
        </w:rPr>
        <w:t>下降</w:t>
      </w:r>
      <w:r w:rsidR="00490C60">
        <w:rPr>
          <w:rFonts w:asciiTheme="minorEastAsia" w:eastAsiaTheme="minorEastAsia" w:hAnsiTheme="minorEastAsia" w:hint="eastAsia"/>
          <w:sz w:val="24"/>
        </w:rPr>
        <w:t>22</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25</w:t>
      </w:r>
      <w:r w:rsidRPr="000A51FC">
        <w:rPr>
          <w:rFonts w:asciiTheme="minorEastAsia" w:eastAsiaTheme="minorEastAsia" w:hAnsiTheme="minorEastAsia"/>
          <w:sz w:val="24"/>
        </w:rPr>
        <w:t>%，</w:t>
      </w:r>
      <w:r w:rsidRPr="000A51FC">
        <w:rPr>
          <w:rFonts w:asciiTheme="minorEastAsia" w:eastAsiaTheme="minorEastAsia" w:hAnsiTheme="minorEastAsia" w:hint="eastAsia"/>
          <w:sz w:val="24"/>
        </w:rPr>
        <w:t>医药业务主营业务</w:t>
      </w:r>
      <w:r w:rsidRPr="000A51FC">
        <w:rPr>
          <w:rFonts w:asciiTheme="minorEastAsia" w:eastAsiaTheme="minorEastAsia" w:hAnsiTheme="minorEastAsia"/>
          <w:sz w:val="24"/>
        </w:rPr>
        <w:t>毛利</w:t>
      </w:r>
      <w:r w:rsidR="00490C60">
        <w:rPr>
          <w:rFonts w:asciiTheme="minorEastAsia" w:eastAsiaTheme="minorEastAsia" w:hAnsiTheme="minorEastAsia" w:hint="eastAsia"/>
          <w:sz w:val="24"/>
        </w:rPr>
        <w:t>25</w:t>
      </w:r>
      <w:r w:rsidR="00AF7CF9">
        <w:rPr>
          <w:rFonts w:asciiTheme="minorEastAsia" w:eastAsiaTheme="minorEastAsia" w:hAnsiTheme="minorEastAsia" w:hint="eastAsia"/>
          <w:sz w:val="24"/>
        </w:rPr>
        <w:t>,</w:t>
      </w:r>
      <w:r w:rsidR="00490C60">
        <w:rPr>
          <w:rFonts w:asciiTheme="minorEastAsia" w:eastAsiaTheme="minorEastAsia" w:hAnsiTheme="minorEastAsia" w:hint="eastAsia"/>
          <w:sz w:val="24"/>
        </w:rPr>
        <w:t>898</w:t>
      </w:r>
      <w:r w:rsidR="00731A38" w:rsidRPr="000A51FC">
        <w:rPr>
          <w:rFonts w:asciiTheme="minorEastAsia" w:eastAsiaTheme="minorEastAsia" w:hAnsiTheme="minorEastAsia" w:hint="eastAsia"/>
          <w:sz w:val="24"/>
        </w:rPr>
        <w:t>.</w:t>
      </w:r>
      <w:r w:rsidR="00490C60">
        <w:rPr>
          <w:rFonts w:asciiTheme="minorEastAsia" w:eastAsiaTheme="minorEastAsia" w:hAnsiTheme="minorEastAsia" w:hint="eastAsia"/>
          <w:sz w:val="24"/>
        </w:rPr>
        <w:t>47</w:t>
      </w:r>
      <w:r w:rsidRPr="000A51FC">
        <w:rPr>
          <w:rFonts w:asciiTheme="minorEastAsia" w:eastAsiaTheme="minorEastAsia" w:hAnsiTheme="minorEastAsia"/>
          <w:sz w:val="24"/>
        </w:rPr>
        <w:t>万元，较上年</w:t>
      </w:r>
      <w:r w:rsidRPr="000A51FC">
        <w:rPr>
          <w:rFonts w:asciiTheme="minorEastAsia" w:eastAsiaTheme="minorEastAsia" w:hAnsiTheme="minorEastAsia" w:hint="eastAsia"/>
          <w:sz w:val="24"/>
        </w:rPr>
        <w:t>同期</w:t>
      </w:r>
      <w:r w:rsidR="00490C60">
        <w:rPr>
          <w:rFonts w:asciiTheme="minorEastAsia" w:eastAsiaTheme="minorEastAsia" w:hAnsiTheme="minorEastAsia" w:hint="eastAsia"/>
          <w:sz w:val="24"/>
        </w:rPr>
        <w:t>下降4,335.08</w:t>
      </w:r>
      <w:r w:rsidRPr="000A51FC">
        <w:rPr>
          <w:rFonts w:asciiTheme="minorEastAsia" w:eastAsiaTheme="minorEastAsia" w:hAnsiTheme="minorEastAsia"/>
          <w:sz w:val="24"/>
        </w:rPr>
        <w:t>万元，</w:t>
      </w:r>
      <w:r w:rsidR="00490C60">
        <w:rPr>
          <w:rFonts w:asciiTheme="minorEastAsia" w:eastAsiaTheme="minorEastAsia" w:hAnsiTheme="minorEastAsia" w:hint="eastAsia"/>
          <w:sz w:val="24"/>
        </w:rPr>
        <w:t>下降14.34</w:t>
      </w:r>
      <w:r w:rsidR="00F953DD" w:rsidRPr="000A51FC">
        <w:rPr>
          <w:rFonts w:asciiTheme="minorEastAsia" w:eastAsiaTheme="minorEastAsia" w:hAnsiTheme="minorEastAsia" w:hint="eastAsia"/>
          <w:sz w:val="24"/>
        </w:rPr>
        <w:t>%</w:t>
      </w:r>
      <w:r w:rsidRPr="000A51FC">
        <w:rPr>
          <w:rFonts w:asciiTheme="minorEastAsia" w:eastAsiaTheme="minorEastAsia" w:hAnsiTheme="minorEastAsia"/>
          <w:sz w:val="24"/>
        </w:rPr>
        <w:t>。</w:t>
      </w:r>
    </w:p>
    <w:p w:rsidR="00040FDD" w:rsidRPr="000A51FC" w:rsidRDefault="00040FDD" w:rsidP="00040FDD">
      <w:pPr>
        <w:spacing w:line="360" w:lineRule="auto"/>
        <w:ind w:firstLineChars="200" w:firstLine="480"/>
        <w:rPr>
          <w:rFonts w:asciiTheme="minorEastAsia" w:eastAsiaTheme="minorEastAsia" w:hAnsiTheme="minorEastAsia"/>
          <w:sz w:val="24"/>
        </w:rPr>
      </w:pPr>
      <w:r w:rsidRPr="000A51FC">
        <w:rPr>
          <w:rFonts w:asciiTheme="minorEastAsia" w:eastAsiaTheme="minorEastAsia" w:hAnsiTheme="minorEastAsia" w:hint="eastAsia"/>
          <w:sz w:val="24"/>
        </w:rPr>
        <w:t>公司医药工业按治疗领域划分的主营业务情况表：</w:t>
      </w:r>
    </w:p>
    <w:tbl>
      <w:tblPr>
        <w:tblW w:w="8264" w:type="dxa"/>
        <w:tblInd w:w="93" w:type="dxa"/>
        <w:tblLook w:val="04A0" w:firstRow="1" w:lastRow="0" w:firstColumn="1" w:lastColumn="0" w:noHBand="0" w:noVBand="1"/>
      </w:tblPr>
      <w:tblGrid>
        <w:gridCol w:w="1716"/>
        <w:gridCol w:w="1161"/>
        <w:gridCol w:w="1134"/>
        <w:gridCol w:w="851"/>
        <w:gridCol w:w="1134"/>
        <w:gridCol w:w="1134"/>
        <w:gridCol w:w="1134"/>
      </w:tblGrid>
      <w:tr w:rsidR="00040FDD" w:rsidRPr="00C64D84" w:rsidTr="00490C60">
        <w:trPr>
          <w:trHeight w:val="54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治疗领域</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 xml:space="preserve"> 营业收入（万元）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 xml:space="preserve"> 营业成本（万元）</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毛利率（%）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营业收入比上年增减（%）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营业成本比上年增减（%）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40FDD" w:rsidRPr="00C64D84" w:rsidRDefault="00040FDD" w:rsidP="00B82E14">
            <w:pPr>
              <w:widowControl/>
              <w:jc w:val="center"/>
              <w:rPr>
                <w:rFonts w:asciiTheme="minorEastAsia" w:eastAsiaTheme="minorEastAsia" w:hAnsiTheme="minorEastAsia" w:cs="宋体"/>
                <w:b/>
                <w:color w:val="000000"/>
                <w:kern w:val="0"/>
                <w:szCs w:val="21"/>
              </w:rPr>
            </w:pPr>
            <w:r w:rsidRPr="00C64D84">
              <w:rPr>
                <w:rFonts w:asciiTheme="minorEastAsia" w:eastAsiaTheme="minorEastAsia" w:hAnsiTheme="minorEastAsia" w:cs="宋体" w:hint="eastAsia"/>
                <w:b/>
                <w:color w:val="000000"/>
                <w:kern w:val="0"/>
                <w:szCs w:val="21"/>
              </w:rPr>
              <w:t>毛利率比上年增减（%）</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免疫调节类药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3,621.40</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1,489.63</w:t>
            </w:r>
          </w:p>
        </w:tc>
        <w:tc>
          <w:tcPr>
            <w:tcW w:w="85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58.87</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-41.69</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-19.40</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-11.37</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抗感染用药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6,879.17</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2,411.17</w:t>
            </w:r>
          </w:p>
        </w:tc>
        <w:tc>
          <w:tcPr>
            <w:tcW w:w="85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64.95</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-3.87</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-43.76</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24.87</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血液系统用药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4,051.31</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961.74</w:t>
            </w:r>
          </w:p>
        </w:tc>
        <w:tc>
          <w:tcPr>
            <w:tcW w:w="85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76.26</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-15.44</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-13.42</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-0.55</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消化系统用药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5,363.01</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772.67</w:t>
            </w:r>
          </w:p>
        </w:tc>
        <w:tc>
          <w:tcPr>
            <w:tcW w:w="85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85.59</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-30.68</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-19.36</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-2.02</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心血管系统用药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2,558.26</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1,134.64</w:t>
            </w:r>
          </w:p>
        </w:tc>
        <w:tc>
          <w:tcPr>
            <w:tcW w:w="85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55.65</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-13.78</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-23.03</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5.33</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其他类用药</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8,617.09</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1,022.82</w:t>
            </w:r>
          </w:p>
        </w:tc>
        <w:tc>
          <w:tcPr>
            <w:tcW w:w="851"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88.13</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-2.01</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-18.85</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2.46</w:t>
            </w:r>
          </w:p>
        </w:tc>
      </w:tr>
      <w:tr w:rsidR="00490C60" w:rsidRPr="00C64D84" w:rsidTr="00490C60">
        <w:trPr>
          <w:trHeight w:val="270"/>
        </w:trPr>
        <w:tc>
          <w:tcPr>
            <w:tcW w:w="1716" w:type="dxa"/>
            <w:tcBorders>
              <w:top w:val="nil"/>
              <w:left w:val="single" w:sz="4" w:space="0" w:color="auto"/>
              <w:bottom w:val="single" w:sz="4" w:space="0" w:color="auto"/>
              <w:right w:val="single" w:sz="4" w:space="0" w:color="auto"/>
            </w:tcBorders>
            <w:shd w:val="clear" w:color="auto" w:fill="auto"/>
            <w:noWrap/>
          </w:tcPr>
          <w:p w:rsidR="00490C60" w:rsidRPr="00C64D84" w:rsidRDefault="00490C60" w:rsidP="002002F3">
            <w:pPr>
              <w:rPr>
                <w:rFonts w:asciiTheme="minorEastAsia" w:eastAsiaTheme="minorEastAsia" w:hAnsiTheme="minorEastAsia"/>
              </w:rPr>
            </w:pPr>
            <w:r w:rsidRPr="00C64D84">
              <w:rPr>
                <w:rFonts w:asciiTheme="minorEastAsia" w:eastAsiaTheme="minorEastAsia" w:hAnsiTheme="minorEastAsia" w:hint="eastAsia"/>
              </w:rPr>
              <w:t>合计</w:t>
            </w:r>
          </w:p>
        </w:tc>
        <w:tc>
          <w:tcPr>
            <w:tcW w:w="1161"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31,090.25</w:t>
            </w:r>
          </w:p>
        </w:tc>
        <w:tc>
          <w:tcPr>
            <w:tcW w:w="1134" w:type="dxa"/>
            <w:tcBorders>
              <w:top w:val="nil"/>
              <w:left w:val="nil"/>
              <w:bottom w:val="single" w:sz="4" w:space="0" w:color="auto"/>
              <w:right w:val="single" w:sz="4" w:space="0" w:color="auto"/>
            </w:tcBorders>
            <w:shd w:val="clear" w:color="auto" w:fill="auto"/>
            <w:noWrap/>
          </w:tcPr>
          <w:p w:rsidR="00490C60" w:rsidRPr="00C64D84" w:rsidRDefault="00490C60" w:rsidP="00490C60">
            <w:pPr>
              <w:jc w:val="right"/>
              <w:rPr>
                <w:rFonts w:asciiTheme="minorEastAsia" w:eastAsiaTheme="minorEastAsia" w:hAnsiTheme="minorEastAsia"/>
              </w:rPr>
            </w:pPr>
            <w:r w:rsidRPr="00C64D84">
              <w:rPr>
                <w:rFonts w:asciiTheme="minorEastAsia" w:eastAsiaTheme="minorEastAsia" w:hAnsiTheme="minorEastAsia"/>
              </w:rPr>
              <w:t>7,792.65</w:t>
            </w:r>
          </w:p>
        </w:tc>
        <w:tc>
          <w:tcPr>
            <w:tcW w:w="851"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74.94</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-17.43</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-28.76</w:t>
            </w:r>
          </w:p>
        </w:tc>
        <w:tc>
          <w:tcPr>
            <w:tcW w:w="1134" w:type="dxa"/>
            <w:tcBorders>
              <w:top w:val="nil"/>
              <w:left w:val="nil"/>
              <w:bottom w:val="single" w:sz="4" w:space="0" w:color="auto"/>
              <w:right w:val="single" w:sz="4" w:space="0" w:color="auto"/>
            </w:tcBorders>
            <w:shd w:val="clear" w:color="auto" w:fill="auto"/>
            <w:noWrap/>
          </w:tcPr>
          <w:p w:rsidR="00490C60" w:rsidRPr="00C64D84" w:rsidRDefault="00E46CFC" w:rsidP="00490C60">
            <w:pPr>
              <w:jc w:val="right"/>
              <w:rPr>
                <w:rFonts w:asciiTheme="minorEastAsia" w:eastAsiaTheme="minorEastAsia" w:hAnsiTheme="minorEastAsia"/>
              </w:rPr>
            </w:pPr>
            <w:r w:rsidRPr="00C64D84">
              <w:rPr>
                <w:rFonts w:asciiTheme="minorEastAsia" w:eastAsiaTheme="minorEastAsia" w:hAnsiTheme="minorEastAsia"/>
              </w:rPr>
              <w:t>3.99</w:t>
            </w:r>
          </w:p>
        </w:tc>
      </w:tr>
    </w:tbl>
    <w:p w:rsidR="00040FDD" w:rsidRPr="009F0464" w:rsidRDefault="00040FDD" w:rsidP="00040FDD">
      <w:pPr>
        <w:spacing w:line="360" w:lineRule="auto"/>
        <w:ind w:firstLine="539"/>
        <w:rPr>
          <w:rFonts w:asciiTheme="minorEastAsia" w:eastAsiaTheme="minorEastAsia" w:hAnsiTheme="minorEastAsia"/>
          <w:sz w:val="24"/>
        </w:rPr>
      </w:pPr>
      <w:r w:rsidRPr="009F0464">
        <w:rPr>
          <w:rFonts w:asciiTheme="minorEastAsia" w:eastAsiaTheme="minorEastAsia" w:hAnsiTheme="minorEastAsia" w:hint="eastAsia"/>
          <w:sz w:val="24"/>
        </w:rPr>
        <w:t>20</w:t>
      </w:r>
      <w:r w:rsidR="006A7161" w:rsidRPr="009F0464">
        <w:rPr>
          <w:rFonts w:asciiTheme="minorEastAsia" w:eastAsiaTheme="minorEastAsia" w:hAnsiTheme="minorEastAsia" w:hint="eastAsia"/>
          <w:sz w:val="24"/>
        </w:rPr>
        <w:t>20</w:t>
      </w:r>
      <w:r w:rsidRPr="009F0464">
        <w:rPr>
          <w:rFonts w:asciiTheme="minorEastAsia" w:eastAsiaTheme="minorEastAsia" w:hAnsiTheme="minorEastAsia" w:hint="eastAsia"/>
          <w:sz w:val="24"/>
        </w:rPr>
        <w:t>年1-</w:t>
      </w:r>
      <w:r w:rsidR="00490C60">
        <w:rPr>
          <w:rFonts w:asciiTheme="minorEastAsia" w:eastAsiaTheme="minorEastAsia" w:hAnsiTheme="minorEastAsia" w:hint="eastAsia"/>
          <w:sz w:val="24"/>
        </w:rPr>
        <w:t>6</w:t>
      </w:r>
      <w:r w:rsidRPr="009F0464">
        <w:rPr>
          <w:rFonts w:asciiTheme="minorEastAsia" w:eastAsiaTheme="minorEastAsia" w:hAnsiTheme="minorEastAsia" w:hint="eastAsia"/>
          <w:sz w:val="24"/>
        </w:rPr>
        <w:t>月，公司收到各类医药研发补贴</w:t>
      </w:r>
      <w:r w:rsidR="00490C60">
        <w:rPr>
          <w:rFonts w:asciiTheme="minorEastAsia" w:eastAsiaTheme="minorEastAsia" w:hAnsiTheme="minorEastAsia" w:hint="eastAsia"/>
          <w:color w:val="000000" w:themeColor="text1"/>
          <w:sz w:val="24"/>
        </w:rPr>
        <w:t>309.00</w:t>
      </w:r>
      <w:r w:rsidRPr="009F0464">
        <w:rPr>
          <w:rFonts w:asciiTheme="minorEastAsia" w:eastAsiaTheme="minorEastAsia" w:hAnsiTheme="minorEastAsia" w:hint="eastAsia"/>
          <w:color w:val="000000" w:themeColor="text1"/>
          <w:sz w:val="24"/>
        </w:rPr>
        <w:t>万元。</w:t>
      </w:r>
    </w:p>
    <w:p w:rsidR="00040FDD" w:rsidRDefault="00040FDD" w:rsidP="00040FDD">
      <w:pPr>
        <w:spacing w:line="360" w:lineRule="auto"/>
        <w:ind w:firstLine="539"/>
        <w:rPr>
          <w:rFonts w:asciiTheme="minorEastAsia" w:eastAsiaTheme="minorEastAsia" w:hAnsiTheme="minorEastAsia"/>
          <w:sz w:val="24"/>
        </w:rPr>
      </w:pPr>
      <w:r w:rsidRPr="009F0464">
        <w:rPr>
          <w:rFonts w:asciiTheme="minorEastAsia" w:eastAsiaTheme="minorEastAsia" w:hAnsiTheme="minorEastAsia" w:hint="eastAsia"/>
          <w:sz w:val="24"/>
        </w:rPr>
        <w:t>20</w:t>
      </w:r>
      <w:r w:rsidR="006A7161" w:rsidRPr="009F0464">
        <w:rPr>
          <w:rFonts w:asciiTheme="minorEastAsia" w:eastAsiaTheme="minorEastAsia" w:hAnsiTheme="minorEastAsia" w:hint="eastAsia"/>
          <w:sz w:val="24"/>
        </w:rPr>
        <w:t>20</w:t>
      </w:r>
      <w:r w:rsidRPr="009F0464">
        <w:rPr>
          <w:rFonts w:asciiTheme="minorEastAsia" w:eastAsiaTheme="minorEastAsia" w:hAnsiTheme="minorEastAsia" w:hint="eastAsia"/>
          <w:sz w:val="24"/>
        </w:rPr>
        <w:t>年1-</w:t>
      </w:r>
      <w:r w:rsidR="00490C60">
        <w:rPr>
          <w:rFonts w:asciiTheme="minorEastAsia" w:eastAsiaTheme="minorEastAsia" w:hAnsiTheme="minorEastAsia" w:hint="eastAsia"/>
          <w:sz w:val="24"/>
        </w:rPr>
        <w:t>6</w:t>
      </w:r>
      <w:r w:rsidRPr="009F0464">
        <w:rPr>
          <w:rFonts w:asciiTheme="minorEastAsia" w:eastAsiaTheme="minorEastAsia" w:hAnsiTheme="minorEastAsia" w:hint="eastAsia"/>
          <w:sz w:val="24"/>
        </w:rPr>
        <w:t>月，公司医药研发累计投入</w:t>
      </w:r>
      <w:r w:rsidR="00490C60">
        <w:rPr>
          <w:rFonts w:asciiTheme="minorEastAsia" w:eastAsiaTheme="minorEastAsia" w:hAnsiTheme="minorEastAsia" w:hint="eastAsia"/>
          <w:sz w:val="24"/>
        </w:rPr>
        <w:t>1,494.43</w:t>
      </w:r>
      <w:r w:rsidRPr="009F0464">
        <w:rPr>
          <w:rFonts w:asciiTheme="minorEastAsia" w:eastAsiaTheme="minorEastAsia" w:hAnsiTheme="minorEastAsia" w:hint="eastAsia"/>
          <w:sz w:val="24"/>
        </w:rPr>
        <w:t>万元，</w:t>
      </w:r>
      <w:proofErr w:type="gramStart"/>
      <w:r w:rsidRPr="009F0464">
        <w:rPr>
          <w:rFonts w:asciiTheme="minorEastAsia" w:eastAsiaTheme="minorEastAsia" w:hAnsiTheme="minorEastAsia" w:hint="eastAsia"/>
          <w:sz w:val="24"/>
        </w:rPr>
        <w:t>其中费用化金额</w:t>
      </w:r>
      <w:proofErr w:type="gramEnd"/>
      <w:r w:rsidR="00490C60">
        <w:rPr>
          <w:rFonts w:asciiTheme="minorEastAsia" w:eastAsiaTheme="minorEastAsia" w:hAnsiTheme="minorEastAsia" w:hint="eastAsia"/>
          <w:sz w:val="24"/>
        </w:rPr>
        <w:lastRenderedPageBreak/>
        <w:t>1,075.5</w:t>
      </w:r>
      <w:r w:rsidR="00AC2532">
        <w:rPr>
          <w:rFonts w:asciiTheme="minorEastAsia" w:eastAsiaTheme="minorEastAsia" w:hAnsiTheme="minorEastAsia" w:hint="eastAsia"/>
          <w:sz w:val="24"/>
        </w:rPr>
        <w:t>3</w:t>
      </w:r>
      <w:r w:rsidRPr="009F0464">
        <w:rPr>
          <w:rFonts w:asciiTheme="minorEastAsia" w:eastAsiaTheme="minorEastAsia" w:hAnsiTheme="minorEastAsia" w:hint="eastAsia"/>
          <w:sz w:val="24"/>
        </w:rPr>
        <w:t>万元，资本</w:t>
      </w:r>
      <w:proofErr w:type="gramStart"/>
      <w:r w:rsidRPr="009F0464">
        <w:rPr>
          <w:rFonts w:asciiTheme="minorEastAsia" w:eastAsiaTheme="minorEastAsia" w:hAnsiTheme="minorEastAsia" w:hint="eastAsia"/>
          <w:sz w:val="24"/>
        </w:rPr>
        <w:t>化金额</w:t>
      </w:r>
      <w:proofErr w:type="gramEnd"/>
      <w:r w:rsidR="00490C60">
        <w:rPr>
          <w:rFonts w:asciiTheme="minorEastAsia" w:eastAsiaTheme="minorEastAsia" w:hAnsiTheme="minorEastAsia" w:hint="eastAsia"/>
          <w:sz w:val="24"/>
        </w:rPr>
        <w:t>418</w:t>
      </w:r>
      <w:r w:rsidR="009F0464" w:rsidRPr="009F0464">
        <w:rPr>
          <w:rFonts w:asciiTheme="minorEastAsia" w:eastAsiaTheme="minorEastAsia" w:hAnsiTheme="minorEastAsia" w:hint="eastAsia"/>
          <w:sz w:val="24"/>
        </w:rPr>
        <w:t>.</w:t>
      </w:r>
      <w:r w:rsidR="00490C60">
        <w:rPr>
          <w:rFonts w:asciiTheme="minorEastAsia" w:eastAsiaTheme="minorEastAsia" w:hAnsiTheme="minorEastAsia" w:hint="eastAsia"/>
          <w:sz w:val="24"/>
        </w:rPr>
        <w:t>90</w:t>
      </w:r>
      <w:r w:rsidRPr="009F0464">
        <w:rPr>
          <w:rFonts w:asciiTheme="minorEastAsia" w:eastAsiaTheme="minorEastAsia" w:hAnsiTheme="minorEastAsia" w:hint="eastAsia"/>
          <w:sz w:val="24"/>
        </w:rPr>
        <w:t>万元。</w:t>
      </w:r>
    </w:p>
    <w:p w:rsidR="00E65333" w:rsidRPr="00A04745" w:rsidRDefault="00E65333" w:rsidP="00040FDD">
      <w:pPr>
        <w:spacing w:line="360" w:lineRule="auto"/>
        <w:ind w:firstLine="539"/>
        <w:rPr>
          <w:rFonts w:asciiTheme="minorEastAsia" w:eastAsiaTheme="minorEastAsia" w:hAnsiTheme="minorEastAsia"/>
          <w:sz w:val="24"/>
        </w:rPr>
      </w:pPr>
    </w:p>
    <w:p w:rsidR="00040FDD" w:rsidRPr="000A6D85" w:rsidRDefault="007532FF" w:rsidP="00040FDD">
      <w:pPr>
        <w:spacing w:line="360" w:lineRule="auto"/>
        <w:ind w:firstLine="480"/>
        <w:rPr>
          <w:rFonts w:asciiTheme="minorEastAsia" w:eastAsiaTheme="minorEastAsia" w:hAnsiTheme="minorEastAsia"/>
          <w:b/>
          <w:sz w:val="24"/>
        </w:rPr>
      </w:pPr>
      <w:r w:rsidRPr="000A6D85">
        <w:rPr>
          <w:rFonts w:asciiTheme="minorEastAsia" w:eastAsiaTheme="minorEastAsia" w:hAnsiTheme="minorEastAsia" w:hint="eastAsia"/>
          <w:b/>
          <w:sz w:val="24"/>
        </w:rPr>
        <w:t>二</w:t>
      </w:r>
      <w:r w:rsidR="00040FDD" w:rsidRPr="000A6D85">
        <w:rPr>
          <w:rFonts w:asciiTheme="minorEastAsia" w:eastAsiaTheme="minorEastAsia" w:hAnsiTheme="minorEastAsia" w:hint="eastAsia"/>
          <w:b/>
          <w:sz w:val="24"/>
        </w:rPr>
        <w:t>、公司化工板块20</w:t>
      </w:r>
      <w:r w:rsidRPr="000A6D85">
        <w:rPr>
          <w:rFonts w:asciiTheme="minorEastAsia" w:eastAsiaTheme="minorEastAsia" w:hAnsiTheme="minorEastAsia" w:hint="eastAsia"/>
          <w:b/>
          <w:sz w:val="24"/>
        </w:rPr>
        <w:t>20</w:t>
      </w:r>
      <w:r w:rsidR="00040FDD" w:rsidRPr="000A6D85">
        <w:rPr>
          <w:rFonts w:asciiTheme="minorEastAsia" w:eastAsiaTheme="minorEastAsia" w:hAnsiTheme="minorEastAsia" w:hint="eastAsia"/>
          <w:b/>
          <w:sz w:val="24"/>
        </w:rPr>
        <w:t>年1-</w:t>
      </w:r>
      <w:r w:rsidR="00AC2532">
        <w:rPr>
          <w:rFonts w:asciiTheme="minorEastAsia" w:eastAsiaTheme="minorEastAsia" w:hAnsiTheme="minorEastAsia" w:hint="eastAsia"/>
          <w:b/>
          <w:sz w:val="24"/>
        </w:rPr>
        <w:t>6</w:t>
      </w:r>
      <w:r w:rsidR="00040FDD" w:rsidRPr="000A6D85">
        <w:rPr>
          <w:rFonts w:asciiTheme="minorEastAsia" w:eastAsiaTheme="minorEastAsia" w:hAnsiTheme="minorEastAsia" w:hint="eastAsia"/>
          <w:b/>
          <w:sz w:val="24"/>
        </w:rPr>
        <w:t>月主要经营</w:t>
      </w:r>
      <w:r w:rsidR="00AF7CF9" w:rsidRPr="000A6D85">
        <w:rPr>
          <w:rFonts w:asciiTheme="minorEastAsia" w:eastAsiaTheme="minorEastAsia" w:hAnsiTheme="minorEastAsia" w:hint="eastAsia"/>
          <w:b/>
          <w:sz w:val="24"/>
        </w:rPr>
        <w:t>情况</w:t>
      </w:r>
    </w:p>
    <w:p w:rsidR="00F5203C" w:rsidRPr="003E08D3" w:rsidRDefault="00F5203C" w:rsidP="00F5203C">
      <w:pPr>
        <w:spacing w:line="360" w:lineRule="auto"/>
        <w:ind w:firstLine="540"/>
        <w:rPr>
          <w:rFonts w:asciiTheme="minorEastAsia" w:eastAsiaTheme="minorEastAsia" w:hAnsiTheme="minorEastAsia"/>
          <w:sz w:val="24"/>
        </w:rPr>
      </w:pPr>
      <w:r w:rsidRPr="003E08D3">
        <w:rPr>
          <w:rFonts w:asciiTheme="minorEastAsia" w:eastAsiaTheme="minorEastAsia" w:hAnsiTheme="minorEastAsia" w:hint="eastAsia"/>
          <w:sz w:val="24"/>
        </w:rPr>
        <w:t>2020年1-</w:t>
      </w:r>
      <w:r>
        <w:rPr>
          <w:rFonts w:asciiTheme="minorEastAsia" w:eastAsiaTheme="minorEastAsia" w:hAnsiTheme="minorEastAsia" w:hint="eastAsia"/>
          <w:sz w:val="24"/>
        </w:rPr>
        <w:t>6</w:t>
      </w:r>
      <w:r w:rsidRPr="003E08D3">
        <w:rPr>
          <w:rFonts w:asciiTheme="minorEastAsia" w:eastAsiaTheme="minorEastAsia" w:hAnsiTheme="minorEastAsia" w:hint="eastAsia"/>
          <w:sz w:val="24"/>
        </w:rPr>
        <w:t>月，公司全资子公司响水</w:t>
      </w:r>
      <w:proofErr w:type="gramStart"/>
      <w:r w:rsidRPr="003E08D3">
        <w:rPr>
          <w:rFonts w:asciiTheme="minorEastAsia" w:eastAsiaTheme="minorEastAsia" w:hAnsiTheme="minorEastAsia" w:hint="eastAsia"/>
          <w:sz w:val="24"/>
        </w:rPr>
        <w:t>恒</w:t>
      </w:r>
      <w:proofErr w:type="gramEnd"/>
      <w:r w:rsidRPr="003E08D3">
        <w:rPr>
          <w:rFonts w:asciiTheme="minorEastAsia" w:eastAsiaTheme="minorEastAsia" w:hAnsiTheme="minorEastAsia" w:hint="eastAsia"/>
          <w:sz w:val="24"/>
        </w:rPr>
        <w:t>利达科技化工有限公司受响水化工园区201</w:t>
      </w:r>
      <w:r>
        <w:rPr>
          <w:rFonts w:asciiTheme="minorEastAsia" w:eastAsiaTheme="minorEastAsia" w:hAnsiTheme="minorEastAsia" w:hint="eastAsia"/>
          <w:sz w:val="24"/>
        </w:rPr>
        <w:t>9</w:t>
      </w:r>
      <w:r w:rsidRPr="003E08D3">
        <w:rPr>
          <w:rFonts w:asciiTheme="minorEastAsia" w:eastAsiaTheme="minorEastAsia" w:hAnsiTheme="minorEastAsia" w:hint="eastAsia"/>
          <w:sz w:val="24"/>
        </w:rPr>
        <w:t>年发生的</w:t>
      </w:r>
      <w:r w:rsidRPr="008A6A2A">
        <w:rPr>
          <w:rFonts w:asciiTheme="minorEastAsia" w:eastAsiaTheme="minorEastAsia" w:hAnsiTheme="minorEastAsia" w:hint="eastAsia"/>
          <w:sz w:val="24"/>
        </w:rPr>
        <w:t>“响水3•21爆炸事故”</w:t>
      </w:r>
      <w:r w:rsidRPr="003E08D3">
        <w:rPr>
          <w:rFonts w:asciiTheme="minorEastAsia" w:eastAsiaTheme="minorEastAsia" w:hAnsiTheme="minorEastAsia" w:hint="eastAsia"/>
          <w:sz w:val="24"/>
        </w:rPr>
        <w:t>影响仍处于停产状态。</w:t>
      </w:r>
      <w:r>
        <w:rPr>
          <w:rFonts w:asciiTheme="minorEastAsia" w:eastAsiaTheme="minorEastAsia" w:hAnsiTheme="minorEastAsia" w:hint="eastAsia"/>
          <w:sz w:val="24"/>
        </w:rPr>
        <w:t>[</w:t>
      </w:r>
      <w:r w:rsidRPr="003E08D3">
        <w:rPr>
          <w:rFonts w:asciiTheme="minorEastAsia" w:eastAsiaTheme="minorEastAsia" w:hAnsiTheme="minorEastAsia" w:hint="eastAsia"/>
          <w:sz w:val="24"/>
        </w:rPr>
        <w:t>具体见公司于2019年3月23日及4月8日在《中国证券报》、《上海证券报》及上海证券交易所网站上披露的《江苏吴中实业股份有限公司关于全资子公司响水恒利达科技化工有限公司提示性公告》</w:t>
      </w:r>
      <w:r>
        <w:rPr>
          <w:rFonts w:asciiTheme="minorEastAsia" w:eastAsiaTheme="minorEastAsia" w:hAnsiTheme="minorEastAsia" w:hint="eastAsia"/>
          <w:sz w:val="24"/>
        </w:rPr>
        <w:t>（临2019-011）</w:t>
      </w:r>
      <w:r w:rsidRPr="003E08D3">
        <w:rPr>
          <w:rFonts w:asciiTheme="minorEastAsia" w:eastAsiaTheme="minorEastAsia" w:hAnsiTheme="minorEastAsia" w:hint="eastAsia"/>
          <w:sz w:val="24"/>
        </w:rPr>
        <w:t>、《江苏吴中实业股份有限公司关于全资子公司响水恒利达科技化工有限公司的风险提示性公告》</w:t>
      </w:r>
      <w:r>
        <w:rPr>
          <w:rFonts w:asciiTheme="minorEastAsia" w:eastAsiaTheme="minorEastAsia" w:hAnsiTheme="minorEastAsia" w:hint="eastAsia"/>
          <w:sz w:val="24"/>
        </w:rPr>
        <w:t>（临2019-017）]。</w:t>
      </w:r>
    </w:p>
    <w:p w:rsidR="00040FDD" w:rsidRPr="00F5203C" w:rsidRDefault="00040FDD" w:rsidP="00040FDD">
      <w:pPr>
        <w:spacing w:line="360" w:lineRule="auto"/>
        <w:ind w:firstLine="540"/>
        <w:rPr>
          <w:rFonts w:asciiTheme="minorEastAsia" w:eastAsiaTheme="minorEastAsia" w:hAnsiTheme="minorEastAsia"/>
          <w:sz w:val="30"/>
          <w:szCs w:val="30"/>
        </w:rPr>
      </w:pPr>
    </w:p>
    <w:p w:rsidR="00040FDD" w:rsidRPr="00A04745" w:rsidRDefault="00040FDD" w:rsidP="00040FDD">
      <w:pPr>
        <w:spacing w:line="36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上述经营数据未经审计，公司董事会提醒广大投资者理性投资,注意投资风险。</w:t>
      </w:r>
    </w:p>
    <w:p w:rsidR="00040FDD" w:rsidRPr="00A04745" w:rsidRDefault="00040FDD" w:rsidP="00040FDD">
      <w:pPr>
        <w:spacing w:line="480" w:lineRule="auto"/>
        <w:ind w:firstLine="540"/>
        <w:rPr>
          <w:rFonts w:asciiTheme="minorEastAsia" w:eastAsiaTheme="minorEastAsia" w:hAnsiTheme="minorEastAsia"/>
          <w:sz w:val="24"/>
        </w:rPr>
      </w:pPr>
      <w:r w:rsidRPr="00A04745">
        <w:rPr>
          <w:rFonts w:asciiTheme="minorEastAsia" w:eastAsiaTheme="minorEastAsia" w:hAnsiTheme="minorEastAsia" w:hint="eastAsia"/>
          <w:sz w:val="24"/>
        </w:rPr>
        <w:t>特此公告。</w:t>
      </w:r>
    </w:p>
    <w:p w:rsidR="00040FDD" w:rsidRPr="00A04745" w:rsidRDefault="00040FDD" w:rsidP="00040FDD">
      <w:pPr>
        <w:spacing w:line="360" w:lineRule="auto"/>
        <w:ind w:rightChars="-159" w:right="-334"/>
        <w:rPr>
          <w:rFonts w:asciiTheme="minorEastAsia" w:eastAsiaTheme="minorEastAsia" w:hAnsiTheme="minorEastAsia"/>
          <w:sz w:val="24"/>
        </w:rPr>
      </w:pPr>
      <w:r w:rsidRPr="00A04745">
        <w:rPr>
          <w:rFonts w:asciiTheme="minorEastAsia" w:eastAsiaTheme="minorEastAsia" w:hAnsiTheme="minorEastAsia" w:hint="eastAsia"/>
          <w:sz w:val="24"/>
        </w:rPr>
        <w:t xml:space="preserve">    </w:t>
      </w:r>
    </w:p>
    <w:p w:rsidR="00040FDD" w:rsidRPr="004638FB" w:rsidRDefault="00040FDD" w:rsidP="00040FDD">
      <w:pPr>
        <w:spacing w:line="360" w:lineRule="auto"/>
        <w:ind w:firstLineChars="1800" w:firstLine="4320"/>
        <w:jc w:val="right"/>
        <w:rPr>
          <w:rFonts w:ascii="宋体" w:hAnsi="宋体"/>
          <w:sz w:val="24"/>
        </w:rPr>
      </w:pPr>
      <w:r w:rsidRPr="004638FB">
        <w:rPr>
          <w:rFonts w:ascii="宋体" w:hAnsi="宋体" w:hint="eastAsia"/>
          <w:sz w:val="24"/>
        </w:rPr>
        <w:t>江苏吴中实业股份有限公司</w:t>
      </w:r>
    </w:p>
    <w:p w:rsidR="00040FDD" w:rsidRPr="004638FB" w:rsidRDefault="00040FDD" w:rsidP="00040FDD">
      <w:pPr>
        <w:wordWrap w:val="0"/>
        <w:spacing w:line="360" w:lineRule="auto"/>
        <w:ind w:firstLineChars="1800" w:firstLine="4320"/>
        <w:jc w:val="right"/>
        <w:rPr>
          <w:rFonts w:ascii="宋体" w:hAnsi="宋体"/>
          <w:sz w:val="24"/>
        </w:rPr>
      </w:pPr>
      <w:r w:rsidRPr="004638FB">
        <w:rPr>
          <w:rFonts w:ascii="宋体" w:hAnsi="宋体" w:hint="eastAsia"/>
          <w:sz w:val="24"/>
        </w:rPr>
        <w:t xml:space="preserve">董事会      </w:t>
      </w:r>
    </w:p>
    <w:p w:rsidR="00040FDD" w:rsidRPr="003814E3" w:rsidRDefault="00040FDD" w:rsidP="00040FDD">
      <w:pPr>
        <w:spacing w:line="360" w:lineRule="auto"/>
        <w:ind w:firstLineChars="2700" w:firstLine="6480"/>
      </w:pPr>
      <w:r w:rsidRPr="004638FB">
        <w:rPr>
          <w:rFonts w:ascii="宋体" w:hAnsi="宋体" w:hint="eastAsia"/>
          <w:sz w:val="24"/>
        </w:rPr>
        <w:t>20</w:t>
      </w:r>
      <w:r w:rsidR="006042F8">
        <w:rPr>
          <w:rFonts w:ascii="宋体" w:hAnsi="宋体" w:hint="eastAsia"/>
          <w:sz w:val="24"/>
        </w:rPr>
        <w:t>20</w:t>
      </w:r>
      <w:r w:rsidRPr="004638FB">
        <w:rPr>
          <w:rFonts w:ascii="宋体" w:hAnsi="宋体" w:hint="eastAsia"/>
          <w:sz w:val="24"/>
        </w:rPr>
        <w:t>年</w:t>
      </w:r>
      <w:r w:rsidR="00F5203C">
        <w:rPr>
          <w:rFonts w:ascii="宋体" w:hAnsi="宋体" w:hint="eastAsia"/>
          <w:sz w:val="24"/>
        </w:rPr>
        <w:t>8</w:t>
      </w:r>
      <w:r w:rsidRPr="004638FB">
        <w:rPr>
          <w:rFonts w:ascii="宋体" w:hAnsi="宋体" w:hint="eastAsia"/>
          <w:sz w:val="24"/>
        </w:rPr>
        <w:t>月</w:t>
      </w:r>
      <w:r w:rsidR="00F5203C">
        <w:rPr>
          <w:rFonts w:ascii="宋体" w:hAnsi="宋体" w:hint="eastAsia"/>
          <w:sz w:val="24"/>
        </w:rPr>
        <w:t>28</w:t>
      </w:r>
      <w:r w:rsidRPr="004638FB">
        <w:rPr>
          <w:rFonts w:ascii="宋体" w:hAnsi="宋体" w:hint="eastAsia"/>
          <w:sz w:val="24"/>
        </w:rPr>
        <w:t>日</w:t>
      </w:r>
    </w:p>
    <w:p w:rsidR="00040FDD" w:rsidRDefault="00040FDD"/>
    <w:sectPr w:rsidR="00040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95" w:rsidRDefault="00E81395" w:rsidP="00731A38">
      <w:r>
        <w:separator/>
      </w:r>
    </w:p>
  </w:endnote>
  <w:endnote w:type="continuationSeparator" w:id="0">
    <w:p w:rsidR="00E81395" w:rsidRDefault="00E81395" w:rsidP="00731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95" w:rsidRDefault="00E81395" w:rsidP="00731A38">
      <w:r>
        <w:separator/>
      </w:r>
    </w:p>
  </w:footnote>
  <w:footnote w:type="continuationSeparator" w:id="0">
    <w:p w:rsidR="00E81395" w:rsidRDefault="00E81395" w:rsidP="00731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8"/>
    <w:rsid w:val="000052DC"/>
    <w:rsid w:val="0001153F"/>
    <w:rsid w:val="00011DAA"/>
    <w:rsid w:val="00015559"/>
    <w:rsid w:val="0003171D"/>
    <w:rsid w:val="00034EAF"/>
    <w:rsid w:val="000377FA"/>
    <w:rsid w:val="00040FDD"/>
    <w:rsid w:val="000514F9"/>
    <w:rsid w:val="0007113B"/>
    <w:rsid w:val="000A51FC"/>
    <w:rsid w:val="000A6D85"/>
    <w:rsid w:val="000B2B23"/>
    <w:rsid w:val="000C1EBF"/>
    <w:rsid w:val="000D5160"/>
    <w:rsid w:val="000D59A8"/>
    <w:rsid w:val="000E03FE"/>
    <w:rsid w:val="000E5928"/>
    <w:rsid w:val="001044FC"/>
    <w:rsid w:val="00115DE0"/>
    <w:rsid w:val="00125EB5"/>
    <w:rsid w:val="001302DF"/>
    <w:rsid w:val="00141A30"/>
    <w:rsid w:val="0014235B"/>
    <w:rsid w:val="001449C0"/>
    <w:rsid w:val="00151157"/>
    <w:rsid w:val="00163205"/>
    <w:rsid w:val="00167B35"/>
    <w:rsid w:val="00184711"/>
    <w:rsid w:val="00190F6C"/>
    <w:rsid w:val="001A15F5"/>
    <w:rsid w:val="001A6F91"/>
    <w:rsid w:val="001C16DA"/>
    <w:rsid w:val="001D198B"/>
    <w:rsid w:val="001F698F"/>
    <w:rsid w:val="00201E57"/>
    <w:rsid w:val="002101B8"/>
    <w:rsid w:val="00227A64"/>
    <w:rsid w:val="002442A3"/>
    <w:rsid w:val="00251C73"/>
    <w:rsid w:val="0025726D"/>
    <w:rsid w:val="0025795B"/>
    <w:rsid w:val="00266464"/>
    <w:rsid w:val="002671F1"/>
    <w:rsid w:val="00270486"/>
    <w:rsid w:val="0027220C"/>
    <w:rsid w:val="002808AB"/>
    <w:rsid w:val="00284CD2"/>
    <w:rsid w:val="002B5713"/>
    <w:rsid w:val="002B7CCB"/>
    <w:rsid w:val="002C71E7"/>
    <w:rsid w:val="002D2369"/>
    <w:rsid w:val="002F74DC"/>
    <w:rsid w:val="00324EB8"/>
    <w:rsid w:val="003334F6"/>
    <w:rsid w:val="003402E8"/>
    <w:rsid w:val="00353BA1"/>
    <w:rsid w:val="0037324C"/>
    <w:rsid w:val="00373349"/>
    <w:rsid w:val="0038210C"/>
    <w:rsid w:val="003870CC"/>
    <w:rsid w:val="003B5345"/>
    <w:rsid w:val="003C607D"/>
    <w:rsid w:val="003D0C3B"/>
    <w:rsid w:val="003D3FFF"/>
    <w:rsid w:val="003D4800"/>
    <w:rsid w:val="003D798A"/>
    <w:rsid w:val="003E08D3"/>
    <w:rsid w:val="003E355B"/>
    <w:rsid w:val="00407F0A"/>
    <w:rsid w:val="0041720E"/>
    <w:rsid w:val="0042410C"/>
    <w:rsid w:val="004310A7"/>
    <w:rsid w:val="004502F4"/>
    <w:rsid w:val="00470043"/>
    <w:rsid w:val="00490C60"/>
    <w:rsid w:val="00496E8A"/>
    <w:rsid w:val="004A41EF"/>
    <w:rsid w:val="004B70B1"/>
    <w:rsid w:val="004C27B9"/>
    <w:rsid w:val="004C3DB4"/>
    <w:rsid w:val="004D0D42"/>
    <w:rsid w:val="004D2BA0"/>
    <w:rsid w:val="004E363D"/>
    <w:rsid w:val="004F1ED6"/>
    <w:rsid w:val="004F1F15"/>
    <w:rsid w:val="004F65E5"/>
    <w:rsid w:val="005014D1"/>
    <w:rsid w:val="0054211F"/>
    <w:rsid w:val="00542DA0"/>
    <w:rsid w:val="0054311D"/>
    <w:rsid w:val="005477DA"/>
    <w:rsid w:val="00557690"/>
    <w:rsid w:val="005712CB"/>
    <w:rsid w:val="005737FA"/>
    <w:rsid w:val="00577CBB"/>
    <w:rsid w:val="00580E39"/>
    <w:rsid w:val="00594B17"/>
    <w:rsid w:val="005B4F18"/>
    <w:rsid w:val="005C3668"/>
    <w:rsid w:val="005D417A"/>
    <w:rsid w:val="005D4ACB"/>
    <w:rsid w:val="005D5EDA"/>
    <w:rsid w:val="005E4AFF"/>
    <w:rsid w:val="005F3F15"/>
    <w:rsid w:val="006042F8"/>
    <w:rsid w:val="00615D49"/>
    <w:rsid w:val="006412D7"/>
    <w:rsid w:val="006446F0"/>
    <w:rsid w:val="00645C77"/>
    <w:rsid w:val="00662769"/>
    <w:rsid w:val="00663516"/>
    <w:rsid w:val="00682D83"/>
    <w:rsid w:val="00683AED"/>
    <w:rsid w:val="0069424B"/>
    <w:rsid w:val="00695D72"/>
    <w:rsid w:val="006A7161"/>
    <w:rsid w:val="006B29CA"/>
    <w:rsid w:val="006B2B65"/>
    <w:rsid w:val="006B7491"/>
    <w:rsid w:val="006C1D25"/>
    <w:rsid w:val="006E12CC"/>
    <w:rsid w:val="007001F0"/>
    <w:rsid w:val="007014FC"/>
    <w:rsid w:val="00731A38"/>
    <w:rsid w:val="0075060C"/>
    <w:rsid w:val="007532FF"/>
    <w:rsid w:val="007564B5"/>
    <w:rsid w:val="00766EEB"/>
    <w:rsid w:val="00772A33"/>
    <w:rsid w:val="0078609E"/>
    <w:rsid w:val="007918EE"/>
    <w:rsid w:val="007C79A9"/>
    <w:rsid w:val="007C7BAF"/>
    <w:rsid w:val="007D3775"/>
    <w:rsid w:val="007E3476"/>
    <w:rsid w:val="00802A0A"/>
    <w:rsid w:val="00824AB0"/>
    <w:rsid w:val="008378DC"/>
    <w:rsid w:val="00887DA0"/>
    <w:rsid w:val="00893296"/>
    <w:rsid w:val="008935D4"/>
    <w:rsid w:val="008A72B1"/>
    <w:rsid w:val="008B43ED"/>
    <w:rsid w:val="008B4735"/>
    <w:rsid w:val="008E57CC"/>
    <w:rsid w:val="008F5155"/>
    <w:rsid w:val="008F6AB5"/>
    <w:rsid w:val="00933FA5"/>
    <w:rsid w:val="00934104"/>
    <w:rsid w:val="00955A3F"/>
    <w:rsid w:val="00960430"/>
    <w:rsid w:val="009677C5"/>
    <w:rsid w:val="00967AA4"/>
    <w:rsid w:val="009E1FA0"/>
    <w:rsid w:val="009E3014"/>
    <w:rsid w:val="009E3F8D"/>
    <w:rsid w:val="009F0464"/>
    <w:rsid w:val="009F0BB3"/>
    <w:rsid w:val="00A05A16"/>
    <w:rsid w:val="00A1423D"/>
    <w:rsid w:val="00A204FB"/>
    <w:rsid w:val="00A206E4"/>
    <w:rsid w:val="00A267F9"/>
    <w:rsid w:val="00A31603"/>
    <w:rsid w:val="00A37C3C"/>
    <w:rsid w:val="00A42891"/>
    <w:rsid w:val="00A842DF"/>
    <w:rsid w:val="00A950B9"/>
    <w:rsid w:val="00AA10D4"/>
    <w:rsid w:val="00AA706B"/>
    <w:rsid w:val="00AB15F8"/>
    <w:rsid w:val="00AB2664"/>
    <w:rsid w:val="00AB53AC"/>
    <w:rsid w:val="00AB6C97"/>
    <w:rsid w:val="00AC2532"/>
    <w:rsid w:val="00AC7ABF"/>
    <w:rsid w:val="00AD0003"/>
    <w:rsid w:val="00AF20A8"/>
    <w:rsid w:val="00AF476E"/>
    <w:rsid w:val="00AF7CF9"/>
    <w:rsid w:val="00B03668"/>
    <w:rsid w:val="00B07E79"/>
    <w:rsid w:val="00B27494"/>
    <w:rsid w:val="00B31A8D"/>
    <w:rsid w:val="00B369BE"/>
    <w:rsid w:val="00B40795"/>
    <w:rsid w:val="00B52013"/>
    <w:rsid w:val="00B57C2F"/>
    <w:rsid w:val="00B82FE7"/>
    <w:rsid w:val="00B87AB6"/>
    <w:rsid w:val="00BA46C7"/>
    <w:rsid w:val="00BB5C59"/>
    <w:rsid w:val="00BB5E17"/>
    <w:rsid w:val="00BB5F62"/>
    <w:rsid w:val="00BC7D27"/>
    <w:rsid w:val="00BE5952"/>
    <w:rsid w:val="00BE7989"/>
    <w:rsid w:val="00BF5380"/>
    <w:rsid w:val="00BF68F7"/>
    <w:rsid w:val="00C01D90"/>
    <w:rsid w:val="00C1036D"/>
    <w:rsid w:val="00C14435"/>
    <w:rsid w:val="00C423AE"/>
    <w:rsid w:val="00C442D1"/>
    <w:rsid w:val="00C62BAA"/>
    <w:rsid w:val="00C64D84"/>
    <w:rsid w:val="00C65924"/>
    <w:rsid w:val="00C66833"/>
    <w:rsid w:val="00C6792D"/>
    <w:rsid w:val="00C71DAA"/>
    <w:rsid w:val="00C770B6"/>
    <w:rsid w:val="00C77455"/>
    <w:rsid w:val="00C8490D"/>
    <w:rsid w:val="00C84E9B"/>
    <w:rsid w:val="00CA1004"/>
    <w:rsid w:val="00CB2DCE"/>
    <w:rsid w:val="00CB7889"/>
    <w:rsid w:val="00CC65AD"/>
    <w:rsid w:val="00CC7C0B"/>
    <w:rsid w:val="00CD2A4D"/>
    <w:rsid w:val="00CD5891"/>
    <w:rsid w:val="00CD607E"/>
    <w:rsid w:val="00CD6EAB"/>
    <w:rsid w:val="00CE4D8A"/>
    <w:rsid w:val="00CF2676"/>
    <w:rsid w:val="00CF42BE"/>
    <w:rsid w:val="00D04CBB"/>
    <w:rsid w:val="00D05E2F"/>
    <w:rsid w:val="00D141A5"/>
    <w:rsid w:val="00D172BD"/>
    <w:rsid w:val="00D21B8D"/>
    <w:rsid w:val="00D26D15"/>
    <w:rsid w:val="00D3212E"/>
    <w:rsid w:val="00D45281"/>
    <w:rsid w:val="00D53DC4"/>
    <w:rsid w:val="00D601FE"/>
    <w:rsid w:val="00D6753A"/>
    <w:rsid w:val="00D7040A"/>
    <w:rsid w:val="00D73864"/>
    <w:rsid w:val="00D77523"/>
    <w:rsid w:val="00D86A2F"/>
    <w:rsid w:val="00D909E7"/>
    <w:rsid w:val="00D90BC6"/>
    <w:rsid w:val="00D92B06"/>
    <w:rsid w:val="00D96ECA"/>
    <w:rsid w:val="00DC0757"/>
    <w:rsid w:val="00DC7E46"/>
    <w:rsid w:val="00DE24B3"/>
    <w:rsid w:val="00E003D0"/>
    <w:rsid w:val="00E025CD"/>
    <w:rsid w:val="00E05034"/>
    <w:rsid w:val="00E220DE"/>
    <w:rsid w:val="00E26F68"/>
    <w:rsid w:val="00E31233"/>
    <w:rsid w:val="00E46CFC"/>
    <w:rsid w:val="00E65333"/>
    <w:rsid w:val="00E74755"/>
    <w:rsid w:val="00E77D37"/>
    <w:rsid w:val="00E81395"/>
    <w:rsid w:val="00E9529E"/>
    <w:rsid w:val="00E96761"/>
    <w:rsid w:val="00E97E93"/>
    <w:rsid w:val="00EA6444"/>
    <w:rsid w:val="00EB7FBA"/>
    <w:rsid w:val="00ED4428"/>
    <w:rsid w:val="00EF1768"/>
    <w:rsid w:val="00EF67AA"/>
    <w:rsid w:val="00F00792"/>
    <w:rsid w:val="00F03FA2"/>
    <w:rsid w:val="00F11687"/>
    <w:rsid w:val="00F161EE"/>
    <w:rsid w:val="00F168FB"/>
    <w:rsid w:val="00F21312"/>
    <w:rsid w:val="00F23D77"/>
    <w:rsid w:val="00F41B3B"/>
    <w:rsid w:val="00F43502"/>
    <w:rsid w:val="00F5203C"/>
    <w:rsid w:val="00F62372"/>
    <w:rsid w:val="00F642E6"/>
    <w:rsid w:val="00F75B8D"/>
    <w:rsid w:val="00F7601B"/>
    <w:rsid w:val="00F84401"/>
    <w:rsid w:val="00F953DD"/>
    <w:rsid w:val="00FA5496"/>
    <w:rsid w:val="00FB56C5"/>
    <w:rsid w:val="00FB79DD"/>
    <w:rsid w:val="00FD17D4"/>
    <w:rsid w:val="00FD72C9"/>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FD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A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A38"/>
    <w:rPr>
      <w:rFonts w:ascii="Calibri" w:eastAsia="宋体" w:hAnsi="Calibri" w:cs="Times New Roman"/>
      <w:sz w:val="18"/>
      <w:szCs w:val="18"/>
    </w:rPr>
  </w:style>
  <w:style w:type="paragraph" w:styleId="a4">
    <w:name w:val="footer"/>
    <w:basedOn w:val="a"/>
    <w:link w:val="Char0"/>
    <w:uiPriority w:val="99"/>
    <w:unhideWhenUsed/>
    <w:rsid w:val="00731A38"/>
    <w:pPr>
      <w:tabs>
        <w:tab w:val="center" w:pos="4153"/>
        <w:tab w:val="right" w:pos="8306"/>
      </w:tabs>
      <w:snapToGrid w:val="0"/>
      <w:jc w:val="left"/>
    </w:pPr>
    <w:rPr>
      <w:sz w:val="18"/>
      <w:szCs w:val="18"/>
    </w:rPr>
  </w:style>
  <w:style w:type="character" w:customStyle="1" w:styleId="Char0">
    <w:name w:val="页脚 Char"/>
    <w:basedOn w:val="a0"/>
    <w:link w:val="a4"/>
    <w:uiPriority w:val="99"/>
    <w:rsid w:val="00731A38"/>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9</cp:revision>
  <dcterms:created xsi:type="dcterms:W3CDTF">2020-08-10T05:31:00Z</dcterms:created>
  <dcterms:modified xsi:type="dcterms:W3CDTF">2020-08-25T05:50:00Z</dcterms:modified>
</cp:coreProperties>
</file>