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公告编号：临2022</w:t>
      </w:r>
      <w:bookmarkStart w:id="0" w:name="_GoBack"/>
      <w:r>
        <w:rPr>
          <w:rFonts w:hint="eastAsia" w:ascii="宋体" w:hAnsi="宋体" w:cs="宋体"/>
          <w:color w:val="000000"/>
          <w:kern w:val="0"/>
          <w:sz w:val="24"/>
          <w:highlight w:val="none"/>
        </w:rPr>
        <w:t>-01</w:t>
      </w:r>
      <w:r>
        <w:rPr>
          <w:rFonts w:hint="eastAsia" w:ascii="宋体" w:hAnsi="宋体" w:cs="宋体"/>
          <w:color w:val="000000"/>
          <w:kern w:val="0"/>
          <w:sz w:val="24"/>
          <w:highlight w:val="none"/>
          <w:lang w:val="en-US" w:eastAsia="zh-CN"/>
        </w:rPr>
        <w:t>8</w:t>
      </w:r>
      <w:bookmarkEnd w:id="0"/>
      <w:r>
        <w:rPr>
          <w:rFonts w:hint="eastAsia" w:ascii="宋体" w:hAnsi="宋体" w:cs="宋体"/>
          <w:color w:val="000000"/>
          <w:kern w:val="0"/>
          <w:sz w:val="24"/>
        </w:rPr>
        <w:t xml:space="preserve"> </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关于股份性质变更暨2021年限制性股票</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激励计划首次授予的进展公告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3"/>
        <w:tabs>
          <w:tab w:val="left" w:pos="7140"/>
        </w:tabs>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2021年限制性股票激励计划（以下简称“本次激励计划”）规定的限制性股票首次授予条件已经成就，根据公司2022年第一次临时股东大会的授权，公司于2022年2月16日召开第十届董事会2022年第二次临时会议（通讯表决）、第十届监事会2022年第一次临时会议（通讯表决），审议通过了《关于调整公司2021年限制性股票激励计划首次授予激励对象名单及授予数量的议案》《关于向公司2021年限制性股票激励计划激励对象首次授予限制性股票的议案》，同意确定以2022年2月16日为限制性股票首次授予日，向符合条件的110名激励对象授予</w:t>
      </w:r>
      <w:r>
        <w:rPr>
          <w:rFonts w:ascii="宋体" w:hAnsi="宋体"/>
          <w:sz w:val="24"/>
        </w:rPr>
        <w:t>3,319,000</w:t>
      </w:r>
      <w:r>
        <w:rPr>
          <w:rFonts w:hint="eastAsia" w:ascii="宋体" w:hAnsi="宋体"/>
          <w:sz w:val="24"/>
        </w:rPr>
        <w:t>股限制性股票，授予价格为3.68元/股。具体内容详见公司于2022年2月17日在上海证券交易所网站（www.sse.com.cn）披露的相关公告。</w:t>
      </w:r>
    </w:p>
    <w:p>
      <w:pPr>
        <w:spacing w:line="360" w:lineRule="auto"/>
        <w:ind w:firstLine="480" w:firstLineChars="200"/>
        <w:rPr>
          <w:rFonts w:ascii="宋体" w:hAnsi="宋体"/>
          <w:sz w:val="24"/>
        </w:rPr>
      </w:pPr>
      <w:r>
        <w:rPr>
          <w:rFonts w:hint="eastAsia" w:ascii="宋体" w:hAnsi="宋体"/>
          <w:sz w:val="24"/>
        </w:rPr>
        <w:t>目前本次授予的激励对象已完成缴款，共有109名激励对象完成认购3,304,000股（在资金缴纳过程中，1名激励对象因个人原因自愿放弃认购拟授予其的全部限制性股票，合计放弃认购15,000股）。2022年2月26日，中汇会计师事务所（特殊普通合伙）出具了验资报告（中汇会验[2022]0474号），截至2022年2月24日止，公司实际已收到109名激励对象缴纳的认购款合计人民币12,158,720.00元。</w:t>
      </w:r>
    </w:p>
    <w:p>
      <w:pPr>
        <w:spacing w:line="360" w:lineRule="auto"/>
        <w:ind w:firstLine="480" w:firstLineChars="200"/>
        <w:rPr>
          <w:rFonts w:ascii="宋体" w:hAnsi="宋体"/>
          <w:sz w:val="24"/>
        </w:rPr>
      </w:pPr>
      <w:r>
        <w:rPr>
          <w:rFonts w:hint="eastAsia" w:ascii="宋体" w:hAnsi="宋体"/>
          <w:sz w:val="24"/>
        </w:rPr>
        <w:t>本次授予109名激励对象限制性股票共计3,304,000股，股份来源为公司从二级市场回购的本公司A股普通股。经公司与上海证券交易所和中国证券登记结算有限责任公司上海分公司确认，上述用于本次激励计划限制性股票授予的3,304,000股回购股份将由无限售条件流通股变更为有限售条件流通股。本次变更前后，公司的股本结构如下：</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126"/>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证券类别</w:t>
            </w:r>
          </w:p>
        </w:tc>
        <w:tc>
          <w:tcPr>
            <w:tcW w:w="2126" w:type="dxa"/>
            <w:vAlign w:val="center"/>
          </w:tcPr>
          <w:p>
            <w:pPr>
              <w:pStyle w:val="13"/>
              <w:jc w:val="center"/>
              <w:rPr>
                <w:b/>
                <w:sz w:val="21"/>
                <w:szCs w:val="21"/>
              </w:rPr>
            </w:pPr>
            <w:r>
              <w:rPr>
                <w:rFonts w:hint="eastAsia"/>
                <w:b/>
                <w:sz w:val="21"/>
                <w:szCs w:val="21"/>
              </w:rPr>
              <w:t>变更前股份数量（股）</w:t>
            </w:r>
          </w:p>
        </w:tc>
        <w:tc>
          <w:tcPr>
            <w:tcW w:w="2410" w:type="dxa"/>
            <w:vAlign w:val="center"/>
          </w:tcPr>
          <w:p>
            <w:pPr>
              <w:pStyle w:val="13"/>
              <w:jc w:val="center"/>
              <w:rPr>
                <w:b/>
                <w:sz w:val="21"/>
                <w:szCs w:val="21"/>
              </w:rPr>
            </w:pPr>
            <w:r>
              <w:rPr>
                <w:rFonts w:hint="eastAsia"/>
                <w:b/>
                <w:sz w:val="21"/>
                <w:szCs w:val="21"/>
              </w:rPr>
              <w:t>本次变更股份数量（股）</w:t>
            </w:r>
          </w:p>
        </w:tc>
        <w:tc>
          <w:tcPr>
            <w:tcW w:w="2126" w:type="dxa"/>
            <w:vAlign w:val="center"/>
          </w:tcPr>
          <w:p>
            <w:pPr>
              <w:pStyle w:val="13"/>
              <w:jc w:val="center"/>
              <w:rPr>
                <w:b/>
                <w:sz w:val="21"/>
                <w:szCs w:val="21"/>
              </w:rPr>
            </w:pPr>
            <w:r>
              <w:rPr>
                <w:rFonts w:hint="eastAsia"/>
                <w:b/>
                <w:sz w:val="21"/>
                <w:szCs w:val="21"/>
              </w:rPr>
              <w:t>变更后股份数量（股）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无限售条件流通股</w:t>
            </w:r>
          </w:p>
        </w:tc>
        <w:tc>
          <w:tcPr>
            <w:tcW w:w="2126" w:type="dxa"/>
            <w:vAlign w:val="center"/>
          </w:tcPr>
          <w:p>
            <w:pPr>
              <w:spacing w:line="360" w:lineRule="auto"/>
              <w:jc w:val="center"/>
              <w:rPr>
                <w:rFonts w:ascii="宋体" w:hAnsi="宋体"/>
                <w:szCs w:val="21"/>
              </w:rPr>
            </w:pPr>
            <w:r>
              <w:rPr>
                <w:rFonts w:ascii="宋体" w:hAnsi="宋体"/>
                <w:szCs w:val="21"/>
              </w:rPr>
              <w:t>712,388,832</w:t>
            </w:r>
          </w:p>
        </w:tc>
        <w:tc>
          <w:tcPr>
            <w:tcW w:w="2410" w:type="dxa"/>
            <w:vAlign w:val="center"/>
          </w:tcPr>
          <w:p>
            <w:pPr>
              <w:spacing w:line="360" w:lineRule="auto"/>
              <w:jc w:val="center"/>
              <w:rPr>
                <w:rFonts w:ascii="宋体" w:hAnsi="宋体"/>
                <w:szCs w:val="21"/>
              </w:rPr>
            </w:pPr>
            <w:r>
              <w:rPr>
                <w:rFonts w:ascii="宋体" w:hAnsi="宋体"/>
                <w:szCs w:val="21"/>
              </w:rPr>
              <w:t>-3,304,000</w:t>
            </w:r>
          </w:p>
        </w:tc>
        <w:tc>
          <w:tcPr>
            <w:tcW w:w="2126" w:type="dxa"/>
            <w:vAlign w:val="center"/>
          </w:tcPr>
          <w:p>
            <w:pPr>
              <w:spacing w:line="360" w:lineRule="auto"/>
              <w:jc w:val="center"/>
              <w:rPr>
                <w:rFonts w:ascii="宋体" w:hAnsi="宋体"/>
                <w:szCs w:val="21"/>
              </w:rPr>
            </w:pPr>
            <w:r>
              <w:rPr>
                <w:rFonts w:ascii="宋体" w:hAnsi="宋体"/>
                <w:szCs w:val="21"/>
              </w:rPr>
              <w:t>709,084,832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有限售条件流通股</w:t>
            </w:r>
          </w:p>
        </w:tc>
        <w:tc>
          <w:tcPr>
            <w:tcW w:w="2126" w:type="dxa"/>
            <w:vAlign w:val="center"/>
          </w:tcPr>
          <w:p>
            <w:pPr>
              <w:spacing w:line="360" w:lineRule="auto"/>
              <w:jc w:val="center"/>
              <w:rPr>
                <w:rFonts w:ascii="宋体" w:hAnsi="宋体"/>
                <w:szCs w:val="21"/>
              </w:rPr>
            </w:pPr>
            <w:r>
              <w:rPr>
                <w:rFonts w:hint="eastAsia" w:ascii="宋体" w:hAnsi="宋体"/>
                <w:szCs w:val="21"/>
              </w:rPr>
              <w:t>0</w:t>
            </w:r>
          </w:p>
        </w:tc>
        <w:tc>
          <w:tcPr>
            <w:tcW w:w="2410" w:type="dxa"/>
            <w:vAlign w:val="center"/>
          </w:tcPr>
          <w:p>
            <w:pPr>
              <w:spacing w:line="360" w:lineRule="auto"/>
              <w:jc w:val="center"/>
              <w:rPr>
                <w:rFonts w:ascii="宋体" w:hAnsi="宋体"/>
                <w:szCs w:val="21"/>
              </w:rPr>
            </w:pPr>
            <w:r>
              <w:rPr>
                <w:rFonts w:ascii="宋体" w:hAnsi="宋体"/>
                <w:szCs w:val="21"/>
              </w:rPr>
              <w:t>3,304,000</w:t>
            </w:r>
          </w:p>
        </w:tc>
        <w:tc>
          <w:tcPr>
            <w:tcW w:w="2126" w:type="dxa"/>
            <w:vAlign w:val="center"/>
          </w:tcPr>
          <w:p>
            <w:pPr>
              <w:spacing w:line="360" w:lineRule="auto"/>
              <w:jc w:val="center"/>
              <w:rPr>
                <w:rFonts w:ascii="宋体" w:hAnsi="宋体"/>
                <w:szCs w:val="21"/>
              </w:rPr>
            </w:pPr>
            <w:r>
              <w:rPr>
                <w:rFonts w:ascii="宋体" w:hAnsi="宋体"/>
                <w:szCs w:val="21"/>
              </w:rPr>
              <w:t>3,304,000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合计</w:t>
            </w:r>
          </w:p>
        </w:tc>
        <w:tc>
          <w:tcPr>
            <w:tcW w:w="2126" w:type="dxa"/>
            <w:vAlign w:val="center"/>
          </w:tcPr>
          <w:p>
            <w:pPr>
              <w:spacing w:line="360" w:lineRule="auto"/>
              <w:jc w:val="center"/>
              <w:rPr>
                <w:rFonts w:ascii="宋体" w:hAnsi="宋体"/>
                <w:szCs w:val="21"/>
              </w:rPr>
            </w:pPr>
            <w:r>
              <w:rPr>
                <w:rFonts w:ascii="宋体" w:hAnsi="宋体"/>
                <w:szCs w:val="21"/>
              </w:rPr>
              <w:t>712,388,832</w:t>
            </w:r>
          </w:p>
        </w:tc>
        <w:tc>
          <w:tcPr>
            <w:tcW w:w="2410" w:type="dxa"/>
            <w:vAlign w:val="center"/>
          </w:tcPr>
          <w:p>
            <w:pPr>
              <w:spacing w:line="360" w:lineRule="auto"/>
              <w:jc w:val="center"/>
              <w:rPr>
                <w:rFonts w:ascii="宋体" w:hAnsi="宋体"/>
                <w:szCs w:val="21"/>
              </w:rPr>
            </w:pPr>
            <w:r>
              <w:rPr>
                <w:rFonts w:hint="eastAsia" w:ascii="宋体" w:hAnsi="宋体"/>
                <w:szCs w:val="21"/>
              </w:rPr>
              <w:t>0</w:t>
            </w:r>
          </w:p>
        </w:tc>
        <w:tc>
          <w:tcPr>
            <w:tcW w:w="2126" w:type="dxa"/>
            <w:vAlign w:val="center"/>
          </w:tcPr>
          <w:p>
            <w:pPr>
              <w:spacing w:line="360" w:lineRule="auto"/>
              <w:jc w:val="center"/>
              <w:rPr>
                <w:rFonts w:ascii="宋体" w:hAnsi="宋体"/>
                <w:szCs w:val="21"/>
              </w:rPr>
            </w:pPr>
            <w:r>
              <w:rPr>
                <w:rFonts w:ascii="宋体" w:hAnsi="宋体"/>
                <w:szCs w:val="21"/>
              </w:rPr>
              <w:t>712,388,832</w:t>
            </w:r>
          </w:p>
        </w:tc>
      </w:tr>
    </w:tbl>
    <w:p>
      <w:pPr>
        <w:spacing w:line="360" w:lineRule="auto"/>
        <w:ind w:firstLine="480" w:firstLineChars="200"/>
        <w:rPr>
          <w:rFonts w:ascii="宋体" w:hAnsi="宋体"/>
          <w:sz w:val="24"/>
        </w:rPr>
      </w:pPr>
      <w:r>
        <w:rPr>
          <w:rFonts w:hint="eastAsia" w:ascii="宋体" w:hAnsi="宋体"/>
          <w:sz w:val="24"/>
        </w:rPr>
        <w:t>后续，公司将根据相关规定在中国证券登记结算有限责任公司上海分公司办理本次激励计划109名激励对象2021 年限制性股票授予的登记工作，并及时履行信息披露义务。</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w:t>
      </w:r>
      <w:r>
        <w:rPr>
          <w:rFonts w:hint="eastAsia" w:ascii="宋体" w:hAnsi="宋体"/>
          <w:sz w:val="24"/>
          <w:highlight w:val="none"/>
        </w:rPr>
        <w:t>2022年3月</w:t>
      </w:r>
      <w:r>
        <w:rPr>
          <w:rFonts w:hint="eastAsia" w:ascii="宋体" w:hAnsi="宋体"/>
          <w:sz w:val="24"/>
          <w:highlight w:val="none"/>
          <w:lang w:eastAsia="zh-CN"/>
        </w:rPr>
        <w:t>1</w:t>
      </w:r>
      <w:r>
        <w:rPr>
          <w:rFonts w:hint="eastAsia" w:ascii="宋体" w:hAnsi="宋体"/>
          <w:sz w:val="24"/>
          <w:highlight w:val="none"/>
          <w:lang w:val="en-US" w:eastAsia="zh-CN"/>
        </w:rPr>
        <w:t>0</w:t>
      </w:r>
      <w:r>
        <w:rPr>
          <w:rFonts w:hint="eastAsia" w:ascii="宋体" w:hAnsi="宋体"/>
          <w:sz w:val="24"/>
          <w:highlight w:val="none"/>
        </w:rPr>
        <w:t>日</w:t>
      </w: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B2"/>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92BCF"/>
    <w:rsid w:val="000941D0"/>
    <w:rsid w:val="000C1EBF"/>
    <w:rsid w:val="000D5160"/>
    <w:rsid w:val="000D59A8"/>
    <w:rsid w:val="000E2525"/>
    <w:rsid w:val="000E5928"/>
    <w:rsid w:val="000E7F53"/>
    <w:rsid w:val="000F1086"/>
    <w:rsid w:val="000F4B47"/>
    <w:rsid w:val="00101299"/>
    <w:rsid w:val="001044FC"/>
    <w:rsid w:val="00115DE0"/>
    <w:rsid w:val="00125BE8"/>
    <w:rsid w:val="00125EB5"/>
    <w:rsid w:val="001302DF"/>
    <w:rsid w:val="00141A30"/>
    <w:rsid w:val="0014235B"/>
    <w:rsid w:val="001449C0"/>
    <w:rsid w:val="00147226"/>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7590B"/>
    <w:rsid w:val="002808AB"/>
    <w:rsid w:val="00284CD2"/>
    <w:rsid w:val="00297F43"/>
    <w:rsid w:val="002A1B60"/>
    <w:rsid w:val="002B5713"/>
    <w:rsid w:val="002B7CCB"/>
    <w:rsid w:val="002C43B8"/>
    <w:rsid w:val="002C45E5"/>
    <w:rsid w:val="002C5021"/>
    <w:rsid w:val="002C71E7"/>
    <w:rsid w:val="002D2369"/>
    <w:rsid w:val="002D4C8C"/>
    <w:rsid w:val="002D65CF"/>
    <w:rsid w:val="002F64AF"/>
    <w:rsid w:val="002F74DC"/>
    <w:rsid w:val="0030503B"/>
    <w:rsid w:val="00307EC7"/>
    <w:rsid w:val="00324EB8"/>
    <w:rsid w:val="003307ED"/>
    <w:rsid w:val="003334F6"/>
    <w:rsid w:val="003402E8"/>
    <w:rsid w:val="00342CB6"/>
    <w:rsid w:val="003442BE"/>
    <w:rsid w:val="00353BA1"/>
    <w:rsid w:val="00360937"/>
    <w:rsid w:val="00363847"/>
    <w:rsid w:val="0036422B"/>
    <w:rsid w:val="003657D5"/>
    <w:rsid w:val="00367CCA"/>
    <w:rsid w:val="003726BC"/>
    <w:rsid w:val="0037324C"/>
    <w:rsid w:val="00373349"/>
    <w:rsid w:val="0038210C"/>
    <w:rsid w:val="003870CC"/>
    <w:rsid w:val="003A1590"/>
    <w:rsid w:val="003A3A47"/>
    <w:rsid w:val="003B1D84"/>
    <w:rsid w:val="003B5345"/>
    <w:rsid w:val="003C607D"/>
    <w:rsid w:val="003D0328"/>
    <w:rsid w:val="003D0C3B"/>
    <w:rsid w:val="003D3FFF"/>
    <w:rsid w:val="003D798A"/>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3312"/>
    <w:rsid w:val="00507FDE"/>
    <w:rsid w:val="00517BE0"/>
    <w:rsid w:val="00517C61"/>
    <w:rsid w:val="005216F4"/>
    <w:rsid w:val="005378B2"/>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0F45"/>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B0802"/>
    <w:rsid w:val="007C0761"/>
    <w:rsid w:val="007C79A9"/>
    <w:rsid w:val="007C7BAF"/>
    <w:rsid w:val="007E3476"/>
    <w:rsid w:val="00802A0A"/>
    <w:rsid w:val="008051A9"/>
    <w:rsid w:val="008051F9"/>
    <w:rsid w:val="0082478F"/>
    <w:rsid w:val="00824AB0"/>
    <w:rsid w:val="008378DC"/>
    <w:rsid w:val="00837AFB"/>
    <w:rsid w:val="008412C9"/>
    <w:rsid w:val="00884C0B"/>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12C06"/>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41EA"/>
    <w:rsid w:val="00A72475"/>
    <w:rsid w:val="00A842DF"/>
    <w:rsid w:val="00A950B9"/>
    <w:rsid w:val="00A973BC"/>
    <w:rsid w:val="00AA10D4"/>
    <w:rsid w:val="00AA706B"/>
    <w:rsid w:val="00AB0CFB"/>
    <w:rsid w:val="00AB15F8"/>
    <w:rsid w:val="00AB2664"/>
    <w:rsid w:val="00AB53AC"/>
    <w:rsid w:val="00AB6C97"/>
    <w:rsid w:val="00AB723A"/>
    <w:rsid w:val="00AC11D0"/>
    <w:rsid w:val="00AC4735"/>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4FB0"/>
    <w:rsid w:val="00C875F5"/>
    <w:rsid w:val="00CA1004"/>
    <w:rsid w:val="00CB2DCE"/>
    <w:rsid w:val="00CC522D"/>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3E50"/>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63EE5"/>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7F6F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w:basedOn w:val="1"/>
    <w:link w:val="12"/>
    <w:qFormat/>
    <w:uiPriority w:val="1"/>
    <w:pPr>
      <w:autoSpaceDE w:val="0"/>
      <w:autoSpaceDN w:val="0"/>
      <w:jc w:val="left"/>
    </w:pPr>
    <w:rPr>
      <w:rFonts w:ascii="宋体" w:hAnsi="宋体" w:cs="宋体"/>
      <w:kern w:val="0"/>
      <w:sz w:val="24"/>
      <w:lang w:eastAsia="en-US"/>
    </w:rPr>
  </w:style>
  <w:style w:type="paragraph" w:styleId="4">
    <w:name w:val="Balloon Text"/>
    <w:basedOn w:val="1"/>
    <w:link w:val="18"/>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character" w:customStyle="1" w:styleId="12">
    <w:name w:val="正文文本 Char"/>
    <w:basedOn w:val="10"/>
    <w:link w:val="3"/>
    <w:qFormat/>
    <w:uiPriority w:val="1"/>
    <w:rPr>
      <w:rFonts w:ascii="宋体" w:hAnsi="宋体" w:eastAsia="宋体" w:cs="宋体"/>
      <w:kern w:val="0"/>
      <w:sz w:val="24"/>
      <w:szCs w:val="24"/>
      <w:lang w:eastAsia="en-US"/>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4">
    <w:name w:val="页眉 Char"/>
    <w:basedOn w:val="10"/>
    <w:link w:val="6"/>
    <w:uiPriority w:val="99"/>
    <w:rPr>
      <w:rFonts w:ascii="Times New Roman" w:hAnsi="Times New Roman" w:eastAsia="宋体" w:cs="Times New Roman"/>
      <w:sz w:val="18"/>
      <w:szCs w:val="18"/>
    </w:rPr>
  </w:style>
  <w:style w:type="character" w:customStyle="1" w:styleId="15">
    <w:name w:val="页脚 Char"/>
    <w:basedOn w:val="10"/>
    <w:link w:val="5"/>
    <w:uiPriority w:val="99"/>
    <w:rPr>
      <w:rFonts w:ascii="Times New Roman" w:hAnsi="Times New Roman" w:eastAsia="宋体" w:cs="Times New Roman"/>
      <w:sz w:val="18"/>
      <w:szCs w:val="18"/>
    </w:rPr>
  </w:style>
  <w:style w:type="character" w:customStyle="1" w:styleId="16">
    <w:name w:val="批注文字 Char"/>
    <w:basedOn w:val="10"/>
    <w:link w:val="2"/>
    <w:semiHidden/>
    <w:uiPriority w:val="99"/>
    <w:rPr>
      <w:rFonts w:ascii="Times New Roman" w:hAnsi="Times New Roman" w:eastAsia="宋体" w:cs="Times New Roman"/>
      <w:szCs w:val="24"/>
    </w:rPr>
  </w:style>
  <w:style w:type="character" w:customStyle="1" w:styleId="17">
    <w:name w:val="批注主题 Char"/>
    <w:basedOn w:val="16"/>
    <w:link w:val="7"/>
    <w:semiHidden/>
    <w:uiPriority w:val="99"/>
    <w:rPr>
      <w:rFonts w:ascii="Times New Roman" w:hAnsi="Times New Roman" w:eastAsia="宋体" w:cs="Times New Roman"/>
      <w:b/>
      <w:bCs/>
      <w:szCs w:val="24"/>
    </w:rPr>
  </w:style>
  <w:style w:type="character" w:customStyle="1" w:styleId="18">
    <w:name w:val="批注框文本 Char"/>
    <w:basedOn w:val="10"/>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177</Words>
  <Characters>1010</Characters>
  <Lines>8</Lines>
  <Paragraphs>2</Paragraphs>
  <TotalTime>9</TotalTime>
  <ScaleCrop>false</ScaleCrop>
  <LinksUpToDate>false</LinksUpToDate>
  <CharactersWithSpaces>1185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2022-03-04T08:42:00Z</dcterms:created>
  <dc:creator>李锐</dc:creator>
  <cp:lastModifiedBy>王雅杰</cp:lastModifiedBy>
  <cp:lastPrinted>2022-02-25T08:49:00Z</cp:lastPrinted>
  <dcterms:modified xsi:type="dcterms:W3CDTF">2022-03-09T01:24:36Z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5148C88519054354A425C76A0CBACC67</vt:lpwstr>
  </property>
</Properties>
</file>