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BE" w:rsidRDefault="00236846">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公告编号：临2</w:t>
      </w:r>
      <w:r w:rsidRPr="00DC287B">
        <w:rPr>
          <w:rFonts w:ascii="宋体" w:hAnsi="宋体" w:cs="宋体" w:hint="eastAsia"/>
          <w:color w:val="000000"/>
          <w:kern w:val="0"/>
          <w:sz w:val="24"/>
        </w:rPr>
        <w:t>019-</w:t>
      </w:r>
      <w:r w:rsidR="0099191D" w:rsidRPr="00DC287B">
        <w:rPr>
          <w:rFonts w:ascii="宋体" w:hAnsi="宋体" w:cs="宋体" w:hint="eastAsia"/>
          <w:color w:val="000000"/>
          <w:kern w:val="0"/>
          <w:sz w:val="24"/>
        </w:rPr>
        <w:t>095</w:t>
      </w:r>
    </w:p>
    <w:p w:rsidR="00DF72BE" w:rsidRDefault="00DF72BE">
      <w:pPr>
        <w:spacing w:line="480" w:lineRule="auto"/>
        <w:jc w:val="center"/>
        <w:rPr>
          <w:rFonts w:ascii="黑体" w:eastAsia="黑体" w:hAnsi="宋体"/>
          <w:b/>
          <w:bCs/>
          <w:color w:val="FF0000"/>
          <w:sz w:val="32"/>
          <w:szCs w:val="32"/>
        </w:rPr>
      </w:pPr>
    </w:p>
    <w:p w:rsidR="00DF72BE" w:rsidRDefault="00236846">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江苏吴中实业股份有限公司</w:t>
      </w:r>
      <w:bookmarkStart w:id="0" w:name="OLE_LINK1"/>
    </w:p>
    <w:p w:rsidR="00DF72BE" w:rsidRDefault="00236846">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关于使用闲置自有资金进行现金管理的公告</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DF72BE" w:rsidRDefault="00236846">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现金管理金额：江苏吴中实业股份有限公司（以下简称“公司”）及其全资子（孙）公司、控股子（孙）</w:t>
      </w:r>
      <w:r w:rsidRPr="0099191D">
        <w:rPr>
          <w:rFonts w:ascii="宋体" w:hAnsi="宋体" w:hint="eastAsia"/>
          <w:color w:val="000000"/>
          <w:sz w:val="24"/>
        </w:rPr>
        <w:t>公司</w:t>
      </w:r>
      <w:r w:rsidR="0099191D" w:rsidRPr="0099191D">
        <w:rPr>
          <w:rFonts w:ascii="宋体" w:hAnsi="宋体" w:hint="eastAsia"/>
          <w:color w:val="000000"/>
          <w:sz w:val="24"/>
        </w:rPr>
        <w:t>拟使用不超过人民币</w:t>
      </w:r>
      <w:r w:rsidRPr="0099191D">
        <w:rPr>
          <w:rFonts w:ascii="宋体" w:hAnsi="宋体" w:hint="eastAsia"/>
          <w:color w:val="000000"/>
          <w:sz w:val="24"/>
        </w:rPr>
        <w:t>4.2亿元的暂</w:t>
      </w:r>
      <w:r>
        <w:rPr>
          <w:rFonts w:ascii="宋体" w:hAnsi="宋体" w:hint="eastAsia"/>
          <w:color w:val="000000"/>
          <w:sz w:val="24"/>
        </w:rPr>
        <w:t>时闲置自有资金进行现金管理，在上述额度及决议有效期内，资金可以循环滚动使用。</w:t>
      </w:r>
    </w:p>
    <w:p w:rsidR="00DF72BE" w:rsidRDefault="00236846">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现金管理投资类型：仅限于安全性高、低风险、流动性好、稳健型理财产品以及结构性存款。</w:t>
      </w:r>
    </w:p>
    <w:p w:rsidR="0099191D" w:rsidRDefault="00236846" w:rsidP="0099191D">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现金管理期</w:t>
      </w:r>
      <w:r w:rsidRPr="0099191D">
        <w:rPr>
          <w:rFonts w:ascii="宋体" w:hAnsi="宋体" w:hint="eastAsia"/>
          <w:color w:val="000000"/>
          <w:sz w:val="24"/>
        </w:rPr>
        <w:t>限：自公司第九届董事会2019年第六次临时会议（通讯表决）审议通过之日起一年之内有效。</w:t>
      </w:r>
    </w:p>
    <w:p w:rsidR="00DF72BE" w:rsidRPr="0099191D" w:rsidRDefault="00236846" w:rsidP="0099191D">
      <w:pPr>
        <w:numPr>
          <w:ilvl w:val="0"/>
          <w:numId w:val="1"/>
        </w:numPr>
        <w:adjustRightInd w:val="0"/>
        <w:snapToGrid w:val="0"/>
        <w:spacing w:line="360" w:lineRule="auto"/>
        <w:rPr>
          <w:rFonts w:ascii="宋体" w:hAnsi="宋体"/>
          <w:color w:val="000000"/>
          <w:sz w:val="24"/>
        </w:rPr>
      </w:pPr>
      <w:r w:rsidRPr="0099191D">
        <w:rPr>
          <w:rFonts w:ascii="宋体" w:hAnsi="宋体" w:hint="eastAsia"/>
          <w:color w:val="000000"/>
          <w:sz w:val="24"/>
        </w:rPr>
        <w:t>履行的审议程序：2019年11月15日，公司召开第九届董事会2019年第六次临时会议（通讯表决）和第九届监事会2019年第四次临时会议（通讯表决），审议通过了该事项。该事项无需提交公司股东大会审议。</w:t>
      </w:r>
    </w:p>
    <w:p w:rsidR="00DF72BE" w:rsidRDefault="00DF72BE">
      <w:pPr>
        <w:autoSpaceDE w:val="0"/>
        <w:autoSpaceDN w:val="0"/>
        <w:adjustRightInd w:val="0"/>
        <w:spacing w:line="360" w:lineRule="auto"/>
        <w:ind w:firstLineChars="200" w:firstLine="480"/>
        <w:rPr>
          <w:rFonts w:ascii="宋体" w:hAnsi="宋体"/>
          <w:sz w:val="24"/>
        </w:rPr>
      </w:pPr>
    </w:p>
    <w:bookmarkEnd w:id="0"/>
    <w:p w:rsidR="00DF72BE" w:rsidRDefault="00236846">
      <w:pPr>
        <w:pStyle w:val="a3"/>
        <w:spacing w:line="360" w:lineRule="auto"/>
        <w:ind w:firstLineChars="200" w:firstLine="482"/>
        <w:rPr>
          <w:rFonts w:ascii="宋体" w:hAnsi="宋体"/>
          <w:b/>
          <w:sz w:val="24"/>
          <w:szCs w:val="24"/>
        </w:rPr>
      </w:pPr>
      <w:r>
        <w:rPr>
          <w:rFonts w:ascii="宋体" w:hAnsi="宋体" w:hint="eastAsia"/>
          <w:b/>
          <w:sz w:val="24"/>
          <w:szCs w:val="24"/>
        </w:rPr>
        <w:t>一、现金管理概况</w:t>
      </w:r>
    </w:p>
    <w:p w:rsidR="00DF72BE" w:rsidRDefault="00236846">
      <w:pPr>
        <w:pStyle w:val="a3"/>
        <w:spacing w:line="360" w:lineRule="auto"/>
        <w:ind w:firstLineChars="200" w:firstLine="480"/>
        <w:rPr>
          <w:rFonts w:ascii="宋体" w:hAnsi="宋体"/>
          <w:sz w:val="24"/>
          <w:szCs w:val="24"/>
        </w:rPr>
      </w:pPr>
      <w:r>
        <w:rPr>
          <w:rFonts w:ascii="宋体" w:hAnsi="宋体" w:hint="eastAsia"/>
          <w:sz w:val="24"/>
          <w:szCs w:val="24"/>
        </w:rPr>
        <w:t>（一）现金管理目的</w:t>
      </w:r>
    </w:p>
    <w:p w:rsidR="00DF72BE" w:rsidRPr="0099191D" w:rsidRDefault="00236846">
      <w:pPr>
        <w:pStyle w:val="a3"/>
        <w:spacing w:line="360" w:lineRule="auto"/>
        <w:ind w:firstLineChars="200" w:firstLine="480"/>
        <w:rPr>
          <w:rFonts w:ascii="宋体" w:hAnsi="宋体"/>
          <w:sz w:val="24"/>
          <w:szCs w:val="24"/>
        </w:rPr>
      </w:pPr>
      <w:r>
        <w:rPr>
          <w:rFonts w:ascii="宋体" w:hAnsi="宋体" w:hint="eastAsia"/>
          <w:sz w:val="24"/>
          <w:szCs w:val="24"/>
        </w:rPr>
        <w:t>为提高资金使用效率，合理利用闲置自有资金，本着股东利益最大化的原则，根据公司自有资金情况，在不影响公司正常经营及风险可控的前提下，公司及其全资子（孙）公司、控股子（孙）公司拟</w:t>
      </w:r>
      <w:r w:rsidRPr="0099191D">
        <w:rPr>
          <w:rFonts w:ascii="宋体" w:hAnsi="宋体" w:hint="eastAsia"/>
          <w:sz w:val="24"/>
          <w:szCs w:val="24"/>
        </w:rPr>
        <w:t>使用不超</w:t>
      </w:r>
      <w:r w:rsidR="0099191D" w:rsidRPr="0099191D">
        <w:rPr>
          <w:rFonts w:ascii="宋体" w:hAnsi="宋体" w:hint="eastAsia"/>
          <w:sz w:val="24"/>
          <w:szCs w:val="24"/>
        </w:rPr>
        <w:t>过人民币</w:t>
      </w:r>
      <w:r w:rsidRPr="0099191D">
        <w:rPr>
          <w:rFonts w:ascii="宋体" w:hAnsi="宋体" w:hint="eastAsia"/>
          <w:sz w:val="24"/>
          <w:szCs w:val="24"/>
        </w:rPr>
        <w:t>4.2</w:t>
      </w:r>
      <w:r w:rsidRPr="0099191D">
        <w:rPr>
          <w:rFonts w:ascii="宋体" w:hAnsi="宋体" w:hint="eastAsia"/>
          <w:color w:val="000000"/>
          <w:sz w:val="24"/>
        </w:rPr>
        <w:t>亿元</w:t>
      </w:r>
      <w:r w:rsidRPr="0099191D">
        <w:rPr>
          <w:rFonts w:ascii="宋体" w:hAnsi="宋体" w:hint="eastAsia"/>
          <w:sz w:val="24"/>
          <w:szCs w:val="24"/>
        </w:rPr>
        <w:t>的闲置自有资金进行现金管理。</w:t>
      </w:r>
    </w:p>
    <w:p w:rsidR="00DF72BE" w:rsidRPr="0099191D" w:rsidRDefault="00236846">
      <w:pPr>
        <w:pStyle w:val="a3"/>
        <w:spacing w:line="360" w:lineRule="auto"/>
        <w:ind w:firstLineChars="200" w:firstLine="480"/>
        <w:rPr>
          <w:rFonts w:asciiTheme="minorEastAsia" w:eastAsiaTheme="minorEastAsia" w:hAnsiTheme="minorEastAsia"/>
          <w:sz w:val="24"/>
          <w:szCs w:val="24"/>
        </w:rPr>
      </w:pPr>
      <w:r w:rsidRPr="0099191D">
        <w:rPr>
          <w:rFonts w:asciiTheme="minorEastAsia" w:eastAsiaTheme="minorEastAsia" w:hAnsiTheme="minorEastAsia" w:hint="eastAsia"/>
          <w:sz w:val="24"/>
          <w:szCs w:val="24"/>
        </w:rPr>
        <w:t>（二）资金来源</w:t>
      </w:r>
    </w:p>
    <w:p w:rsidR="00DF72BE" w:rsidRPr="0099191D" w:rsidRDefault="00236846">
      <w:pPr>
        <w:pStyle w:val="a3"/>
        <w:spacing w:line="360" w:lineRule="auto"/>
        <w:ind w:firstLineChars="200" w:firstLine="480"/>
        <w:rPr>
          <w:rFonts w:asciiTheme="minorEastAsia" w:eastAsiaTheme="minorEastAsia" w:hAnsiTheme="minorEastAsia"/>
          <w:sz w:val="24"/>
          <w:szCs w:val="24"/>
        </w:rPr>
      </w:pPr>
      <w:r w:rsidRPr="0099191D">
        <w:rPr>
          <w:rFonts w:asciiTheme="minorEastAsia" w:eastAsiaTheme="minorEastAsia" w:hAnsiTheme="minorEastAsia" w:hint="eastAsia"/>
          <w:sz w:val="24"/>
          <w:szCs w:val="24"/>
        </w:rPr>
        <w:lastRenderedPageBreak/>
        <w:t>资金来源为公司闲置自有资金。</w:t>
      </w:r>
    </w:p>
    <w:p w:rsidR="00DF72BE" w:rsidRPr="0099191D" w:rsidRDefault="00236846">
      <w:pPr>
        <w:pStyle w:val="a3"/>
        <w:spacing w:line="360" w:lineRule="auto"/>
        <w:ind w:firstLineChars="200" w:firstLine="480"/>
        <w:rPr>
          <w:rFonts w:ascii="宋体" w:hAnsi="宋体"/>
          <w:sz w:val="24"/>
        </w:rPr>
      </w:pPr>
      <w:r w:rsidRPr="0099191D">
        <w:rPr>
          <w:rFonts w:ascii="宋体" w:hAnsi="宋体" w:hint="eastAsia"/>
          <w:sz w:val="24"/>
        </w:rPr>
        <w:t>（三）现金管理品种</w:t>
      </w:r>
    </w:p>
    <w:p w:rsidR="00DF72BE" w:rsidRPr="0099191D" w:rsidRDefault="00236846">
      <w:pPr>
        <w:pStyle w:val="a3"/>
        <w:spacing w:line="360" w:lineRule="auto"/>
        <w:ind w:firstLineChars="200" w:firstLine="480"/>
        <w:rPr>
          <w:rFonts w:ascii="宋体" w:hAnsi="宋体"/>
          <w:sz w:val="24"/>
        </w:rPr>
      </w:pPr>
      <w:r w:rsidRPr="0099191D">
        <w:rPr>
          <w:rFonts w:ascii="宋体" w:hAnsi="宋体" w:hint="eastAsia"/>
          <w:sz w:val="24"/>
        </w:rPr>
        <w:t>为控制风险，现金管理产品仅限于安全性高、低风险、流动性好、稳健型理财产品以及结构性存款。公司进行结构性存款或购买理财产品不得与发行主体存在关联关系。</w:t>
      </w:r>
    </w:p>
    <w:p w:rsidR="00DF72BE" w:rsidRPr="0099191D" w:rsidRDefault="00236846">
      <w:pPr>
        <w:pStyle w:val="a3"/>
        <w:spacing w:line="360" w:lineRule="auto"/>
        <w:ind w:firstLineChars="200" w:firstLine="480"/>
        <w:rPr>
          <w:rFonts w:ascii="宋体" w:hAnsi="宋体"/>
          <w:sz w:val="24"/>
        </w:rPr>
      </w:pPr>
      <w:r w:rsidRPr="0099191D">
        <w:rPr>
          <w:rFonts w:ascii="宋体" w:hAnsi="宋体" w:hint="eastAsia"/>
          <w:sz w:val="24"/>
        </w:rPr>
        <w:t>（四）现金管理额度及有效期</w:t>
      </w:r>
    </w:p>
    <w:p w:rsidR="00DF72BE" w:rsidRPr="0099191D" w:rsidRDefault="0099191D">
      <w:pPr>
        <w:pStyle w:val="a3"/>
        <w:spacing w:line="360" w:lineRule="auto"/>
        <w:ind w:firstLineChars="200" w:firstLine="480"/>
        <w:rPr>
          <w:rFonts w:ascii="宋体" w:hAnsi="宋体"/>
          <w:sz w:val="24"/>
        </w:rPr>
      </w:pPr>
      <w:r w:rsidRPr="0099191D">
        <w:rPr>
          <w:rFonts w:ascii="宋体" w:hAnsi="宋体" w:hint="eastAsia"/>
          <w:sz w:val="24"/>
        </w:rPr>
        <w:t>公司拟使用不超过人民币</w:t>
      </w:r>
      <w:r w:rsidR="00236846" w:rsidRPr="0099191D">
        <w:rPr>
          <w:rFonts w:ascii="宋体" w:hAnsi="宋体" w:hint="eastAsia"/>
          <w:sz w:val="24"/>
        </w:rPr>
        <w:t>4.2</w:t>
      </w:r>
      <w:r w:rsidR="00236846" w:rsidRPr="0099191D">
        <w:rPr>
          <w:rFonts w:ascii="宋体" w:hAnsi="宋体" w:hint="eastAsia"/>
          <w:color w:val="000000"/>
          <w:sz w:val="24"/>
        </w:rPr>
        <w:t>亿元</w:t>
      </w:r>
      <w:r w:rsidR="00236846" w:rsidRPr="0099191D">
        <w:rPr>
          <w:rFonts w:ascii="宋体" w:hAnsi="宋体" w:hint="eastAsia"/>
          <w:sz w:val="24"/>
        </w:rPr>
        <w:t>的闲置自有资金进行现金管理，在上述额度及决议有效期内，资金可以循环滚动使用。有效期自公司第九届董事会2019年第六次临时会议（通讯表决）审议通过之日起一年之内有效。</w:t>
      </w:r>
    </w:p>
    <w:p w:rsidR="00DF72BE" w:rsidRPr="0099191D" w:rsidRDefault="00236846">
      <w:pPr>
        <w:pStyle w:val="a3"/>
        <w:spacing w:line="360" w:lineRule="auto"/>
        <w:ind w:firstLineChars="200" w:firstLine="480"/>
        <w:rPr>
          <w:rFonts w:ascii="宋体" w:hAnsi="宋体"/>
          <w:sz w:val="24"/>
        </w:rPr>
      </w:pPr>
      <w:r w:rsidRPr="0099191D">
        <w:rPr>
          <w:rFonts w:ascii="宋体" w:hAnsi="宋体" w:hint="eastAsia"/>
          <w:sz w:val="24"/>
        </w:rPr>
        <w:t>（五）实施方式</w:t>
      </w:r>
    </w:p>
    <w:p w:rsidR="00DF72BE" w:rsidRPr="0099191D" w:rsidRDefault="00236846">
      <w:pPr>
        <w:pStyle w:val="a3"/>
        <w:spacing w:line="360" w:lineRule="auto"/>
        <w:ind w:firstLineChars="200" w:firstLine="480"/>
        <w:rPr>
          <w:rFonts w:ascii="宋体" w:hAnsi="宋体"/>
          <w:sz w:val="24"/>
        </w:rPr>
      </w:pPr>
      <w:r w:rsidRPr="0099191D">
        <w:rPr>
          <w:rFonts w:ascii="宋体" w:hAnsi="宋体" w:hint="eastAsia"/>
          <w:sz w:val="24"/>
        </w:rPr>
        <w:t>在额度范围内公司董事会授权公司管理层行使该项投资决策权并签署相关合同文件，具体事项由公司资金管理中心负责组织实施。公司将按照《上海证券交易所股票上市规则》等相关法律法规要求及时披露公司现金管理的具体情况。</w:t>
      </w:r>
    </w:p>
    <w:p w:rsidR="00DF72BE" w:rsidRPr="0099191D" w:rsidRDefault="00236846">
      <w:pPr>
        <w:widowControl/>
        <w:spacing w:line="360" w:lineRule="auto"/>
        <w:ind w:firstLineChars="200" w:firstLine="480"/>
        <w:rPr>
          <w:rFonts w:asciiTheme="minorEastAsia" w:eastAsiaTheme="minorEastAsia" w:hAnsiTheme="minorEastAsia" w:cs="宋体"/>
          <w:color w:val="000000"/>
          <w:kern w:val="0"/>
          <w:sz w:val="24"/>
        </w:rPr>
      </w:pPr>
      <w:r w:rsidRPr="0099191D">
        <w:rPr>
          <w:rFonts w:asciiTheme="minorEastAsia" w:eastAsiaTheme="minorEastAsia" w:hAnsiTheme="minorEastAsia" w:cs="宋体" w:hint="eastAsia"/>
          <w:color w:val="000000"/>
          <w:kern w:val="0"/>
          <w:sz w:val="24"/>
        </w:rPr>
        <w:t>（六）公司对现金管理相关风险的内部控制</w:t>
      </w:r>
    </w:p>
    <w:p w:rsidR="00DF72BE" w:rsidRPr="0099191D" w:rsidRDefault="00236846">
      <w:pPr>
        <w:widowControl/>
        <w:spacing w:line="360" w:lineRule="auto"/>
        <w:ind w:firstLineChars="200" w:firstLine="480"/>
        <w:rPr>
          <w:rFonts w:asciiTheme="minorEastAsia" w:eastAsiaTheme="minorEastAsia" w:hAnsiTheme="minorEastAsia" w:cs="宋体"/>
          <w:color w:val="000000"/>
          <w:kern w:val="0"/>
          <w:sz w:val="24"/>
        </w:rPr>
      </w:pPr>
      <w:r w:rsidRPr="0099191D">
        <w:rPr>
          <w:rFonts w:asciiTheme="minorEastAsia" w:eastAsiaTheme="minorEastAsia" w:hAnsiTheme="minorEastAsia" w:cs="宋体" w:hint="eastAsia"/>
          <w:color w:val="000000"/>
          <w:kern w:val="0"/>
          <w:sz w:val="24"/>
        </w:rPr>
        <w:t>公司进行结构性存款</w:t>
      </w:r>
      <w:r w:rsidRPr="0099191D">
        <w:rPr>
          <w:rFonts w:ascii="宋体" w:hAnsi="宋体" w:hint="eastAsia"/>
          <w:sz w:val="24"/>
          <w:szCs w:val="20"/>
        </w:rPr>
        <w:t>及购买低风险理财产品，风险可控，符合公司内部资金管理的要求。公司按照决策、执行、监督职</w:t>
      </w:r>
      <w:r w:rsidRPr="0099191D">
        <w:rPr>
          <w:rFonts w:asciiTheme="minorEastAsia" w:eastAsiaTheme="minorEastAsia" w:hAnsiTheme="minorEastAsia" w:cs="宋体" w:hint="eastAsia"/>
          <w:color w:val="000000"/>
          <w:kern w:val="0"/>
          <w:sz w:val="24"/>
        </w:rPr>
        <w:t xml:space="preserve">能相分离的原则建立健全相关投资的审批和执行程序，确保资金安全。拟采取的具体措施如下： </w:t>
      </w:r>
    </w:p>
    <w:p w:rsidR="00DF72BE" w:rsidRPr="0099191D" w:rsidRDefault="00236846">
      <w:pPr>
        <w:widowControl/>
        <w:spacing w:line="360" w:lineRule="auto"/>
        <w:ind w:firstLineChars="200" w:firstLine="480"/>
        <w:rPr>
          <w:rFonts w:asciiTheme="minorEastAsia" w:eastAsiaTheme="minorEastAsia" w:hAnsiTheme="minorEastAsia" w:cs="宋体"/>
          <w:color w:val="000000"/>
          <w:kern w:val="0"/>
          <w:sz w:val="24"/>
        </w:rPr>
      </w:pPr>
      <w:r w:rsidRPr="0099191D">
        <w:rPr>
          <w:rFonts w:asciiTheme="minorEastAsia" w:eastAsiaTheme="minorEastAsia" w:hAnsiTheme="minorEastAsia" w:cs="宋体" w:hint="eastAsia"/>
          <w:color w:val="000000"/>
          <w:kern w:val="0"/>
          <w:sz w:val="24"/>
        </w:rPr>
        <w:t>1、公司将根据阶段性闲置自有资金情况，选择相适应的理财产品种类和期限，确保不影响公司正常生产经营活动所需资金。</w:t>
      </w:r>
    </w:p>
    <w:p w:rsidR="00DF72BE" w:rsidRPr="0099191D" w:rsidRDefault="00236846">
      <w:pPr>
        <w:widowControl/>
        <w:spacing w:line="360" w:lineRule="auto"/>
        <w:ind w:firstLineChars="200" w:firstLine="480"/>
        <w:rPr>
          <w:rFonts w:asciiTheme="minorEastAsia" w:eastAsiaTheme="minorEastAsia" w:hAnsiTheme="minorEastAsia" w:cs="宋体"/>
          <w:color w:val="000000"/>
          <w:kern w:val="0"/>
          <w:sz w:val="24"/>
        </w:rPr>
      </w:pPr>
      <w:r w:rsidRPr="0099191D">
        <w:rPr>
          <w:rFonts w:asciiTheme="minorEastAsia" w:eastAsiaTheme="minorEastAsia" w:hAnsiTheme="minorEastAsia" w:cs="宋体" w:hint="eastAsia"/>
          <w:color w:val="000000"/>
          <w:kern w:val="0"/>
          <w:sz w:val="24"/>
        </w:rPr>
        <w:t>2、公司资金管理中心需进行事前审核与评估风险，及时</w:t>
      </w:r>
      <w:r w:rsidR="00F6740A">
        <w:rPr>
          <w:rFonts w:asciiTheme="minorEastAsia" w:eastAsiaTheme="minorEastAsia" w:hAnsiTheme="minorEastAsia" w:cs="宋体" w:hint="eastAsia"/>
          <w:color w:val="000000"/>
          <w:kern w:val="0"/>
          <w:sz w:val="24"/>
        </w:rPr>
        <w:t>跟踪</w:t>
      </w:r>
      <w:r w:rsidRPr="0099191D">
        <w:rPr>
          <w:rFonts w:asciiTheme="minorEastAsia" w:eastAsiaTheme="minorEastAsia" w:hAnsiTheme="minorEastAsia" w:cs="宋体" w:hint="eastAsia"/>
          <w:color w:val="000000"/>
          <w:kern w:val="0"/>
          <w:sz w:val="24"/>
        </w:rPr>
        <w:t>理财产品的进展，分析理财产品投向、项目进展情况，如评估发现存在可能影响公司资金安全的风险因素，将及时采取相应的措施，控制投资风险。</w:t>
      </w:r>
    </w:p>
    <w:p w:rsidR="00DF72BE" w:rsidRDefault="00236846">
      <w:pPr>
        <w:widowControl/>
        <w:spacing w:line="360" w:lineRule="auto"/>
        <w:ind w:firstLineChars="200" w:firstLine="480"/>
        <w:rPr>
          <w:rFonts w:asciiTheme="minorEastAsia" w:eastAsiaTheme="minorEastAsia" w:hAnsiTheme="minorEastAsia" w:cs="宋体"/>
          <w:color w:val="000000"/>
          <w:kern w:val="0"/>
          <w:sz w:val="24"/>
        </w:rPr>
      </w:pPr>
      <w:r w:rsidRPr="0099191D">
        <w:rPr>
          <w:rFonts w:asciiTheme="minorEastAsia" w:eastAsiaTheme="minorEastAsia" w:hAnsiTheme="minorEastAsia" w:cs="宋体" w:hint="eastAsia"/>
          <w:color w:val="000000"/>
          <w:kern w:val="0"/>
          <w:sz w:val="24"/>
        </w:rPr>
        <w:t>3、独立董事、监事会有权</w:t>
      </w:r>
      <w:r w:rsidR="0099191D" w:rsidRPr="0099191D">
        <w:rPr>
          <w:rFonts w:asciiTheme="minorEastAsia" w:eastAsiaTheme="minorEastAsia" w:hAnsiTheme="minorEastAsia" w:cs="宋体" w:hint="eastAsia"/>
          <w:color w:val="000000"/>
          <w:kern w:val="0"/>
          <w:sz w:val="24"/>
        </w:rPr>
        <w:t>对资金使用情况进行监督与检查，必要时可以聘请专业机构进行审计。</w:t>
      </w:r>
    </w:p>
    <w:p w:rsidR="00F268D5" w:rsidRPr="0099191D" w:rsidRDefault="00F268D5">
      <w:pPr>
        <w:widowControl/>
        <w:spacing w:line="360" w:lineRule="auto"/>
        <w:ind w:firstLineChars="200" w:firstLine="480"/>
        <w:rPr>
          <w:rFonts w:asciiTheme="minorEastAsia" w:eastAsiaTheme="minorEastAsia" w:hAnsiTheme="minorEastAsia" w:cs="宋体"/>
          <w:color w:val="000000"/>
          <w:kern w:val="0"/>
          <w:sz w:val="24"/>
        </w:rPr>
      </w:pPr>
    </w:p>
    <w:p w:rsidR="00DF72BE" w:rsidRPr="0099191D" w:rsidRDefault="00236846">
      <w:pPr>
        <w:widowControl/>
        <w:spacing w:line="360" w:lineRule="auto"/>
        <w:ind w:firstLineChars="200" w:firstLine="482"/>
        <w:rPr>
          <w:rFonts w:asciiTheme="minorEastAsia" w:eastAsiaTheme="minorEastAsia" w:hAnsiTheme="minorEastAsia" w:cs="宋体"/>
          <w:b/>
          <w:color w:val="000000"/>
          <w:kern w:val="0"/>
          <w:sz w:val="24"/>
        </w:rPr>
      </w:pPr>
      <w:r w:rsidRPr="0099191D">
        <w:rPr>
          <w:rFonts w:asciiTheme="minorEastAsia" w:eastAsiaTheme="minorEastAsia" w:hAnsiTheme="minorEastAsia" w:cs="宋体" w:hint="eastAsia"/>
          <w:b/>
          <w:color w:val="000000"/>
          <w:kern w:val="0"/>
          <w:sz w:val="24"/>
        </w:rPr>
        <w:t>二、对公司的影响</w:t>
      </w:r>
    </w:p>
    <w:p w:rsidR="0099191D" w:rsidRPr="0099191D" w:rsidRDefault="00690B05" w:rsidP="0099191D">
      <w:pPr>
        <w:spacing w:line="360" w:lineRule="auto"/>
        <w:ind w:firstLineChars="200" w:firstLine="480"/>
        <w:rPr>
          <w:rFonts w:asciiTheme="minorEastAsia" w:eastAsiaTheme="minorEastAsia" w:hAnsiTheme="minorEastAsia" w:cs="宋体"/>
          <w:color w:val="000000"/>
          <w:kern w:val="0"/>
          <w:sz w:val="24"/>
        </w:rPr>
      </w:pPr>
      <w:r w:rsidRPr="0099191D">
        <w:rPr>
          <w:rFonts w:asciiTheme="minorEastAsia" w:eastAsiaTheme="minorEastAsia" w:hAnsiTheme="minorEastAsia" w:cs="宋体" w:hint="eastAsia"/>
          <w:color w:val="000000"/>
          <w:kern w:val="0"/>
          <w:sz w:val="24"/>
        </w:rPr>
        <w:t>公司目前涉足医药、化工行业。公司 2018 年度及 2019 年 1-9 月份的基本财务指标如下表：</w:t>
      </w:r>
    </w:p>
    <w:p w:rsidR="00690B05" w:rsidRPr="00F268D5" w:rsidRDefault="00690B05" w:rsidP="0099191D">
      <w:pPr>
        <w:spacing w:line="360" w:lineRule="auto"/>
        <w:jc w:val="right"/>
        <w:rPr>
          <w:rFonts w:asciiTheme="minorEastAsia" w:eastAsiaTheme="minorEastAsia" w:hAnsiTheme="minorEastAsia" w:cs="宋体"/>
          <w:color w:val="000000"/>
          <w:kern w:val="0"/>
          <w:szCs w:val="21"/>
        </w:rPr>
      </w:pPr>
      <w:r w:rsidRPr="00F268D5">
        <w:rPr>
          <w:rFonts w:asciiTheme="minorEastAsia" w:eastAsiaTheme="minorEastAsia" w:hAnsiTheme="minorEastAsia" w:cs="宋体" w:hint="eastAsia"/>
          <w:color w:val="000000"/>
          <w:kern w:val="0"/>
          <w:szCs w:val="21"/>
        </w:rPr>
        <w:lastRenderedPageBreak/>
        <w:t>单位：万元</w:t>
      </w:r>
    </w:p>
    <w:tbl>
      <w:tblPr>
        <w:tblW w:w="5000" w:type="pct"/>
        <w:tblLook w:val="04A0" w:firstRow="1" w:lastRow="0" w:firstColumn="1" w:lastColumn="0" w:noHBand="0" w:noVBand="1"/>
      </w:tblPr>
      <w:tblGrid>
        <w:gridCol w:w="3557"/>
        <w:gridCol w:w="2383"/>
        <w:gridCol w:w="2582"/>
      </w:tblGrid>
      <w:tr w:rsidR="00690B05" w:rsidRPr="00F268D5" w:rsidTr="0099191D">
        <w:trPr>
          <w:trHeight w:val="270"/>
        </w:trPr>
        <w:tc>
          <w:tcPr>
            <w:tcW w:w="20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B05" w:rsidRPr="00F268D5" w:rsidRDefault="00690B05" w:rsidP="00C82014">
            <w:pPr>
              <w:widowControl/>
              <w:jc w:val="center"/>
              <w:rPr>
                <w:rFonts w:ascii="宋体" w:hAnsi="宋体" w:cs="宋体"/>
                <w:b/>
                <w:color w:val="000000"/>
                <w:kern w:val="0"/>
                <w:szCs w:val="21"/>
              </w:rPr>
            </w:pPr>
            <w:r w:rsidRPr="00F268D5">
              <w:rPr>
                <w:rFonts w:ascii="宋体" w:hAnsi="宋体" w:cs="宋体" w:hint="eastAsia"/>
                <w:b/>
                <w:color w:val="000000"/>
                <w:kern w:val="0"/>
                <w:szCs w:val="21"/>
              </w:rPr>
              <w:t>项目</w:t>
            </w:r>
          </w:p>
        </w:tc>
        <w:tc>
          <w:tcPr>
            <w:tcW w:w="1398" w:type="pct"/>
            <w:tcBorders>
              <w:top w:val="single" w:sz="4" w:space="0" w:color="auto"/>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b/>
                <w:color w:val="000000"/>
                <w:kern w:val="0"/>
                <w:szCs w:val="21"/>
              </w:rPr>
            </w:pPr>
            <w:r w:rsidRPr="00F268D5">
              <w:rPr>
                <w:rFonts w:ascii="宋体" w:hAnsi="宋体" w:cs="宋体" w:hint="eastAsia"/>
                <w:b/>
                <w:color w:val="000000"/>
                <w:kern w:val="0"/>
                <w:szCs w:val="21"/>
              </w:rPr>
              <w:t>2019年9月30日</w:t>
            </w:r>
          </w:p>
        </w:tc>
        <w:tc>
          <w:tcPr>
            <w:tcW w:w="1515" w:type="pct"/>
            <w:tcBorders>
              <w:top w:val="single" w:sz="4" w:space="0" w:color="auto"/>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b/>
                <w:color w:val="000000"/>
                <w:kern w:val="0"/>
                <w:szCs w:val="21"/>
              </w:rPr>
            </w:pPr>
            <w:r w:rsidRPr="00F268D5">
              <w:rPr>
                <w:rFonts w:ascii="宋体" w:hAnsi="宋体" w:cs="宋体" w:hint="eastAsia"/>
                <w:b/>
                <w:color w:val="000000"/>
                <w:kern w:val="0"/>
                <w:szCs w:val="21"/>
              </w:rPr>
              <w:t>2018年12月31日</w:t>
            </w:r>
          </w:p>
        </w:tc>
      </w:tr>
      <w:tr w:rsidR="00690B05" w:rsidRPr="00F268D5" w:rsidTr="0099191D">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hideMark/>
          </w:tcPr>
          <w:p w:rsidR="00690B05" w:rsidRPr="00F268D5" w:rsidRDefault="00690B05" w:rsidP="00C82014">
            <w:pPr>
              <w:widowControl/>
              <w:jc w:val="center"/>
              <w:rPr>
                <w:rFonts w:ascii="宋体" w:hAnsi="宋体" w:cs="宋体"/>
                <w:color w:val="000000"/>
                <w:kern w:val="0"/>
                <w:szCs w:val="21"/>
              </w:rPr>
            </w:pPr>
            <w:r w:rsidRPr="00F268D5">
              <w:rPr>
                <w:rFonts w:ascii="宋体" w:hAnsi="宋体" w:cs="宋体" w:hint="eastAsia"/>
                <w:color w:val="000000"/>
                <w:kern w:val="0"/>
                <w:szCs w:val="21"/>
              </w:rPr>
              <w:t>资产总额</w:t>
            </w:r>
          </w:p>
        </w:tc>
        <w:tc>
          <w:tcPr>
            <w:tcW w:w="1398"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399,467.56 </w:t>
            </w:r>
          </w:p>
        </w:tc>
        <w:tc>
          <w:tcPr>
            <w:tcW w:w="1515"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461,791.09 </w:t>
            </w:r>
          </w:p>
        </w:tc>
      </w:tr>
      <w:tr w:rsidR="00690B05" w:rsidRPr="00F268D5" w:rsidTr="0099191D">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hideMark/>
          </w:tcPr>
          <w:p w:rsidR="00690B05" w:rsidRPr="00F268D5" w:rsidRDefault="00690B05" w:rsidP="00C82014">
            <w:pPr>
              <w:widowControl/>
              <w:jc w:val="center"/>
              <w:rPr>
                <w:rFonts w:ascii="宋体" w:hAnsi="宋体" w:cs="宋体"/>
                <w:color w:val="000000"/>
                <w:kern w:val="0"/>
                <w:szCs w:val="21"/>
              </w:rPr>
            </w:pPr>
            <w:r w:rsidRPr="00F268D5">
              <w:rPr>
                <w:rFonts w:ascii="宋体" w:hAnsi="宋体" w:cs="宋体" w:hint="eastAsia"/>
                <w:color w:val="000000"/>
                <w:kern w:val="0"/>
                <w:szCs w:val="21"/>
              </w:rPr>
              <w:t>负债总额</w:t>
            </w:r>
          </w:p>
        </w:tc>
        <w:tc>
          <w:tcPr>
            <w:tcW w:w="1398"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159,582.73 </w:t>
            </w:r>
          </w:p>
        </w:tc>
        <w:tc>
          <w:tcPr>
            <w:tcW w:w="1515"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220,980.04 </w:t>
            </w:r>
          </w:p>
        </w:tc>
      </w:tr>
      <w:tr w:rsidR="00690B05" w:rsidRPr="00F268D5" w:rsidTr="0099191D">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hideMark/>
          </w:tcPr>
          <w:p w:rsidR="00690B05" w:rsidRPr="00F268D5" w:rsidRDefault="00690B05" w:rsidP="00C82014">
            <w:pPr>
              <w:widowControl/>
              <w:jc w:val="center"/>
              <w:rPr>
                <w:rFonts w:ascii="宋体" w:hAnsi="宋体" w:cs="宋体"/>
                <w:color w:val="000000"/>
                <w:kern w:val="0"/>
                <w:szCs w:val="21"/>
              </w:rPr>
            </w:pPr>
            <w:r w:rsidRPr="00F268D5">
              <w:rPr>
                <w:rFonts w:ascii="宋体" w:hAnsi="宋体" w:cs="宋体" w:hint="eastAsia"/>
                <w:color w:val="000000"/>
                <w:kern w:val="0"/>
                <w:szCs w:val="21"/>
              </w:rPr>
              <w:t>资产净额</w:t>
            </w:r>
          </w:p>
        </w:tc>
        <w:tc>
          <w:tcPr>
            <w:tcW w:w="1398"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239,242.13 </w:t>
            </w:r>
          </w:p>
        </w:tc>
        <w:tc>
          <w:tcPr>
            <w:tcW w:w="1515"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239,214.41 </w:t>
            </w:r>
          </w:p>
        </w:tc>
      </w:tr>
      <w:tr w:rsidR="00690B05" w:rsidRPr="00F268D5" w:rsidTr="0099191D">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hideMark/>
          </w:tcPr>
          <w:p w:rsidR="00690B05" w:rsidRPr="00F268D5" w:rsidRDefault="00690B05" w:rsidP="00C82014">
            <w:pPr>
              <w:widowControl/>
              <w:jc w:val="left"/>
              <w:rPr>
                <w:rFonts w:ascii="宋体" w:hAnsi="宋体" w:cs="宋体"/>
                <w:color w:val="000000"/>
                <w:kern w:val="0"/>
                <w:szCs w:val="21"/>
              </w:rPr>
            </w:pPr>
            <w:r w:rsidRPr="00F268D5">
              <w:rPr>
                <w:rFonts w:ascii="宋体" w:hAnsi="宋体" w:cs="宋体" w:hint="eastAsia"/>
                <w:color w:val="000000"/>
                <w:kern w:val="0"/>
                <w:szCs w:val="21"/>
              </w:rPr>
              <w:t xml:space="preserve">　</w:t>
            </w:r>
          </w:p>
        </w:tc>
        <w:tc>
          <w:tcPr>
            <w:tcW w:w="1398"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b/>
                <w:color w:val="000000"/>
                <w:kern w:val="0"/>
                <w:szCs w:val="21"/>
              </w:rPr>
            </w:pPr>
            <w:r w:rsidRPr="00F268D5">
              <w:rPr>
                <w:rFonts w:ascii="宋体" w:hAnsi="宋体" w:cs="宋体" w:hint="eastAsia"/>
                <w:b/>
                <w:color w:val="000000"/>
                <w:kern w:val="0"/>
                <w:szCs w:val="21"/>
              </w:rPr>
              <w:t xml:space="preserve"> 2019年1-9月 </w:t>
            </w:r>
          </w:p>
        </w:tc>
        <w:tc>
          <w:tcPr>
            <w:tcW w:w="1515"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b/>
                <w:color w:val="000000"/>
                <w:kern w:val="0"/>
                <w:szCs w:val="21"/>
              </w:rPr>
            </w:pPr>
            <w:r w:rsidRPr="00F268D5">
              <w:rPr>
                <w:rFonts w:ascii="宋体" w:hAnsi="宋体" w:cs="宋体" w:hint="eastAsia"/>
                <w:b/>
                <w:color w:val="000000"/>
                <w:kern w:val="0"/>
                <w:szCs w:val="21"/>
              </w:rPr>
              <w:t xml:space="preserve"> 2018年度 </w:t>
            </w:r>
          </w:p>
        </w:tc>
      </w:tr>
      <w:tr w:rsidR="00690B05" w:rsidRPr="00F268D5" w:rsidTr="0099191D">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hideMark/>
          </w:tcPr>
          <w:p w:rsidR="00690B05" w:rsidRPr="00F268D5" w:rsidRDefault="00690B05" w:rsidP="00C82014">
            <w:pPr>
              <w:widowControl/>
              <w:jc w:val="left"/>
              <w:rPr>
                <w:rFonts w:ascii="宋体" w:hAnsi="宋体" w:cs="宋体"/>
                <w:color w:val="000000"/>
                <w:kern w:val="0"/>
                <w:szCs w:val="21"/>
              </w:rPr>
            </w:pPr>
            <w:r w:rsidRPr="00F268D5">
              <w:rPr>
                <w:rFonts w:ascii="宋体" w:hAnsi="宋体" w:cs="宋体" w:hint="eastAsia"/>
                <w:color w:val="000000"/>
                <w:kern w:val="0"/>
                <w:szCs w:val="21"/>
              </w:rPr>
              <w:t xml:space="preserve"> 经营活动产生的现金流量净额 </w:t>
            </w:r>
          </w:p>
        </w:tc>
        <w:tc>
          <w:tcPr>
            <w:tcW w:w="1398"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7,317.50 </w:t>
            </w:r>
          </w:p>
        </w:tc>
        <w:tc>
          <w:tcPr>
            <w:tcW w:w="1515" w:type="pct"/>
            <w:tcBorders>
              <w:top w:val="nil"/>
              <w:left w:val="nil"/>
              <w:bottom w:val="single" w:sz="4" w:space="0" w:color="auto"/>
              <w:right w:val="single" w:sz="4" w:space="0" w:color="auto"/>
            </w:tcBorders>
            <w:shd w:val="clear" w:color="auto" w:fill="auto"/>
            <w:noWrap/>
            <w:vAlign w:val="center"/>
            <w:hideMark/>
          </w:tcPr>
          <w:p w:rsidR="00690B05" w:rsidRPr="00F268D5" w:rsidRDefault="00690B05" w:rsidP="00C82014">
            <w:pPr>
              <w:widowControl/>
              <w:jc w:val="right"/>
              <w:rPr>
                <w:rFonts w:ascii="宋体" w:hAnsi="宋体" w:cs="宋体"/>
                <w:color w:val="000000"/>
                <w:kern w:val="0"/>
                <w:szCs w:val="21"/>
              </w:rPr>
            </w:pPr>
            <w:r w:rsidRPr="00F268D5">
              <w:rPr>
                <w:rFonts w:ascii="宋体" w:hAnsi="宋体" w:cs="宋体" w:hint="eastAsia"/>
                <w:color w:val="000000"/>
                <w:kern w:val="0"/>
                <w:szCs w:val="21"/>
              </w:rPr>
              <w:t xml:space="preserve">     33,402.76 </w:t>
            </w:r>
          </w:p>
        </w:tc>
      </w:tr>
    </w:tbl>
    <w:p w:rsidR="0099191D" w:rsidRDefault="0099191D" w:rsidP="0099191D">
      <w:pPr>
        <w:spacing w:line="360" w:lineRule="auto"/>
        <w:ind w:firstLineChars="200" w:firstLine="480"/>
        <w:rPr>
          <w:rFonts w:asciiTheme="minorEastAsia" w:eastAsiaTheme="minorEastAsia" w:hAnsiTheme="minorEastAsia"/>
          <w:sz w:val="24"/>
        </w:rPr>
      </w:pPr>
    </w:p>
    <w:p w:rsidR="00690B05" w:rsidRPr="0099191D" w:rsidRDefault="00690B05" w:rsidP="0099191D">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2019年9月末，公司资产负债率39.95%，公司资产负债率较低，资金结构合理，运营健康，公司不存在负有大额负债的同时购买大额理财产品的情形。</w:t>
      </w:r>
      <w:r w:rsidRPr="0099191D">
        <w:rPr>
          <w:rFonts w:asciiTheme="minorEastAsia" w:eastAsiaTheme="minorEastAsia" w:hAnsiTheme="minorEastAsia"/>
          <w:sz w:val="24"/>
        </w:rPr>
        <w:t>公司使用闲置自有资金进行现金管理，不影响公司日常资金正常周转需要，不会影响公司主营业务的正常发展。通过进行现金管理，可以提高资金使用效率，能获得一定的投资收益，提高公司的整体业绩水平，为公司股东谋求更多的投资回报。</w:t>
      </w:r>
    </w:p>
    <w:p w:rsidR="00DF72BE" w:rsidRPr="0099191D" w:rsidRDefault="00DF72BE" w:rsidP="0099191D">
      <w:pPr>
        <w:widowControl/>
        <w:spacing w:line="360" w:lineRule="auto"/>
        <w:ind w:firstLineChars="200" w:firstLine="480"/>
        <w:rPr>
          <w:rFonts w:asciiTheme="minorEastAsia" w:eastAsiaTheme="minorEastAsia" w:hAnsiTheme="minorEastAsia" w:cs="宋体"/>
          <w:color w:val="000000"/>
          <w:kern w:val="0"/>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三、风险提示</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公司现金管理产品仅限于安全性高、低风险、流动性好、稳健型理财产品以及结构性存款。主要风险如下：</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（1）尽管公司现金管理产品属于低风险投资品种，但金融市场受宏观经济的影响较大，不排除该项投资受到市场波动的影响。</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（2）公司将根据经济形势以及金融市场的变化适时适量的介入，因此现金管理的实际收益不可预期。</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（3）相关工作人员的操作风险。</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针对上述风险，公司将严格按照《上海证券交易所股票上市规则》、公司《章程》等相关法律法规、规章制度，对现金管理事项进行决策、管理、检查和监督。在保障公司业务正常开展的前提下，谨慎选择理财产品种类，做好投资组合，确定投资期限，控制投资风险。</w:t>
      </w:r>
    </w:p>
    <w:p w:rsidR="00DF72BE" w:rsidRDefault="00DF72BE" w:rsidP="0099191D">
      <w:pPr>
        <w:widowControl/>
        <w:spacing w:line="360" w:lineRule="auto"/>
        <w:rPr>
          <w:rFonts w:asciiTheme="minorEastAsia" w:eastAsiaTheme="minorEastAsia" w:hAnsiTheme="minorEastAsia" w:cs="宋体"/>
          <w:color w:val="000000"/>
          <w:kern w:val="0"/>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四、决策程序的履行及监事会、独立董事意见</w:t>
      </w:r>
    </w:p>
    <w:p w:rsidR="00DF72BE" w:rsidRDefault="00236846">
      <w:pPr>
        <w:widowControl/>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（一）决策程序的履行</w:t>
      </w:r>
    </w:p>
    <w:p w:rsidR="00DF72BE" w:rsidRDefault="00236846">
      <w:pPr>
        <w:pStyle w:val="a3"/>
        <w:spacing w:line="360" w:lineRule="auto"/>
        <w:ind w:firstLineChars="200" w:firstLine="480"/>
        <w:rPr>
          <w:rFonts w:ascii="宋体" w:hAnsi="宋体"/>
          <w:sz w:val="24"/>
        </w:rPr>
      </w:pPr>
      <w:r>
        <w:rPr>
          <w:rFonts w:ascii="宋体" w:hAnsi="宋体" w:hint="eastAsia"/>
          <w:sz w:val="24"/>
        </w:rPr>
        <w:t>2019年11月15日，公司召开第九届董事会2019年第六次临时会议（通讯表决）和第九届监事会2019年第四次临时会议（通讯表决），审议通过了《江苏</w:t>
      </w:r>
      <w:r>
        <w:rPr>
          <w:rFonts w:ascii="宋体" w:hAnsi="宋体" w:hint="eastAsia"/>
          <w:sz w:val="24"/>
        </w:rPr>
        <w:lastRenderedPageBreak/>
        <w:t>吴中实业股份有限公司关于使用闲置自有资金进行现金管理的议案》，根据《上海证券交易所股票上市规则》和《江苏吴中实业股份有限公司章程》的相关规定，该事项无需提交公司股东大会审议。</w:t>
      </w:r>
    </w:p>
    <w:p w:rsidR="00DF72BE" w:rsidRDefault="00236846">
      <w:pPr>
        <w:pStyle w:val="a3"/>
        <w:spacing w:line="360" w:lineRule="auto"/>
        <w:ind w:firstLineChars="200" w:firstLine="480"/>
        <w:rPr>
          <w:rFonts w:ascii="宋体" w:hAnsi="宋体"/>
          <w:sz w:val="24"/>
        </w:rPr>
      </w:pPr>
      <w:r>
        <w:rPr>
          <w:rFonts w:ascii="宋体" w:hAnsi="宋体" w:hint="eastAsia"/>
          <w:sz w:val="24"/>
        </w:rPr>
        <w:t>（二）监事会意见</w:t>
      </w:r>
    </w:p>
    <w:p w:rsidR="00DF72BE" w:rsidRDefault="00236846">
      <w:pPr>
        <w:widowControl/>
        <w:spacing w:line="360" w:lineRule="auto"/>
        <w:ind w:firstLineChars="200" w:firstLine="480"/>
        <w:rPr>
          <w:rFonts w:asciiTheme="minorEastAsia" w:eastAsiaTheme="minorEastAsia" w:hAnsiTheme="minorEastAsia" w:cs="宋体"/>
          <w:color w:val="000000"/>
          <w:kern w:val="0"/>
          <w:sz w:val="24"/>
        </w:rPr>
      </w:pPr>
      <w:r>
        <w:rPr>
          <w:rFonts w:ascii="宋体" w:hAnsi="宋体" w:hint="eastAsia"/>
          <w:sz w:val="24"/>
        </w:rPr>
        <w:t>监事会经核查后认为：在不影响公司正常经营及风险可控的前提下，公司使用闲置</w:t>
      </w:r>
      <w:r w:rsidR="00D41C86">
        <w:rPr>
          <w:rFonts w:ascii="宋体" w:hAnsi="宋体" w:hint="eastAsia"/>
          <w:sz w:val="24"/>
        </w:rPr>
        <w:t>自有</w:t>
      </w:r>
      <w:r>
        <w:rPr>
          <w:rFonts w:ascii="宋体" w:hAnsi="宋体" w:hint="eastAsia"/>
          <w:sz w:val="24"/>
        </w:rPr>
        <w:t>资金进行现金管理进一步提高了资金使用效率，增加公司投资收益。该</w:t>
      </w:r>
      <w:r w:rsidRPr="0099191D">
        <w:rPr>
          <w:rFonts w:asciiTheme="minorEastAsia" w:eastAsiaTheme="minorEastAsia" w:hAnsiTheme="minorEastAsia" w:hint="eastAsia"/>
          <w:sz w:val="24"/>
        </w:rPr>
        <w:t>事项的审议、决策程序符合有关法律法规和公司《章程》的规定。公司监事会同意公司及其全资子（孙）公司、</w:t>
      </w:r>
      <w:r w:rsidR="0099191D" w:rsidRPr="0099191D">
        <w:rPr>
          <w:rFonts w:asciiTheme="minorEastAsia" w:eastAsiaTheme="minorEastAsia" w:hAnsiTheme="minorEastAsia" w:hint="eastAsia"/>
          <w:sz w:val="24"/>
        </w:rPr>
        <w:t>控股子（孙）公司使用不超过人民币</w:t>
      </w:r>
      <w:r w:rsidRPr="0099191D">
        <w:rPr>
          <w:rFonts w:asciiTheme="minorEastAsia" w:eastAsiaTheme="minorEastAsia" w:hAnsiTheme="minorEastAsia" w:hint="eastAsia"/>
          <w:sz w:val="24"/>
        </w:rPr>
        <w:t>4.2亿元的暂时闲置自有资金进行现金管理，使用期限不超过12个月，资金可以循环滚动使用。</w:t>
      </w:r>
    </w:p>
    <w:p w:rsidR="00DF72BE" w:rsidRDefault="00236846">
      <w:pPr>
        <w:pStyle w:val="a3"/>
        <w:spacing w:line="360" w:lineRule="auto"/>
        <w:ind w:firstLineChars="200" w:firstLine="480"/>
        <w:rPr>
          <w:rFonts w:ascii="宋体" w:hAnsi="宋体"/>
          <w:sz w:val="24"/>
        </w:rPr>
      </w:pPr>
      <w:r>
        <w:rPr>
          <w:rFonts w:ascii="宋体" w:hAnsi="宋体" w:hint="eastAsia"/>
          <w:sz w:val="24"/>
        </w:rPr>
        <w:t>（三）独立董事意见</w:t>
      </w:r>
    </w:p>
    <w:p w:rsidR="00DF72BE" w:rsidRDefault="00236846">
      <w:pPr>
        <w:autoSpaceDE w:val="0"/>
        <w:autoSpaceDN w:val="0"/>
        <w:adjustRightInd w:val="0"/>
        <w:spacing w:line="360" w:lineRule="auto"/>
        <w:ind w:firstLineChars="200" w:firstLine="480"/>
        <w:rPr>
          <w:rFonts w:ascii="宋体" w:hAnsi="宋体"/>
          <w:sz w:val="24"/>
        </w:rPr>
      </w:pPr>
      <w:r>
        <w:rPr>
          <w:rFonts w:ascii="宋体" w:hAnsi="宋体" w:hint="eastAsia"/>
          <w:sz w:val="24"/>
        </w:rPr>
        <w:t>公司独立董事对此事项发表的独立意见如下：</w:t>
      </w:r>
    </w:p>
    <w:p w:rsidR="00E176DF" w:rsidRPr="002D662D" w:rsidRDefault="00E176DF" w:rsidP="00E176DF">
      <w:pPr>
        <w:spacing w:line="360" w:lineRule="auto"/>
        <w:ind w:firstLineChars="200" w:firstLine="480"/>
        <w:rPr>
          <w:rFonts w:asciiTheme="minorEastAsia" w:hAnsiTheme="minorEastAsia"/>
          <w:sz w:val="24"/>
        </w:rPr>
      </w:pPr>
      <w:r w:rsidRPr="002D662D">
        <w:rPr>
          <w:rFonts w:asciiTheme="minorEastAsia" w:hAnsiTheme="minorEastAsia" w:hint="eastAsia"/>
          <w:sz w:val="24"/>
        </w:rPr>
        <w:t>公司在有效控制投资风险的前提下，对暂时闲置的自有资金进行现金管理，有利于提高公司资金使用效率，增加投资收益，符合公司及股东的</w:t>
      </w:r>
      <w:r w:rsidRPr="009F3FCD">
        <w:rPr>
          <w:rFonts w:asciiTheme="minorEastAsia" w:hAnsiTheme="minorEastAsia" w:hint="eastAsia"/>
          <w:sz w:val="24"/>
        </w:rPr>
        <w:t>利益</w:t>
      </w:r>
      <w:r w:rsidRPr="00955BC5">
        <w:rPr>
          <w:rFonts w:asciiTheme="minorEastAsia" w:hAnsiTheme="minorEastAsia" w:hint="eastAsia"/>
          <w:sz w:val="24"/>
        </w:rPr>
        <w:t>。利用闲置自有资金进行理财前提必须确保资金安全、及时收回、可控合理操作，并以保守稳健低风险理财产品为主。该事项</w:t>
      </w:r>
      <w:r w:rsidRPr="002D662D">
        <w:rPr>
          <w:rFonts w:asciiTheme="minorEastAsia" w:hAnsiTheme="minorEastAsia" w:hint="eastAsia"/>
          <w:sz w:val="24"/>
        </w:rPr>
        <w:t>的审议、决策程序符合</w:t>
      </w:r>
      <w:r>
        <w:rPr>
          <w:rFonts w:asciiTheme="minorEastAsia" w:hAnsiTheme="minorEastAsia" w:hint="eastAsia"/>
          <w:sz w:val="24"/>
        </w:rPr>
        <w:t>相关</w:t>
      </w:r>
      <w:r w:rsidRPr="002D662D">
        <w:rPr>
          <w:rFonts w:asciiTheme="minorEastAsia" w:hAnsiTheme="minorEastAsia" w:hint="eastAsia"/>
          <w:sz w:val="24"/>
        </w:rPr>
        <w:t>法律法规和公司《章程》的规定，不存在侵害中小股东利益的情形。因此，我们同意公司使用不超过人民币4.2亿元暂时闲置自有资金进行现金管理，使用期限不超过12个月，资金可以循环滚动使用。</w:t>
      </w:r>
    </w:p>
    <w:p w:rsidR="00DF72BE" w:rsidRDefault="00DF72BE">
      <w:pPr>
        <w:widowControl/>
        <w:spacing w:line="360" w:lineRule="auto"/>
        <w:ind w:firstLineChars="200" w:firstLine="480"/>
        <w:rPr>
          <w:rFonts w:asciiTheme="minorEastAsia" w:eastAsiaTheme="minorEastAsia" w:hAnsiTheme="minorEastAsia" w:cs="宋体"/>
          <w:color w:val="000000"/>
          <w:kern w:val="0"/>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五、截至本公告日，公司最近十二个月使用自有资金现金管理的情况</w:t>
      </w:r>
    </w:p>
    <w:p w:rsidR="00DF72BE" w:rsidRDefault="00236846">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DF72BE" w:rsidRPr="0099191D" w:rsidTr="0099191D">
        <w:trPr>
          <w:trHeight w:val="480"/>
          <w:jc w:val="center"/>
        </w:trPr>
        <w:tc>
          <w:tcPr>
            <w:tcW w:w="760" w:type="dxa"/>
            <w:shd w:val="clear" w:color="auto" w:fill="auto"/>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理财产品类型</w:t>
            </w:r>
          </w:p>
        </w:tc>
        <w:tc>
          <w:tcPr>
            <w:tcW w:w="1134" w:type="dxa"/>
            <w:shd w:val="clear" w:color="auto" w:fill="auto"/>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实际收回</w:t>
            </w:r>
          </w:p>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本金</w:t>
            </w:r>
          </w:p>
        </w:tc>
        <w:tc>
          <w:tcPr>
            <w:tcW w:w="1520" w:type="dxa"/>
            <w:shd w:val="clear" w:color="auto" w:fill="auto"/>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实际收益</w:t>
            </w:r>
          </w:p>
        </w:tc>
        <w:tc>
          <w:tcPr>
            <w:tcW w:w="1449" w:type="dxa"/>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尚未收回</w:t>
            </w:r>
          </w:p>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99191D">
              <w:rPr>
                <w:rFonts w:asciiTheme="minorEastAsia" w:eastAsiaTheme="minorEastAsia" w:hAnsiTheme="minorEastAsia" w:cs="宋体" w:hint="eastAsia"/>
                <w:b/>
                <w:color w:val="000000"/>
                <w:kern w:val="0"/>
                <w:szCs w:val="21"/>
              </w:rPr>
              <w:t>本金金额</w:t>
            </w:r>
          </w:p>
        </w:tc>
      </w:tr>
      <w:tr w:rsidR="00DF72BE" w:rsidRPr="0099191D" w:rsidTr="00A543AC">
        <w:trPr>
          <w:trHeight w:val="270"/>
          <w:jc w:val="center"/>
        </w:trPr>
        <w:tc>
          <w:tcPr>
            <w:tcW w:w="760" w:type="dxa"/>
            <w:shd w:val="clear" w:color="auto" w:fill="auto"/>
            <w:noWrap/>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1</w:t>
            </w:r>
          </w:p>
        </w:tc>
        <w:tc>
          <w:tcPr>
            <w:tcW w:w="2410" w:type="dxa"/>
            <w:shd w:val="clear" w:color="auto" w:fill="auto"/>
            <w:noWrap/>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银行理财产品</w:t>
            </w:r>
          </w:p>
        </w:tc>
        <w:tc>
          <w:tcPr>
            <w:tcW w:w="1134" w:type="dxa"/>
            <w:shd w:val="clear" w:color="auto" w:fill="auto"/>
            <w:noWrap/>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20</w:t>
            </w:r>
            <w:r w:rsidR="00690B05" w:rsidRPr="0099191D">
              <w:rPr>
                <w:rFonts w:asciiTheme="minorEastAsia" w:eastAsiaTheme="minorEastAsia" w:hAnsiTheme="minorEastAsia" w:cs="宋体" w:hint="eastAsia"/>
                <w:color w:val="000000"/>
                <w:kern w:val="0"/>
                <w:szCs w:val="21"/>
              </w:rPr>
              <w:t>,</w:t>
            </w:r>
            <w:r w:rsidRPr="0099191D">
              <w:rPr>
                <w:rFonts w:asciiTheme="minorEastAsia" w:eastAsiaTheme="minorEastAsia" w:hAnsiTheme="minorEastAsia" w:cs="宋体" w:hint="eastAsia"/>
                <w:color w:val="000000"/>
                <w:kern w:val="0"/>
                <w:szCs w:val="21"/>
              </w:rPr>
              <w:t>500</w:t>
            </w:r>
          </w:p>
        </w:tc>
        <w:tc>
          <w:tcPr>
            <w:tcW w:w="1134" w:type="dxa"/>
            <w:shd w:val="clear" w:color="auto" w:fill="auto"/>
            <w:noWrap/>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20</w:t>
            </w:r>
            <w:r w:rsidR="00690B05" w:rsidRPr="0099191D">
              <w:rPr>
                <w:rFonts w:asciiTheme="minorEastAsia" w:eastAsiaTheme="minorEastAsia" w:hAnsiTheme="minorEastAsia" w:cs="宋体" w:hint="eastAsia"/>
                <w:color w:val="000000"/>
                <w:kern w:val="0"/>
                <w:szCs w:val="21"/>
              </w:rPr>
              <w:t>,</w:t>
            </w:r>
            <w:r w:rsidRPr="0099191D">
              <w:rPr>
                <w:rFonts w:asciiTheme="minorEastAsia" w:eastAsiaTheme="minorEastAsia" w:hAnsiTheme="minorEastAsia" w:cs="宋体" w:hint="eastAsia"/>
                <w:color w:val="000000"/>
                <w:kern w:val="0"/>
                <w:szCs w:val="21"/>
              </w:rPr>
              <w:t>500</w:t>
            </w:r>
          </w:p>
        </w:tc>
        <w:tc>
          <w:tcPr>
            <w:tcW w:w="1520" w:type="dxa"/>
            <w:shd w:val="clear" w:color="auto" w:fill="auto"/>
            <w:noWrap/>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293.08</w:t>
            </w:r>
          </w:p>
        </w:tc>
        <w:tc>
          <w:tcPr>
            <w:tcW w:w="1449" w:type="dxa"/>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0</w:t>
            </w:r>
          </w:p>
        </w:tc>
      </w:tr>
      <w:tr w:rsidR="00DF72BE" w:rsidRPr="0099191D" w:rsidTr="00A543AC">
        <w:trPr>
          <w:trHeight w:val="270"/>
          <w:jc w:val="center"/>
        </w:trPr>
        <w:tc>
          <w:tcPr>
            <w:tcW w:w="760" w:type="dxa"/>
            <w:shd w:val="clear" w:color="auto" w:fill="auto"/>
            <w:noWrap/>
            <w:vAlign w:val="center"/>
          </w:tcPr>
          <w:p w:rsidR="00DF72BE" w:rsidRPr="0099191D" w:rsidRDefault="00236846"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2</w:t>
            </w:r>
          </w:p>
        </w:tc>
        <w:tc>
          <w:tcPr>
            <w:tcW w:w="2410" w:type="dxa"/>
            <w:shd w:val="clear" w:color="auto" w:fill="auto"/>
            <w:noWrap/>
            <w:vAlign w:val="center"/>
          </w:tcPr>
          <w:p w:rsidR="00DF72BE" w:rsidRPr="0099191D" w:rsidRDefault="000627CF"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0627CF">
              <w:rPr>
                <w:rFonts w:asciiTheme="minorEastAsia" w:eastAsiaTheme="minorEastAsia" w:hAnsiTheme="minorEastAsia" w:cs="宋体" w:hint="eastAsia"/>
                <w:color w:val="000000"/>
                <w:kern w:val="0"/>
                <w:szCs w:val="21"/>
              </w:rPr>
              <w:t>山东金融资产交易中心有限公司</w:t>
            </w:r>
            <w:r w:rsidR="00236846" w:rsidRPr="0099191D">
              <w:rPr>
                <w:rFonts w:asciiTheme="minorEastAsia" w:eastAsiaTheme="minorEastAsia" w:hAnsiTheme="minorEastAsia" w:cs="宋体" w:hint="eastAsia"/>
                <w:color w:val="000000"/>
                <w:kern w:val="0"/>
                <w:szCs w:val="21"/>
              </w:rPr>
              <w:t>理财产品</w:t>
            </w:r>
          </w:p>
        </w:tc>
        <w:tc>
          <w:tcPr>
            <w:tcW w:w="1134" w:type="dxa"/>
            <w:shd w:val="clear" w:color="auto" w:fill="auto"/>
            <w:noWrap/>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39</w:t>
            </w:r>
            <w:r w:rsidR="00DC6611">
              <w:rPr>
                <w:rFonts w:asciiTheme="minorEastAsia" w:eastAsiaTheme="minorEastAsia" w:hAnsiTheme="minorEastAsia" w:cs="宋体" w:hint="eastAsia"/>
                <w:color w:val="000000"/>
                <w:kern w:val="0"/>
                <w:szCs w:val="21"/>
              </w:rPr>
              <w:t>,</w:t>
            </w:r>
            <w:r w:rsidRPr="0099191D">
              <w:rPr>
                <w:rFonts w:asciiTheme="minorEastAsia" w:eastAsiaTheme="minorEastAsia" w:hAnsiTheme="minorEastAsia" w:cs="宋体" w:hint="eastAsia"/>
                <w:color w:val="000000"/>
                <w:kern w:val="0"/>
                <w:szCs w:val="21"/>
              </w:rPr>
              <w:t>000</w:t>
            </w:r>
          </w:p>
        </w:tc>
        <w:tc>
          <w:tcPr>
            <w:tcW w:w="1134" w:type="dxa"/>
            <w:shd w:val="clear" w:color="auto" w:fill="auto"/>
            <w:noWrap/>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暂未到期</w:t>
            </w:r>
          </w:p>
        </w:tc>
        <w:tc>
          <w:tcPr>
            <w:tcW w:w="1520" w:type="dxa"/>
            <w:shd w:val="clear" w:color="auto" w:fill="auto"/>
            <w:noWrap/>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暂未到期</w:t>
            </w:r>
          </w:p>
        </w:tc>
        <w:tc>
          <w:tcPr>
            <w:tcW w:w="1449" w:type="dxa"/>
            <w:vAlign w:val="center"/>
          </w:tcPr>
          <w:p w:rsidR="00DF72BE" w:rsidRPr="0099191D" w:rsidRDefault="00236846"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39</w:t>
            </w:r>
            <w:r w:rsidR="00690B05" w:rsidRPr="0099191D">
              <w:rPr>
                <w:rFonts w:asciiTheme="minorEastAsia" w:eastAsiaTheme="minorEastAsia" w:hAnsiTheme="minorEastAsia" w:cs="宋体" w:hint="eastAsia"/>
                <w:color w:val="000000"/>
                <w:kern w:val="0"/>
                <w:szCs w:val="21"/>
              </w:rPr>
              <w:t>,</w:t>
            </w:r>
            <w:r w:rsidRPr="0099191D">
              <w:rPr>
                <w:rFonts w:asciiTheme="minorEastAsia" w:eastAsiaTheme="minorEastAsia" w:hAnsiTheme="minorEastAsia" w:cs="宋体" w:hint="eastAsia"/>
                <w:color w:val="000000"/>
                <w:kern w:val="0"/>
                <w:szCs w:val="21"/>
              </w:rPr>
              <w:t>000</w:t>
            </w:r>
          </w:p>
        </w:tc>
      </w:tr>
      <w:tr w:rsidR="007E184D" w:rsidRPr="0099191D" w:rsidTr="00A543AC">
        <w:trPr>
          <w:trHeight w:val="270"/>
          <w:jc w:val="center"/>
        </w:trPr>
        <w:tc>
          <w:tcPr>
            <w:tcW w:w="3170" w:type="dxa"/>
            <w:gridSpan w:val="2"/>
            <w:tcBorders>
              <w:bottom w:val="thinThickSmallGap" w:sz="24" w:space="0" w:color="auto"/>
            </w:tcBorders>
            <w:shd w:val="clear" w:color="auto" w:fill="auto"/>
            <w:noWrap/>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合计</w:t>
            </w:r>
          </w:p>
        </w:tc>
        <w:tc>
          <w:tcPr>
            <w:tcW w:w="1134" w:type="dxa"/>
            <w:tcBorders>
              <w:bottom w:val="thinThickSmallGap" w:sz="24" w:space="0" w:color="auto"/>
            </w:tcBorders>
            <w:shd w:val="clear" w:color="auto" w:fill="auto"/>
            <w:vAlign w:val="center"/>
          </w:tcPr>
          <w:p w:rsidR="007E184D" w:rsidRPr="0099191D" w:rsidRDefault="007E184D"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59,500</w:t>
            </w:r>
          </w:p>
        </w:tc>
        <w:tc>
          <w:tcPr>
            <w:tcW w:w="1134" w:type="dxa"/>
            <w:tcBorders>
              <w:bottom w:val="thinThickSmallGap" w:sz="24" w:space="0" w:color="auto"/>
            </w:tcBorders>
            <w:shd w:val="clear" w:color="auto" w:fill="auto"/>
            <w:vAlign w:val="center"/>
          </w:tcPr>
          <w:p w:rsidR="007E184D" w:rsidRPr="0099191D" w:rsidRDefault="007E184D"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20,500</w:t>
            </w:r>
          </w:p>
        </w:tc>
        <w:tc>
          <w:tcPr>
            <w:tcW w:w="1520" w:type="dxa"/>
            <w:tcBorders>
              <w:bottom w:val="thinThickSmallGap" w:sz="24" w:space="0" w:color="auto"/>
            </w:tcBorders>
            <w:shd w:val="clear" w:color="auto" w:fill="auto"/>
            <w:vAlign w:val="center"/>
          </w:tcPr>
          <w:p w:rsidR="007E184D" w:rsidRPr="0099191D" w:rsidRDefault="007E184D"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293.08</w:t>
            </w:r>
          </w:p>
        </w:tc>
        <w:tc>
          <w:tcPr>
            <w:tcW w:w="1449" w:type="dxa"/>
            <w:tcBorders>
              <w:bottom w:val="thinThickSmallGap" w:sz="24" w:space="0" w:color="auto"/>
            </w:tcBorders>
            <w:vAlign w:val="center"/>
          </w:tcPr>
          <w:p w:rsidR="007E184D" w:rsidRPr="0099191D" w:rsidRDefault="007E184D" w:rsidP="00A543AC">
            <w:pPr>
              <w:autoSpaceDE w:val="0"/>
              <w:autoSpaceDN w:val="0"/>
              <w:adjustRightInd w:val="0"/>
              <w:spacing w:line="360" w:lineRule="auto"/>
              <w:jc w:val="right"/>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39,000</w:t>
            </w:r>
          </w:p>
        </w:tc>
      </w:tr>
      <w:tr w:rsidR="007E184D" w:rsidRPr="0099191D" w:rsidTr="0099191D">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lastRenderedPageBreak/>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40,000</w:t>
            </w:r>
          </w:p>
        </w:tc>
      </w:tr>
      <w:tr w:rsidR="007E184D" w:rsidRPr="0099191D" w:rsidTr="0099191D">
        <w:trPr>
          <w:trHeight w:val="270"/>
          <w:jc w:val="center"/>
        </w:trPr>
        <w:tc>
          <w:tcPr>
            <w:tcW w:w="5438" w:type="dxa"/>
            <w:gridSpan w:val="4"/>
            <w:tcBorders>
              <w:top w:val="single" w:sz="4" w:space="0" w:color="auto"/>
            </w:tcBorders>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16.</w:t>
            </w:r>
            <w:r w:rsidR="00E07071">
              <w:rPr>
                <w:rFonts w:asciiTheme="minorEastAsia" w:eastAsiaTheme="minorEastAsia" w:hAnsiTheme="minorEastAsia" w:cs="宋体" w:hint="eastAsia"/>
                <w:color w:val="000000"/>
                <w:kern w:val="0"/>
                <w:szCs w:val="21"/>
              </w:rPr>
              <w:t>72</w:t>
            </w:r>
          </w:p>
        </w:tc>
      </w:tr>
      <w:tr w:rsidR="007E184D" w:rsidRPr="0099191D" w:rsidTr="0099191D">
        <w:trPr>
          <w:trHeight w:val="792"/>
          <w:jc w:val="center"/>
        </w:trPr>
        <w:tc>
          <w:tcPr>
            <w:tcW w:w="5438" w:type="dxa"/>
            <w:gridSpan w:val="4"/>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 xml:space="preserve">最近12个月现金管理累计收益/最近一年净利润（%）　</w:t>
            </w:r>
          </w:p>
        </w:tc>
        <w:tc>
          <w:tcPr>
            <w:tcW w:w="2969" w:type="dxa"/>
            <w:gridSpan w:val="2"/>
            <w:shd w:val="clear" w:color="auto" w:fill="auto"/>
            <w:vAlign w:val="center"/>
          </w:tcPr>
          <w:p w:rsidR="0099191D" w:rsidRDefault="00DE7632"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1.03</w:t>
            </w:r>
          </w:p>
          <w:p w:rsidR="007E184D" w:rsidRPr="0099191D" w:rsidRDefault="00DE7632"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(取上一年净利润绝对值计算)</w:t>
            </w:r>
          </w:p>
        </w:tc>
      </w:tr>
      <w:tr w:rsidR="007E184D" w:rsidRPr="0099191D" w:rsidTr="0099191D">
        <w:trPr>
          <w:trHeight w:val="270"/>
          <w:jc w:val="center"/>
        </w:trPr>
        <w:tc>
          <w:tcPr>
            <w:tcW w:w="5438" w:type="dxa"/>
            <w:gridSpan w:val="4"/>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目前已使用的现金管理额度</w:t>
            </w:r>
          </w:p>
        </w:tc>
        <w:tc>
          <w:tcPr>
            <w:tcW w:w="2969" w:type="dxa"/>
            <w:gridSpan w:val="2"/>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39,000</w:t>
            </w:r>
          </w:p>
        </w:tc>
      </w:tr>
      <w:tr w:rsidR="007E184D" w:rsidRPr="0099191D" w:rsidTr="0099191D">
        <w:trPr>
          <w:trHeight w:val="270"/>
          <w:jc w:val="center"/>
        </w:trPr>
        <w:tc>
          <w:tcPr>
            <w:tcW w:w="5438" w:type="dxa"/>
            <w:gridSpan w:val="4"/>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 xml:space="preserve">尚未使用的现金管理额度　</w:t>
            </w:r>
          </w:p>
        </w:tc>
        <w:tc>
          <w:tcPr>
            <w:tcW w:w="2969" w:type="dxa"/>
            <w:gridSpan w:val="2"/>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3,000</w:t>
            </w:r>
            <w:bookmarkStart w:id="1" w:name="_GoBack"/>
            <w:bookmarkEnd w:id="1"/>
          </w:p>
        </w:tc>
      </w:tr>
      <w:tr w:rsidR="007E184D" w:rsidRPr="0099191D" w:rsidTr="0099191D">
        <w:trPr>
          <w:trHeight w:val="270"/>
          <w:jc w:val="center"/>
        </w:trPr>
        <w:tc>
          <w:tcPr>
            <w:tcW w:w="5438" w:type="dxa"/>
            <w:gridSpan w:val="4"/>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现金管理总额度</w:t>
            </w:r>
          </w:p>
        </w:tc>
        <w:tc>
          <w:tcPr>
            <w:tcW w:w="2969" w:type="dxa"/>
            <w:gridSpan w:val="2"/>
            <w:shd w:val="clear" w:color="auto" w:fill="auto"/>
            <w:vAlign w:val="center"/>
          </w:tcPr>
          <w:p w:rsidR="007E184D" w:rsidRPr="0099191D" w:rsidRDefault="007E184D" w:rsidP="00F268D5">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9191D">
              <w:rPr>
                <w:rFonts w:asciiTheme="minorEastAsia" w:eastAsiaTheme="minorEastAsia" w:hAnsiTheme="minorEastAsia" w:cs="宋体" w:hint="eastAsia"/>
                <w:color w:val="000000"/>
                <w:kern w:val="0"/>
                <w:szCs w:val="21"/>
              </w:rPr>
              <w:t>42,000</w:t>
            </w:r>
          </w:p>
        </w:tc>
      </w:tr>
    </w:tbl>
    <w:p w:rsidR="00DF72BE" w:rsidRDefault="00DF72BE">
      <w:pPr>
        <w:pStyle w:val="a3"/>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特此公告。</w:t>
      </w:r>
    </w:p>
    <w:p w:rsidR="00DF72BE" w:rsidRDefault="00DF72BE">
      <w:pPr>
        <w:autoSpaceDE w:val="0"/>
        <w:autoSpaceDN w:val="0"/>
        <w:adjustRightInd w:val="0"/>
        <w:spacing w:line="360" w:lineRule="auto"/>
        <w:ind w:firstLineChars="200" w:firstLine="480"/>
        <w:rPr>
          <w:rFonts w:ascii="宋体" w:hAnsi="宋体"/>
          <w:color w:val="000000"/>
          <w:sz w:val="24"/>
        </w:rPr>
      </w:pPr>
    </w:p>
    <w:p w:rsidR="00DF72BE" w:rsidRDefault="00DF72BE">
      <w:pPr>
        <w:autoSpaceDE w:val="0"/>
        <w:autoSpaceDN w:val="0"/>
        <w:adjustRightInd w:val="0"/>
        <w:spacing w:line="360" w:lineRule="auto"/>
        <w:ind w:firstLineChars="200" w:firstLine="480"/>
        <w:rPr>
          <w:rFonts w:ascii="宋体" w:hAnsi="宋体"/>
          <w:color w:val="000000"/>
          <w:sz w:val="24"/>
        </w:rPr>
      </w:pP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Pr>
          <w:rFonts w:cs="Arial" w:hint="eastAsia"/>
        </w:rPr>
        <w:t>江苏吴中实业股份有限公司</w:t>
      </w:r>
    </w:p>
    <w:p w:rsidR="00DF72BE" w:rsidRDefault="00236846">
      <w:pPr>
        <w:pStyle w:val="a6"/>
        <w:wordWrap w:val="0"/>
        <w:adjustRightInd w:val="0"/>
        <w:snapToGrid w:val="0"/>
        <w:spacing w:before="0" w:beforeAutospacing="0" w:after="0" w:afterAutospacing="0" w:line="360" w:lineRule="auto"/>
        <w:ind w:firstLineChars="200" w:firstLine="480"/>
        <w:jc w:val="right"/>
        <w:rPr>
          <w:rFonts w:cs="Arial"/>
        </w:rPr>
      </w:pPr>
      <w:r>
        <w:rPr>
          <w:rFonts w:cs="Arial" w:hint="eastAsia"/>
        </w:rPr>
        <w:t xml:space="preserve">董事会      </w:t>
      </w: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Pr>
          <w:rFonts w:cs="Arial" w:hint="eastAsia"/>
        </w:rPr>
        <w:t>2019年11月16日</w:t>
      </w:r>
    </w:p>
    <w:p w:rsidR="00DF72BE" w:rsidRDefault="00DF72BE">
      <w:pPr>
        <w:pStyle w:val="Default"/>
        <w:spacing w:line="360" w:lineRule="auto"/>
        <w:rPr>
          <w:rFonts w:asciiTheme="minorEastAsia" w:eastAsiaTheme="minorEastAsia" w:hAnsiTheme="minorEastAsia"/>
        </w:rPr>
      </w:pPr>
    </w:p>
    <w:sectPr w:rsidR="00DF72BE">
      <w:headerReference w:type="even" r:id="rId9"/>
      <w:headerReference w:type="default" r:id="rId10"/>
      <w:footerReference w:type="even"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46" w:rsidRDefault="00666446">
      <w:r>
        <w:separator/>
      </w:r>
    </w:p>
  </w:endnote>
  <w:endnote w:type="continuationSeparator" w:id="0">
    <w:p w:rsidR="00666446" w:rsidRDefault="0066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236846">
    <w:pPr>
      <w:spacing w:line="400" w:lineRule="exact"/>
      <w:jc w:val="center"/>
      <w:rPr>
        <w:rFonts w:ascii="仿宋_GB2312" w:eastAsia="仿宋_GB2312"/>
        <w:bCs/>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p w:rsidR="00DF72BE" w:rsidRDefault="00DF72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46" w:rsidRDefault="00666446">
      <w:r>
        <w:separator/>
      </w:r>
    </w:p>
  </w:footnote>
  <w:footnote w:type="continuationSeparator" w:id="0">
    <w:p w:rsidR="00666446" w:rsidRDefault="00666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single" w:sz="6" w:space="0" w:color="auto"/>
      </w:pBdr>
    </w:pPr>
  </w:p>
  <w:p w:rsidR="00DF72BE" w:rsidRDefault="00DF72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none" w:sz="0" w:space="0" w:color="auto"/>
      </w:pBdr>
    </w:pPr>
  </w:p>
  <w:p w:rsidR="00DF72BE" w:rsidRDefault="00DF72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83"/>
    <w:rsid w:val="0001153F"/>
    <w:rsid w:val="00015559"/>
    <w:rsid w:val="0003171D"/>
    <w:rsid w:val="000377FA"/>
    <w:rsid w:val="000514F9"/>
    <w:rsid w:val="000627CF"/>
    <w:rsid w:val="000C1EBF"/>
    <w:rsid w:val="000D5160"/>
    <w:rsid w:val="000E57BA"/>
    <w:rsid w:val="000E5928"/>
    <w:rsid w:val="001044FC"/>
    <w:rsid w:val="00114893"/>
    <w:rsid w:val="00115DE0"/>
    <w:rsid w:val="00125EB5"/>
    <w:rsid w:val="00141A30"/>
    <w:rsid w:val="0014235B"/>
    <w:rsid w:val="001449C0"/>
    <w:rsid w:val="00163205"/>
    <w:rsid w:val="00167B35"/>
    <w:rsid w:val="00184711"/>
    <w:rsid w:val="001A6F91"/>
    <w:rsid w:val="001F698F"/>
    <w:rsid w:val="0023652B"/>
    <w:rsid w:val="00236846"/>
    <w:rsid w:val="002442A3"/>
    <w:rsid w:val="00251C73"/>
    <w:rsid w:val="0025726D"/>
    <w:rsid w:val="0025795B"/>
    <w:rsid w:val="0027220C"/>
    <w:rsid w:val="00274C8F"/>
    <w:rsid w:val="002808AB"/>
    <w:rsid w:val="00284CD2"/>
    <w:rsid w:val="002B7CCB"/>
    <w:rsid w:val="002C71E7"/>
    <w:rsid w:val="002D2369"/>
    <w:rsid w:val="002F74DC"/>
    <w:rsid w:val="00324EB8"/>
    <w:rsid w:val="0037324C"/>
    <w:rsid w:val="00373349"/>
    <w:rsid w:val="003870CC"/>
    <w:rsid w:val="003B5345"/>
    <w:rsid w:val="003C607D"/>
    <w:rsid w:val="003D0C3B"/>
    <w:rsid w:val="003D3FFF"/>
    <w:rsid w:val="003E355B"/>
    <w:rsid w:val="0041720E"/>
    <w:rsid w:val="0043516B"/>
    <w:rsid w:val="004502F4"/>
    <w:rsid w:val="00461ACA"/>
    <w:rsid w:val="00496E8A"/>
    <w:rsid w:val="004C27B9"/>
    <w:rsid w:val="004C3DB4"/>
    <w:rsid w:val="004E363D"/>
    <w:rsid w:val="004F1ED6"/>
    <w:rsid w:val="004F1F15"/>
    <w:rsid w:val="00525168"/>
    <w:rsid w:val="0054311D"/>
    <w:rsid w:val="005712CB"/>
    <w:rsid w:val="0057131D"/>
    <w:rsid w:val="00577695"/>
    <w:rsid w:val="005777D5"/>
    <w:rsid w:val="00577CBB"/>
    <w:rsid w:val="005B4F18"/>
    <w:rsid w:val="005C3668"/>
    <w:rsid w:val="005D2896"/>
    <w:rsid w:val="005D4ACB"/>
    <w:rsid w:val="00615D49"/>
    <w:rsid w:val="00622BD0"/>
    <w:rsid w:val="006412D7"/>
    <w:rsid w:val="00662769"/>
    <w:rsid w:val="00666446"/>
    <w:rsid w:val="00683AED"/>
    <w:rsid w:val="00690B05"/>
    <w:rsid w:val="00695D72"/>
    <w:rsid w:val="006B29CA"/>
    <w:rsid w:val="006B2B65"/>
    <w:rsid w:val="007001F0"/>
    <w:rsid w:val="007014FC"/>
    <w:rsid w:val="007564B5"/>
    <w:rsid w:val="00766EEB"/>
    <w:rsid w:val="00772A33"/>
    <w:rsid w:val="007A4BD7"/>
    <w:rsid w:val="007C7BAF"/>
    <w:rsid w:val="007E184D"/>
    <w:rsid w:val="00802A0A"/>
    <w:rsid w:val="008179EF"/>
    <w:rsid w:val="00887DA0"/>
    <w:rsid w:val="00893296"/>
    <w:rsid w:val="008935D4"/>
    <w:rsid w:val="00896AEF"/>
    <w:rsid w:val="008A46EC"/>
    <w:rsid w:val="008D42B8"/>
    <w:rsid w:val="008E57CC"/>
    <w:rsid w:val="008F5155"/>
    <w:rsid w:val="008F6AB5"/>
    <w:rsid w:val="00933FA5"/>
    <w:rsid w:val="00934104"/>
    <w:rsid w:val="00955A3F"/>
    <w:rsid w:val="00960430"/>
    <w:rsid w:val="00967AA4"/>
    <w:rsid w:val="0099191D"/>
    <w:rsid w:val="00A05A16"/>
    <w:rsid w:val="00A267F9"/>
    <w:rsid w:val="00A543AC"/>
    <w:rsid w:val="00A842DF"/>
    <w:rsid w:val="00AA10D4"/>
    <w:rsid w:val="00AB2664"/>
    <w:rsid w:val="00AC7ABF"/>
    <w:rsid w:val="00B07E79"/>
    <w:rsid w:val="00B154C6"/>
    <w:rsid w:val="00B31A8D"/>
    <w:rsid w:val="00B52013"/>
    <w:rsid w:val="00B87AB6"/>
    <w:rsid w:val="00BB5C59"/>
    <w:rsid w:val="00BB5F62"/>
    <w:rsid w:val="00BC7D27"/>
    <w:rsid w:val="00BF68F7"/>
    <w:rsid w:val="00C01D90"/>
    <w:rsid w:val="00C14435"/>
    <w:rsid w:val="00C71DAA"/>
    <w:rsid w:val="00C77455"/>
    <w:rsid w:val="00CC65AD"/>
    <w:rsid w:val="00CD2A4D"/>
    <w:rsid w:val="00CD5891"/>
    <w:rsid w:val="00CD6EAB"/>
    <w:rsid w:val="00CF2676"/>
    <w:rsid w:val="00CF3083"/>
    <w:rsid w:val="00CF42BE"/>
    <w:rsid w:val="00CF6405"/>
    <w:rsid w:val="00D04CBB"/>
    <w:rsid w:val="00D21B8D"/>
    <w:rsid w:val="00D26D15"/>
    <w:rsid w:val="00D41C86"/>
    <w:rsid w:val="00D45281"/>
    <w:rsid w:val="00D53DC4"/>
    <w:rsid w:val="00D86A2F"/>
    <w:rsid w:val="00D90BC6"/>
    <w:rsid w:val="00DC287B"/>
    <w:rsid w:val="00DC6611"/>
    <w:rsid w:val="00DE7632"/>
    <w:rsid w:val="00DF72BE"/>
    <w:rsid w:val="00E003D0"/>
    <w:rsid w:val="00E01F70"/>
    <w:rsid w:val="00E025CD"/>
    <w:rsid w:val="00E05034"/>
    <w:rsid w:val="00E07071"/>
    <w:rsid w:val="00E1059C"/>
    <w:rsid w:val="00E176DF"/>
    <w:rsid w:val="00E220DE"/>
    <w:rsid w:val="00E74755"/>
    <w:rsid w:val="00E77D37"/>
    <w:rsid w:val="00E9529E"/>
    <w:rsid w:val="00E96761"/>
    <w:rsid w:val="00EA6444"/>
    <w:rsid w:val="00EB7FBA"/>
    <w:rsid w:val="00EF67AA"/>
    <w:rsid w:val="00F03FA2"/>
    <w:rsid w:val="00F168FB"/>
    <w:rsid w:val="00F21312"/>
    <w:rsid w:val="00F23D77"/>
    <w:rsid w:val="00F268D5"/>
    <w:rsid w:val="00F642E6"/>
    <w:rsid w:val="00F6740A"/>
    <w:rsid w:val="00FA5496"/>
    <w:rsid w:val="00FB56C5"/>
    <w:rsid w:val="00FB5A20"/>
    <w:rsid w:val="00FB79DD"/>
    <w:rsid w:val="00FE4FBE"/>
    <w:rsid w:val="00FE5ACA"/>
    <w:rsid w:val="08886503"/>
    <w:rsid w:val="17685A47"/>
    <w:rsid w:val="17867D78"/>
    <w:rsid w:val="493979BF"/>
    <w:rsid w:val="50777D0F"/>
    <w:rsid w:val="56D72480"/>
    <w:rsid w:val="594B0749"/>
    <w:rsid w:val="5BCA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19</cp:revision>
  <dcterms:created xsi:type="dcterms:W3CDTF">2019-11-09T00:43:00Z</dcterms:created>
  <dcterms:modified xsi:type="dcterms:W3CDTF">2019-11-15T06:51:00Z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