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BE" w:rsidRDefault="00236846">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w:t>
      </w:r>
      <w:r w:rsidRPr="00751560">
        <w:rPr>
          <w:rFonts w:ascii="宋体" w:hAnsi="宋体" w:cs="宋体" w:hint="eastAsia"/>
          <w:color w:val="000000"/>
          <w:kern w:val="0"/>
          <w:sz w:val="24"/>
        </w:rPr>
        <w:t>编号：临20</w:t>
      </w:r>
      <w:r w:rsidR="001256C0" w:rsidRPr="00751560">
        <w:rPr>
          <w:rFonts w:ascii="宋体" w:hAnsi="宋体" w:cs="宋体" w:hint="eastAsia"/>
          <w:color w:val="000000"/>
          <w:kern w:val="0"/>
          <w:sz w:val="24"/>
        </w:rPr>
        <w:t>20</w:t>
      </w:r>
      <w:r w:rsidRPr="00751560">
        <w:rPr>
          <w:rFonts w:ascii="宋体" w:hAnsi="宋体" w:cs="宋体" w:hint="eastAsia"/>
          <w:color w:val="000000"/>
          <w:kern w:val="0"/>
          <w:sz w:val="24"/>
        </w:rPr>
        <w:t>-</w:t>
      </w:r>
      <w:r w:rsidR="00751560" w:rsidRPr="00751560">
        <w:rPr>
          <w:rFonts w:ascii="宋体" w:hAnsi="宋体" w:cs="宋体" w:hint="eastAsia"/>
          <w:color w:val="000000"/>
          <w:kern w:val="0"/>
          <w:sz w:val="24"/>
        </w:rPr>
        <w:t>033</w:t>
      </w:r>
    </w:p>
    <w:p w:rsidR="00DF72BE" w:rsidRDefault="00DF72BE">
      <w:pPr>
        <w:spacing w:line="480" w:lineRule="auto"/>
        <w:jc w:val="center"/>
        <w:rPr>
          <w:rFonts w:ascii="黑体" w:eastAsia="黑体" w:hAnsi="宋体"/>
          <w:b/>
          <w:bCs/>
          <w:color w:val="FF0000"/>
          <w:sz w:val="32"/>
          <w:szCs w:val="32"/>
        </w:rPr>
      </w:pPr>
    </w:p>
    <w:p w:rsidR="001256C0" w:rsidRDefault="001256C0" w:rsidP="001256C0">
      <w:pPr>
        <w:spacing w:line="480" w:lineRule="auto"/>
        <w:jc w:val="center"/>
        <w:rPr>
          <w:rFonts w:ascii="黑体" w:eastAsia="黑体" w:hAnsi="宋体"/>
          <w:b/>
          <w:bCs/>
          <w:color w:val="FF0000"/>
          <w:sz w:val="32"/>
          <w:szCs w:val="32"/>
        </w:rPr>
      </w:pPr>
      <w:bookmarkStart w:id="0" w:name="OLE_LINK1"/>
      <w:r>
        <w:rPr>
          <w:rFonts w:ascii="黑体" w:eastAsia="黑体" w:hAnsi="宋体" w:hint="eastAsia"/>
          <w:b/>
          <w:bCs/>
          <w:color w:val="FF0000"/>
          <w:sz w:val="32"/>
          <w:szCs w:val="32"/>
        </w:rPr>
        <w:t>江苏吴中实业股份有限公司关于</w:t>
      </w:r>
    </w:p>
    <w:p w:rsidR="00DF72BE" w:rsidRDefault="001256C0" w:rsidP="001256C0">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使用部分闲置非公开发行募集资金进行现金管理的公告</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DF72BE" w:rsidRPr="00EA4E67" w:rsidRDefault="00236846" w:rsidP="001256C0">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现金管理金额：江苏吴中实业股份有限公司（以下简称“公司”）</w:t>
      </w:r>
      <w:r w:rsidR="0099191D" w:rsidRPr="0099191D">
        <w:rPr>
          <w:rFonts w:ascii="宋体" w:hAnsi="宋体" w:hint="eastAsia"/>
          <w:color w:val="000000"/>
          <w:sz w:val="24"/>
        </w:rPr>
        <w:t>拟使用</w:t>
      </w:r>
      <w:r w:rsidR="001256C0" w:rsidRPr="00EA4E67">
        <w:rPr>
          <w:rFonts w:ascii="宋体" w:hAnsi="宋体" w:hint="eastAsia"/>
          <w:color w:val="000000"/>
          <w:sz w:val="24"/>
        </w:rPr>
        <w:t>总额不超过人民币4,000万元的闲置非公开募集资金进行现金管理</w:t>
      </w:r>
      <w:r w:rsidRPr="00EA4E67">
        <w:rPr>
          <w:rFonts w:ascii="宋体" w:hAnsi="宋体" w:hint="eastAsia"/>
          <w:color w:val="000000"/>
          <w:sz w:val="24"/>
        </w:rPr>
        <w:t>，在上述额度及决议有效期内，资金可以循环滚动使用。</w:t>
      </w:r>
    </w:p>
    <w:p w:rsidR="00DF72BE" w:rsidRPr="00EA4E67" w:rsidRDefault="00236846" w:rsidP="00E34C0D">
      <w:pPr>
        <w:numPr>
          <w:ilvl w:val="0"/>
          <w:numId w:val="1"/>
        </w:numPr>
        <w:adjustRightInd w:val="0"/>
        <w:snapToGrid w:val="0"/>
        <w:spacing w:line="360" w:lineRule="auto"/>
        <w:rPr>
          <w:rFonts w:ascii="宋体" w:hAnsi="宋体"/>
          <w:color w:val="000000"/>
          <w:sz w:val="24"/>
        </w:rPr>
      </w:pPr>
      <w:r w:rsidRPr="00EA4E67">
        <w:rPr>
          <w:rFonts w:ascii="宋体" w:hAnsi="宋体" w:hint="eastAsia"/>
          <w:color w:val="000000"/>
          <w:sz w:val="24"/>
        </w:rPr>
        <w:t>现金管理投资类型：</w:t>
      </w:r>
      <w:r w:rsidR="00E34C0D" w:rsidRPr="00EA4E67">
        <w:rPr>
          <w:rFonts w:ascii="宋体" w:hAnsi="宋体" w:hint="eastAsia"/>
          <w:color w:val="000000"/>
          <w:sz w:val="24"/>
        </w:rPr>
        <w:t>仅限于</w:t>
      </w:r>
      <w:r w:rsidR="006F1CFC" w:rsidRPr="00EA4E67">
        <w:rPr>
          <w:rFonts w:ascii="宋体" w:hAnsi="宋体" w:hint="eastAsia"/>
          <w:color w:val="000000"/>
          <w:sz w:val="24"/>
        </w:rPr>
        <w:t>安全性高、满足保本要求且流动性好、不影响募集资金投资计划正常进行的投资产品，包括结构性存款以及低风险、有保本约定的理财产品。</w:t>
      </w:r>
    </w:p>
    <w:p w:rsidR="0099191D" w:rsidRDefault="00236846" w:rsidP="0099191D">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现金管理期</w:t>
      </w:r>
      <w:r w:rsidRPr="0099191D">
        <w:rPr>
          <w:rFonts w:ascii="宋体" w:hAnsi="宋体" w:hint="eastAsia"/>
          <w:color w:val="000000"/>
          <w:sz w:val="24"/>
        </w:rPr>
        <w:t>限：自公司第九届董事会</w:t>
      </w:r>
      <w:r w:rsidR="001256C0">
        <w:rPr>
          <w:rFonts w:ascii="宋体" w:hAnsi="宋体" w:hint="eastAsia"/>
          <w:color w:val="000000"/>
          <w:sz w:val="24"/>
        </w:rPr>
        <w:t>第九次</w:t>
      </w:r>
      <w:r w:rsidRPr="0099191D">
        <w:rPr>
          <w:rFonts w:ascii="宋体" w:hAnsi="宋体" w:hint="eastAsia"/>
          <w:color w:val="000000"/>
          <w:sz w:val="24"/>
        </w:rPr>
        <w:t>会议（通讯表决）审议通过之日起一年之内有效。</w:t>
      </w:r>
    </w:p>
    <w:p w:rsidR="00DF72BE" w:rsidRPr="0099191D" w:rsidRDefault="00236846" w:rsidP="0099191D">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履行的审议程序：20</w:t>
      </w:r>
      <w:r w:rsidR="001256C0">
        <w:rPr>
          <w:rFonts w:ascii="宋体" w:hAnsi="宋体" w:hint="eastAsia"/>
          <w:color w:val="000000"/>
          <w:sz w:val="24"/>
        </w:rPr>
        <w:t>20</w:t>
      </w:r>
      <w:r w:rsidRPr="0099191D">
        <w:rPr>
          <w:rFonts w:ascii="宋体" w:hAnsi="宋体" w:hint="eastAsia"/>
          <w:color w:val="000000"/>
          <w:sz w:val="24"/>
        </w:rPr>
        <w:t>年</w:t>
      </w:r>
      <w:r w:rsidR="001256C0">
        <w:rPr>
          <w:rFonts w:ascii="宋体" w:hAnsi="宋体" w:hint="eastAsia"/>
          <w:color w:val="000000"/>
          <w:sz w:val="24"/>
        </w:rPr>
        <w:t>4</w:t>
      </w:r>
      <w:r w:rsidRPr="0099191D">
        <w:rPr>
          <w:rFonts w:ascii="宋体" w:hAnsi="宋体" w:hint="eastAsia"/>
          <w:color w:val="000000"/>
          <w:sz w:val="24"/>
        </w:rPr>
        <w:t>月</w:t>
      </w:r>
      <w:r w:rsidR="001256C0">
        <w:rPr>
          <w:rFonts w:ascii="宋体" w:hAnsi="宋体" w:hint="eastAsia"/>
          <w:color w:val="000000"/>
          <w:sz w:val="24"/>
        </w:rPr>
        <w:t>28</w:t>
      </w:r>
      <w:r w:rsidRPr="0099191D">
        <w:rPr>
          <w:rFonts w:ascii="宋体" w:hAnsi="宋体" w:hint="eastAsia"/>
          <w:color w:val="000000"/>
          <w:sz w:val="24"/>
        </w:rPr>
        <w:t>日，公司召开第九届董事会</w:t>
      </w:r>
      <w:r w:rsidR="001256C0">
        <w:rPr>
          <w:rFonts w:ascii="宋体" w:hAnsi="宋体" w:hint="eastAsia"/>
          <w:color w:val="000000"/>
          <w:sz w:val="24"/>
        </w:rPr>
        <w:t>第九次</w:t>
      </w:r>
      <w:r w:rsidRPr="0099191D">
        <w:rPr>
          <w:rFonts w:ascii="宋体" w:hAnsi="宋体" w:hint="eastAsia"/>
          <w:color w:val="000000"/>
          <w:sz w:val="24"/>
        </w:rPr>
        <w:t>会议（通讯表决）和第九届监事会</w:t>
      </w:r>
      <w:r w:rsidR="001256C0">
        <w:rPr>
          <w:rFonts w:ascii="宋体" w:hAnsi="宋体" w:hint="eastAsia"/>
          <w:color w:val="000000"/>
          <w:sz w:val="24"/>
        </w:rPr>
        <w:t>第九次</w:t>
      </w:r>
      <w:r w:rsidRPr="0099191D">
        <w:rPr>
          <w:rFonts w:ascii="宋体" w:hAnsi="宋体" w:hint="eastAsia"/>
          <w:color w:val="000000"/>
          <w:sz w:val="24"/>
        </w:rPr>
        <w:t>会议（通讯表决），审议通过了该事项。该事项无需提交公司股东大会审议。</w:t>
      </w:r>
    </w:p>
    <w:p w:rsidR="00DF72BE" w:rsidRDefault="00DF72BE">
      <w:pPr>
        <w:autoSpaceDE w:val="0"/>
        <w:autoSpaceDN w:val="0"/>
        <w:adjustRightInd w:val="0"/>
        <w:spacing w:line="360" w:lineRule="auto"/>
        <w:ind w:firstLineChars="200" w:firstLine="480"/>
        <w:rPr>
          <w:rFonts w:ascii="宋体" w:hAnsi="宋体"/>
          <w:sz w:val="24"/>
        </w:rPr>
      </w:pPr>
    </w:p>
    <w:bookmarkEnd w:id="0"/>
    <w:p w:rsidR="00DF72BE" w:rsidRDefault="00236846">
      <w:pPr>
        <w:pStyle w:val="a3"/>
        <w:spacing w:line="360" w:lineRule="auto"/>
        <w:ind w:firstLineChars="200" w:firstLine="482"/>
        <w:rPr>
          <w:rFonts w:ascii="宋体" w:hAnsi="宋体"/>
          <w:b/>
          <w:sz w:val="24"/>
          <w:szCs w:val="24"/>
        </w:rPr>
      </w:pPr>
      <w:r>
        <w:rPr>
          <w:rFonts w:ascii="宋体" w:hAnsi="宋体" w:hint="eastAsia"/>
          <w:b/>
          <w:sz w:val="24"/>
          <w:szCs w:val="24"/>
        </w:rPr>
        <w:t>一、现金管理概况</w:t>
      </w:r>
    </w:p>
    <w:p w:rsidR="00DF72BE" w:rsidRDefault="00236846">
      <w:pPr>
        <w:pStyle w:val="a3"/>
        <w:spacing w:line="360" w:lineRule="auto"/>
        <w:ind w:firstLineChars="200" w:firstLine="480"/>
        <w:rPr>
          <w:rFonts w:ascii="宋体" w:hAnsi="宋体"/>
          <w:sz w:val="24"/>
          <w:szCs w:val="24"/>
        </w:rPr>
      </w:pPr>
      <w:r>
        <w:rPr>
          <w:rFonts w:ascii="宋体" w:hAnsi="宋体" w:hint="eastAsia"/>
          <w:sz w:val="24"/>
          <w:szCs w:val="24"/>
        </w:rPr>
        <w:t>（一）现金管理目的</w:t>
      </w:r>
    </w:p>
    <w:p w:rsidR="001256C0" w:rsidRDefault="001256C0" w:rsidP="001256C0">
      <w:pPr>
        <w:spacing w:line="396" w:lineRule="auto"/>
        <w:ind w:firstLine="480"/>
        <w:rPr>
          <w:rFonts w:ascii="宋体" w:hAnsi="宋体"/>
          <w:sz w:val="24"/>
        </w:rPr>
      </w:pPr>
      <w:r>
        <w:rPr>
          <w:rFonts w:ascii="宋体" w:hAnsi="宋体"/>
          <w:sz w:val="24"/>
        </w:rPr>
        <w:t>为提高资金使用效率，合理利用闲置募集资金，在不影响公司</w:t>
      </w:r>
      <w:proofErr w:type="gramStart"/>
      <w:r>
        <w:rPr>
          <w:rFonts w:ascii="宋体" w:hAnsi="宋体"/>
          <w:sz w:val="24"/>
        </w:rPr>
        <w:t>募投项目</w:t>
      </w:r>
      <w:proofErr w:type="gramEnd"/>
      <w:r>
        <w:rPr>
          <w:rFonts w:ascii="宋体" w:hAnsi="宋体"/>
          <w:sz w:val="24"/>
        </w:rPr>
        <w:t>正常实施进度的情况下，公司拟使用闲置募集资金进行现金管理。</w:t>
      </w:r>
    </w:p>
    <w:p w:rsidR="00DF72BE" w:rsidRPr="0099191D" w:rsidRDefault="00236846">
      <w:pPr>
        <w:pStyle w:val="a3"/>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t>（二）资金来源</w:t>
      </w:r>
    </w:p>
    <w:p w:rsidR="00DF72BE" w:rsidRDefault="00FE2E08">
      <w:pPr>
        <w:pStyle w:val="a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236846" w:rsidRPr="0099191D">
        <w:rPr>
          <w:rFonts w:asciiTheme="minorEastAsia" w:eastAsiaTheme="minorEastAsia" w:hAnsiTheme="minorEastAsia" w:hint="eastAsia"/>
          <w:sz w:val="24"/>
          <w:szCs w:val="24"/>
        </w:rPr>
        <w:t>资金来源为公司闲置</w:t>
      </w:r>
      <w:r w:rsidR="001256C0">
        <w:rPr>
          <w:rFonts w:asciiTheme="minorEastAsia" w:eastAsiaTheme="minorEastAsia" w:hAnsiTheme="minorEastAsia" w:hint="eastAsia"/>
          <w:sz w:val="24"/>
          <w:szCs w:val="24"/>
        </w:rPr>
        <w:t>募集</w:t>
      </w:r>
      <w:r w:rsidR="00236846" w:rsidRPr="0099191D">
        <w:rPr>
          <w:rFonts w:asciiTheme="minorEastAsia" w:eastAsiaTheme="minorEastAsia" w:hAnsiTheme="minorEastAsia" w:hint="eastAsia"/>
          <w:sz w:val="24"/>
          <w:szCs w:val="24"/>
        </w:rPr>
        <w:t>资金。</w:t>
      </w:r>
    </w:p>
    <w:p w:rsidR="00B31FB0" w:rsidRDefault="00FE2E08" w:rsidP="001E0BC6">
      <w:pPr>
        <w:spacing w:line="360" w:lineRule="auto"/>
        <w:ind w:firstLine="480"/>
        <w:rPr>
          <w:rFonts w:ascii="宋体" w:hAnsi="宋体"/>
          <w:sz w:val="24"/>
        </w:rPr>
      </w:pPr>
      <w:r>
        <w:rPr>
          <w:rFonts w:asciiTheme="minorEastAsia" w:eastAsiaTheme="minorEastAsia" w:hAnsiTheme="minorEastAsia" w:hint="eastAsia"/>
          <w:sz w:val="24"/>
        </w:rPr>
        <w:lastRenderedPageBreak/>
        <w:t>2、</w:t>
      </w:r>
      <w:r w:rsidR="00B31FB0">
        <w:rPr>
          <w:rFonts w:ascii="宋体" w:hAnsi="宋体"/>
          <w:sz w:val="24"/>
        </w:rPr>
        <w:t>经中国证券监督管理委员会证监许可[201</w:t>
      </w:r>
      <w:r w:rsidR="00B31FB0">
        <w:rPr>
          <w:rFonts w:ascii="宋体" w:hAnsi="宋体" w:hint="eastAsia"/>
          <w:sz w:val="24"/>
        </w:rPr>
        <w:t>5</w:t>
      </w:r>
      <w:r w:rsidR="00B31FB0">
        <w:rPr>
          <w:rFonts w:ascii="宋体" w:hAnsi="宋体"/>
          <w:sz w:val="24"/>
        </w:rPr>
        <w:t>] 2084号《</w:t>
      </w:r>
      <w:r w:rsidR="00B31FB0">
        <w:rPr>
          <w:rFonts w:ascii="宋体" w:hAnsi="宋体" w:hint="eastAsia"/>
          <w:sz w:val="24"/>
        </w:rPr>
        <w:t>关于核准江苏吴中实业股份有限公司非公开发行股票的批复</w:t>
      </w:r>
      <w:r w:rsidR="00B31FB0">
        <w:rPr>
          <w:rFonts w:ascii="宋体" w:hAnsi="宋体"/>
          <w:sz w:val="24"/>
        </w:rPr>
        <w:t>》核准，由</w:t>
      </w:r>
      <w:r w:rsidR="00B31FB0">
        <w:rPr>
          <w:rFonts w:ascii="宋体" w:hAnsi="宋体" w:hint="eastAsia"/>
          <w:sz w:val="24"/>
        </w:rPr>
        <w:t>江苏吴中</w:t>
      </w:r>
      <w:r w:rsidR="00B31FB0">
        <w:rPr>
          <w:rFonts w:ascii="宋体" w:hAnsi="宋体"/>
          <w:sz w:val="24"/>
        </w:rPr>
        <w:t>实业</w:t>
      </w:r>
      <w:r w:rsidR="00B31FB0">
        <w:rPr>
          <w:rFonts w:ascii="宋体" w:hAnsi="宋体" w:hint="eastAsia"/>
          <w:sz w:val="24"/>
        </w:rPr>
        <w:t>股份有限公司非公开发行</w:t>
      </w:r>
      <w:r w:rsidR="00B31FB0">
        <w:rPr>
          <w:rFonts w:ascii="宋体" w:hAnsi="宋体"/>
          <w:sz w:val="24"/>
        </w:rPr>
        <w:t>人民币普通股</w:t>
      </w:r>
      <w:r w:rsidR="00B31FB0">
        <w:rPr>
          <w:rFonts w:ascii="宋体" w:hAnsi="宋体" w:hint="eastAsia"/>
          <w:sz w:val="24"/>
        </w:rPr>
        <w:t>股票</w:t>
      </w:r>
      <w:r w:rsidR="00B31FB0">
        <w:rPr>
          <w:rFonts w:ascii="宋体" w:hAnsi="宋体"/>
          <w:sz w:val="24"/>
        </w:rPr>
        <w:t>41</w:t>
      </w:r>
      <w:r w:rsidR="00B31FB0">
        <w:rPr>
          <w:rFonts w:ascii="宋体" w:hAnsi="宋体" w:hint="eastAsia"/>
          <w:sz w:val="24"/>
        </w:rPr>
        <w:t>,046,070股</w:t>
      </w:r>
      <w:r w:rsidR="00B31FB0">
        <w:rPr>
          <w:rFonts w:ascii="宋体" w:hAnsi="宋体"/>
          <w:sz w:val="24"/>
        </w:rPr>
        <w:t>，每股发行价格</w:t>
      </w:r>
      <w:r w:rsidR="00B31FB0">
        <w:rPr>
          <w:rFonts w:ascii="宋体" w:hAnsi="宋体" w:hint="eastAsia"/>
          <w:sz w:val="24"/>
        </w:rPr>
        <w:t>12</w:t>
      </w:r>
      <w:r w:rsidR="00B31FB0">
        <w:rPr>
          <w:rFonts w:ascii="宋体" w:hAnsi="宋体"/>
          <w:sz w:val="24"/>
        </w:rPr>
        <w:t>.</w:t>
      </w:r>
      <w:r w:rsidR="00B31FB0">
        <w:rPr>
          <w:rFonts w:ascii="宋体" w:hAnsi="宋体" w:hint="eastAsia"/>
          <w:sz w:val="24"/>
        </w:rPr>
        <w:t>52</w:t>
      </w:r>
      <w:r w:rsidR="00B31FB0">
        <w:rPr>
          <w:rFonts w:ascii="宋体" w:hAnsi="宋体"/>
          <w:sz w:val="24"/>
        </w:rPr>
        <w:t>元。</w:t>
      </w:r>
    </w:p>
    <w:p w:rsidR="00B31FB0" w:rsidRDefault="00B31FB0" w:rsidP="001E0BC6">
      <w:pPr>
        <w:spacing w:line="360" w:lineRule="auto"/>
        <w:ind w:firstLine="480"/>
        <w:rPr>
          <w:rFonts w:ascii="宋体" w:hAnsi="宋体"/>
          <w:sz w:val="24"/>
        </w:rPr>
      </w:pPr>
      <w:r>
        <w:rPr>
          <w:rFonts w:ascii="宋体" w:hAnsi="宋体"/>
          <w:sz w:val="24"/>
        </w:rPr>
        <w:t>截至201</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29</w:t>
      </w:r>
      <w:r>
        <w:rPr>
          <w:rFonts w:ascii="宋体" w:hAnsi="宋体"/>
          <w:sz w:val="24"/>
        </w:rPr>
        <w:t>日，公司实际已向</w:t>
      </w:r>
      <w:r>
        <w:rPr>
          <w:rFonts w:ascii="宋体" w:hAnsi="宋体" w:hint="eastAsia"/>
          <w:sz w:val="24"/>
        </w:rPr>
        <w:t>6名投资者非公开</w:t>
      </w:r>
      <w:r>
        <w:rPr>
          <w:rFonts w:ascii="宋体" w:hAnsi="宋体"/>
          <w:sz w:val="24"/>
        </w:rPr>
        <w:t>发行人民币普通股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，募集资金总额513</w:t>
      </w:r>
      <w:r>
        <w:rPr>
          <w:rFonts w:ascii="宋体" w:hAnsi="宋体" w:hint="eastAsia"/>
          <w:sz w:val="24"/>
        </w:rPr>
        <w:t>,896,796.40元</w:t>
      </w:r>
      <w:r>
        <w:rPr>
          <w:rFonts w:ascii="宋体" w:hAnsi="宋体"/>
          <w:sz w:val="24"/>
        </w:rPr>
        <w:t>，扣除各项发行费后</w:t>
      </w:r>
      <w:r>
        <w:rPr>
          <w:rFonts w:ascii="宋体" w:hAnsi="宋体" w:hint="eastAsia"/>
          <w:sz w:val="24"/>
        </w:rPr>
        <w:t>，</w:t>
      </w:r>
      <w:r>
        <w:rPr>
          <w:rFonts w:ascii="宋体" w:hAnsi="宋体"/>
          <w:sz w:val="24"/>
        </w:rPr>
        <w:t>公司募集资金净额为人民币502,377,252.16元。上述资金到位情况已经立信会计师事务所（特殊普通合伙）验证，并由其</w:t>
      </w:r>
      <w:proofErr w:type="gramStart"/>
      <w:r>
        <w:rPr>
          <w:rFonts w:ascii="宋体" w:hAnsi="宋体"/>
          <w:sz w:val="24"/>
        </w:rPr>
        <w:t>出具信</w:t>
      </w:r>
      <w:proofErr w:type="gramEnd"/>
      <w:r>
        <w:rPr>
          <w:rFonts w:ascii="宋体" w:hAnsi="宋体"/>
          <w:sz w:val="24"/>
        </w:rPr>
        <w:t>会师报字[201</w:t>
      </w:r>
      <w:r>
        <w:rPr>
          <w:rFonts w:ascii="宋体" w:hAnsi="宋体" w:hint="eastAsia"/>
          <w:sz w:val="24"/>
        </w:rPr>
        <w:t>5</w:t>
      </w:r>
      <w:r>
        <w:rPr>
          <w:rFonts w:ascii="宋体" w:hAnsi="宋体"/>
          <w:sz w:val="24"/>
        </w:rPr>
        <w:t>]第115325号验资报告。公司对募集资金采取了专户存储制度。</w:t>
      </w:r>
    </w:p>
    <w:p w:rsidR="00FE2E08" w:rsidRDefault="00B31FB0" w:rsidP="001E0BC6">
      <w:pPr>
        <w:pStyle w:val="a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E03E9" w:rsidRPr="00BE03E9">
        <w:rPr>
          <w:rFonts w:asciiTheme="minorEastAsia" w:eastAsiaTheme="minorEastAsia" w:hAnsiTheme="minorEastAsia" w:hint="eastAsia"/>
          <w:sz w:val="24"/>
          <w:szCs w:val="24"/>
        </w:rPr>
        <w:t>前次募集资金进行现金管理的情况</w:t>
      </w:r>
      <w:bookmarkStart w:id="1" w:name="_GoBack"/>
      <w:bookmarkEnd w:id="1"/>
    </w:p>
    <w:p w:rsidR="001860DB" w:rsidRDefault="001860DB" w:rsidP="001860DB">
      <w:pPr>
        <w:pStyle w:val="a3"/>
        <w:spacing w:line="360" w:lineRule="auto"/>
        <w:ind w:firstLineChars="200" w:firstLine="480"/>
        <w:rPr>
          <w:rFonts w:asciiTheme="minorEastAsia" w:eastAsiaTheme="minorEastAsia" w:hAnsiTheme="minorEastAsia"/>
          <w:sz w:val="24"/>
          <w:szCs w:val="24"/>
        </w:rPr>
      </w:pPr>
      <w:r w:rsidRPr="001860DB">
        <w:rPr>
          <w:rFonts w:asciiTheme="minorEastAsia" w:eastAsiaTheme="minorEastAsia" w:hAnsiTheme="minorEastAsia" w:hint="eastAsia"/>
          <w:sz w:val="24"/>
          <w:szCs w:val="24"/>
        </w:rPr>
        <w:t>2018年8月20日</w:t>
      </w:r>
      <w:r>
        <w:rPr>
          <w:rFonts w:asciiTheme="minorEastAsia" w:eastAsiaTheme="minorEastAsia" w:hAnsiTheme="minorEastAsia" w:hint="eastAsia"/>
          <w:sz w:val="24"/>
          <w:szCs w:val="24"/>
        </w:rPr>
        <w:t>，公司</w:t>
      </w:r>
      <w:r w:rsidRPr="001860DB">
        <w:rPr>
          <w:rFonts w:asciiTheme="minorEastAsia" w:eastAsiaTheme="minorEastAsia" w:hAnsiTheme="minorEastAsia" w:hint="eastAsia"/>
          <w:sz w:val="24"/>
          <w:szCs w:val="24"/>
        </w:rPr>
        <w:t>召开</w:t>
      </w:r>
      <w:r>
        <w:rPr>
          <w:rFonts w:asciiTheme="minorEastAsia" w:eastAsiaTheme="minorEastAsia" w:hAnsiTheme="minorEastAsia" w:hint="eastAsia"/>
          <w:sz w:val="24"/>
          <w:szCs w:val="24"/>
        </w:rPr>
        <w:t>了</w:t>
      </w:r>
      <w:r w:rsidRPr="001860DB">
        <w:rPr>
          <w:rFonts w:asciiTheme="minorEastAsia" w:eastAsiaTheme="minorEastAsia" w:hAnsiTheme="minorEastAsia" w:hint="eastAsia"/>
          <w:sz w:val="24"/>
          <w:szCs w:val="24"/>
        </w:rPr>
        <w:t>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在上述额度内，资金可以在12个月内滚动使用。</w:t>
      </w:r>
      <w:r w:rsidRPr="00BE03E9">
        <w:rPr>
          <w:rFonts w:asciiTheme="minorEastAsia" w:eastAsiaTheme="minorEastAsia" w:hAnsiTheme="minorEastAsia" w:hint="eastAsia"/>
          <w:sz w:val="24"/>
          <w:szCs w:val="24"/>
        </w:rPr>
        <w:t>公司独立董事、</w:t>
      </w:r>
      <w:r>
        <w:rPr>
          <w:rFonts w:asciiTheme="minorEastAsia" w:eastAsiaTheme="minorEastAsia" w:hAnsiTheme="minorEastAsia" w:hint="eastAsia"/>
          <w:sz w:val="24"/>
          <w:szCs w:val="24"/>
        </w:rPr>
        <w:t>监事会及</w:t>
      </w:r>
      <w:r w:rsidRPr="00BE03E9">
        <w:rPr>
          <w:rFonts w:asciiTheme="minorEastAsia" w:eastAsiaTheme="minorEastAsia" w:hAnsiTheme="minorEastAsia" w:hint="eastAsia"/>
          <w:sz w:val="24"/>
          <w:szCs w:val="24"/>
        </w:rPr>
        <w:t>保荐机构均对该议案发表了明确的同意意见</w:t>
      </w:r>
      <w:r>
        <w:rPr>
          <w:rFonts w:asciiTheme="minorEastAsia" w:eastAsiaTheme="minorEastAsia" w:hAnsiTheme="minorEastAsia" w:hint="eastAsia"/>
          <w:sz w:val="24"/>
          <w:szCs w:val="24"/>
        </w:rPr>
        <w:t>。（</w:t>
      </w:r>
      <w:r w:rsidRPr="00BE03E9">
        <w:rPr>
          <w:rFonts w:asciiTheme="minorEastAsia" w:eastAsiaTheme="minorEastAsia" w:hAnsiTheme="minorEastAsia" w:hint="eastAsia"/>
          <w:sz w:val="24"/>
          <w:szCs w:val="24"/>
        </w:rPr>
        <w:t>具体见公司于20</w:t>
      </w:r>
      <w:r>
        <w:rPr>
          <w:rFonts w:asciiTheme="minorEastAsia" w:eastAsiaTheme="minorEastAsia" w:hAnsiTheme="minorEastAsia" w:hint="eastAsia"/>
          <w:sz w:val="24"/>
          <w:szCs w:val="24"/>
        </w:rPr>
        <w:t>18</w:t>
      </w:r>
      <w:r w:rsidRPr="00BE03E9">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8</w:t>
      </w:r>
      <w:r w:rsidRPr="00BE03E9">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22</w:t>
      </w:r>
      <w:r w:rsidRPr="00BE03E9">
        <w:rPr>
          <w:rFonts w:asciiTheme="minorEastAsia" w:eastAsiaTheme="minorEastAsia" w:hAnsiTheme="minorEastAsia" w:hint="eastAsia"/>
          <w:sz w:val="24"/>
          <w:szCs w:val="24"/>
        </w:rPr>
        <w:t>日在《中国证券报》、《上海证券报》及上海证券交易所网站上披露的相关</w:t>
      </w:r>
      <w:r w:rsidRPr="00EA4E67">
        <w:rPr>
          <w:rFonts w:asciiTheme="minorEastAsia" w:eastAsiaTheme="minorEastAsia" w:hAnsiTheme="minorEastAsia" w:hint="eastAsia"/>
          <w:sz w:val="24"/>
          <w:szCs w:val="24"/>
        </w:rPr>
        <w:t>公告）</w:t>
      </w:r>
    </w:p>
    <w:p w:rsidR="00FE2E08" w:rsidRPr="00EA4E67" w:rsidRDefault="00BE03E9" w:rsidP="001E0BC6">
      <w:pPr>
        <w:pStyle w:val="a3"/>
        <w:spacing w:line="360" w:lineRule="auto"/>
        <w:ind w:firstLineChars="200" w:firstLine="480"/>
        <w:rPr>
          <w:rFonts w:asciiTheme="minorEastAsia" w:eastAsiaTheme="minorEastAsia" w:hAnsiTheme="minorEastAsia"/>
          <w:sz w:val="24"/>
          <w:szCs w:val="24"/>
        </w:rPr>
      </w:pPr>
      <w:r w:rsidRPr="00BE03E9">
        <w:rPr>
          <w:rFonts w:asciiTheme="minorEastAsia" w:eastAsiaTheme="minorEastAsia" w:hAnsiTheme="minorEastAsia" w:hint="eastAsia"/>
          <w:sz w:val="24"/>
          <w:szCs w:val="24"/>
        </w:rPr>
        <w:t>2019年6月28日</w:t>
      </w:r>
      <w:r>
        <w:rPr>
          <w:rFonts w:asciiTheme="minorEastAsia" w:eastAsiaTheme="minorEastAsia" w:hAnsiTheme="minorEastAsia" w:hint="eastAsia"/>
          <w:sz w:val="24"/>
          <w:szCs w:val="24"/>
        </w:rPr>
        <w:t>，公司</w:t>
      </w:r>
      <w:r w:rsidRPr="00BE03E9">
        <w:rPr>
          <w:rFonts w:asciiTheme="minorEastAsia" w:eastAsiaTheme="minorEastAsia" w:hAnsiTheme="minorEastAsia" w:hint="eastAsia"/>
          <w:sz w:val="24"/>
          <w:szCs w:val="24"/>
        </w:rPr>
        <w:t>召开</w:t>
      </w:r>
      <w:r>
        <w:rPr>
          <w:rFonts w:asciiTheme="minorEastAsia" w:eastAsiaTheme="minorEastAsia" w:hAnsiTheme="minorEastAsia" w:hint="eastAsia"/>
          <w:sz w:val="24"/>
          <w:szCs w:val="24"/>
        </w:rPr>
        <w:t>了</w:t>
      </w:r>
      <w:r w:rsidRPr="00BE03E9">
        <w:rPr>
          <w:rFonts w:asciiTheme="minorEastAsia" w:eastAsiaTheme="minorEastAsia" w:hAnsiTheme="minorEastAsia" w:hint="eastAsia"/>
          <w:sz w:val="24"/>
          <w:szCs w:val="24"/>
        </w:rPr>
        <w:t>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在上述额度内，资金可以在12个月内滚动使用。公司独立董事、</w:t>
      </w:r>
      <w:r>
        <w:rPr>
          <w:rFonts w:asciiTheme="minorEastAsia" w:eastAsiaTheme="minorEastAsia" w:hAnsiTheme="minorEastAsia" w:hint="eastAsia"/>
          <w:sz w:val="24"/>
          <w:szCs w:val="24"/>
        </w:rPr>
        <w:t>监事会及</w:t>
      </w:r>
      <w:r w:rsidRPr="00BE03E9">
        <w:rPr>
          <w:rFonts w:asciiTheme="minorEastAsia" w:eastAsiaTheme="minorEastAsia" w:hAnsiTheme="minorEastAsia" w:hint="eastAsia"/>
          <w:sz w:val="24"/>
          <w:szCs w:val="24"/>
        </w:rPr>
        <w:t>保荐机构均对该议案发表了明确的同意意见</w:t>
      </w:r>
      <w:r>
        <w:rPr>
          <w:rFonts w:asciiTheme="minorEastAsia" w:eastAsiaTheme="minorEastAsia" w:hAnsiTheme="minorEastAsia" w:hint="eastAsia"/>
          <w:sz w:val="24"/>
          <w:szCs w:val="24"/>
        </w:rPr>
        <w:t>。（</w:t>
      </w:r>
      <w:r w:rsidRPr="00BE03E9">
        <w:rPr>
          <w:rFonts w:asciiTheme="minorEastAsia" w:eastAsiaTheme="minorEastAsia" w:hAnsiTheme="minorEastAsia" w:hint="eastAsia"/>
          <w:sz w:val="24"/>
          <w:szCs w:val="24"/>
        </w:rPr>
        <w:t>具体见公司于2019年</w:t>
      </w:r>
      <w:r>
        <w:rPr>
          <w:rFonts w:asciiTheme="minorEastAsia" w:eastAsiaTheme="minorEastAsia" w:hAnsiTheme="minorEastAsia" w:hint="eastAsia"/>
          <w:sz w:val="24"/>
          <w:szCs w:val="24"/>
        </w:rPr>
        <w:t>6</w:t>
      </w:r>
      <w:r w:rsidRPr="00BE03E9">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29</w:t>
      </w:r>
      <w:r w:rsidRPr="00BE03E9">
        <w:rPr>
          <w:rFonts w:asciiTheme="minorEastAsia" w:eastAsiaTheme="minorEastAsia" w:hAnsiTheme="minorEastAsia" w:hint="eastAsia"/>
          <w:sz w:val="24"/>
          <w:szCs w:val="24"/>
        </w:rPr>
        <w:t>日在《中国证券报》、《上海证券报》及上海证券交易所网站上披露的相关</w:t>
      </w:r>
      <w:r w:rsidRPr="00EA4E67">
        <w:rPr>
          <w:rFonts w:asciiTheme="minorEastAsia" w:eastAsiaTheme="minorEastAsia" w:hAnsiTheme="minorEastAsia" w:hint="eastAsia"/>
          <w:sz w:val="24"/>
          <w:szCs w:val="24"/>
        </w:rPr>
        <w:t>公告）</w:t>
      </w:r>
    </w:p>
    <w:p w:rsidR="00FE2E08" w:rsidRPr="001245CF" w:rsidRDefault="00762A6B" w:rsidP="00B52102">
      <w:pPr>
        <w:spacing w:line="396" w:lineRule="auto"/>
        <w:ind w:firstLine="480"/>
        <w:rPr>
          <w:rFonts w:asciiTheme="minorEastAsia" w:eastAsiaTheme="minorEastAsia" w:hAnsiTheme="minorEastAsia"/>
          <w:sz w:val="24"/>
          <w:highlight w:val="yellow"/>
        </w:rPr>
      </w:pPr>
      <w:r w:rsidRPr="00762A6B">
        <w:rPr>
          <w:rFonts w:asciiTheme="minorEastAsia" w:eastAsiaTheme="minorEastAsia" w:hAnsiTheme="minorEastAsia" w:hint="eastAsia"/>
          <w:sz w:val="24"/>
        </w:rPr>
        <w:t>截至2020年4月27日，公司已累计使用募集资金401,862,008.33元，尚未使用的募集资金余额为118,425,648.92元（含利息收入扣除银行手续费加已购买未到期理财产品的净额），其中闲置募集资金购买未到期理财产品的净额40,000,000.00元。</w:t>
      </w:r>
    </w:p>
    <w:p w:rsidR="00DF72BE" w:rsidRPr="00EA4E67" w:rsidRDefault="00236846">
      <w:pPr>
        <w:pStyle w:val="a3"/>
        <w:spacing w:line="360" w:lineRule="auto"/>
        <w:ind w:firstLineChars="200" w:firstLine="480"/>
        <w:rPr>
          <w:rFonts w:ascii="宋体" w:hAnsi="宋体"/>
          <w:sz w:val="24"/>
        </w:rPr>
      </w:pPr>
      <w:r w:rsidRPr="00EA4E67">
        <w:rPr>
          <w:rFonts w:ascii="宋体" w:hAnsi="宋体" w:hint="eastAsia"/>
          <w:sz w:val="24"/>
        </w:rPr>
        <w:lastRenderedPageBreak/>
        <w:t>（三）现金管理品种</w:t>
      </w:r>
    </w:p>
    <w:p w:rsidR="00DF72BE" w:rsidRPr="00EA4E67" w:rsidRDefault="00236846">
      <w:pPr>
        <w:pStyle w:val="a3"/>
        <w:spacing w:line="360" w:lineRule="auto"/>
        <w:ind w:firstLineChars="200" w:firstLine="480"/>
        <w:rPr>
          <w:rFonts w:ascii="宋体" w:hAnsi="宋体"/>
          <w:sz w:val="24"/>
        </w:rPr>
      </w:pPr>
      <w:r w:rsidRPr="00EA4E67">
        <w:rPr>
          <w:rFonts w:ascii="宋体" w:hAnsi="宋体" w:hint="eastAsia"/>
          <w:sz w:val="24"/>
        </w:rPr>
        <w:t>为控制风险，现金管理产品</w:t>
      </w:r>
      <w:r w:rsidR="00E34C0D" w:rsidRPr="00EA4E67">
        <w:rPr>
          <w:rFonts w:ascii="宋体" w:hAnsi="宋体" w:hint="eastAsia"/>
          <w:sz w:val="24"/>
        </w:rPr>
        <w:t>仅限于安全性高、满足保本要求且流动性好、不影响募集资金投资计划正常进行的投资产品，包括结构性存款以及低风险、有保本约定的理财产品</w:t>
      </w:r>
      <w:r w:rsidRPr="00EA4E67">
        <w:rPr>
          <w:rFonts w:ascii="宋体" w:hAnsi="宋体" w:hint="eastAsia"/>
          <w:sz w:val="24"/>
        </w:rPr>
        <w:t>。公司进行结构性存款或购买理财产品不得与发行主体存在关联关系。</w:t>
      </w:r>
      <w:r w:rsidR="00BE02AE" w:rsidRPr="00EA4E67">
        <w:rPr>
          <w:rFonts w:ascii="宋体" w:hAnsi="宋体" w:hint="eastAsia"/>
          <w:sz w:val="24"/>
        </w:rPr>
        <w:t>公司使用闲置募集资金不存在变相改变募集资金用途的行为，不影响</w:t>
      </w:r>
      <w:proofErr w:type="gramStart"/>
      <w:r w:rsidR="00BE02AE" w:rsidRPr="00EA4E67">
        <w:rPr>
          <w:rFonts w:ascii="宋体" w:hAnsi="宋体" w:hint="eastAsia"/>
          <w:sz w:val="24"/>
        </w:rPr>
        <w:t>募投项目</w:t>
      </w:r>
      <w:proofErr w:type="gramEnd"/>
      <w:r w:rsidR="00BE02AE" w:rsidRPr="00EA4E67">
        <w:rPr>
          <w:rFonts w:ascii="宋体" w:hAnsi="宋体" w:hint="eastAsia"/>
          <w:sz w:val="24"/>
        </w:rPr>
        <w:t>正常进行。</w:t>
      </w:r>
    </w:p>
    <w:p w:rsidR="00DF72BE" w:rsidRPr="00EA4E67" w:rsidRDefault="00236846">
      <w:pPr>
        <w:pStyle w:val="a3"/>
        <w:spacing w:line="360" w:lineRule="auto"/>
        <w:ind w:firstLineChars="200" w:firstLine="480"/>
        <w:rPr>
          <w:rFonts w:ascii="宋体" w:hAnsi="宋体"/>
          <w:sz w:val="24"/>
        </w:rPr>
      </w:pPr>
      <w:r w:rsidRPr="00EA4E67">
        <w:rPr>
          <w:rFonts w:ascii="宋体" w:hAnsi="宋体" w:hint="eastAsia"/>
          <w:sz w:val="24"/>
        </w:rPr>
        <w:t>（四）现金管理额度及有效期</w:t>
      </w:r>
    </w:p>
    <w:p w:rsidR="00DF72BE" w:rsidRPr="00EA4E67" w:rsidRDefault="0099191D">
      <w:pPr>
        <w:pStyle w:val="a3"/>
        <w:spacing w:line="360" w:lineRule="auto"/>
        <w:ind w:firstLineChars="200" w:firstLine="480"/>
        <w:rPr>
          <w:rFonts w:ascii="宋体" w:hAnsi="宋体"/>
          <w:sz w:val="24"/>
        </w:rPr>
      </w:pPr>
      <w:r w:rsidRPr="00EA4E67">
        <w:rPr>
          <w:rFonts w:ascii="宋体" w:hAnsi="宋体" w:hint="eastAsia"/>
          <w:sz w:val="24"/>
        </w:rPr>
        <w:t>公司拟使用</w:t>
      </w:r>
      <w:r w:rsidR="001256C0" w:rsidRPr="00EA4E67">
        <w:rPr>
          <w:rFonts w:ascii="宋体" w:hAnsi="宋体"/>
          <w:sz w:val="24"/>
        </w:rPr>
        <w:t>总额不超过人民币</w:t>
      </w:r>
      <w:r w:rsidR="001256C0" w:rsidRPr="00EA4E67">
        <w:rPr>
          <w:rFonts w:ascii="宋体" w:hAnsi="宋体" w:hint="eastAsia"/>
          <w:sz w:val="24"/>
        </w:rPr>
        <w:t>4,000万元</w:t>
      </w:r>
      <w:r w:rsidR="001256C0" w:rsidRPr="00EA4E67">
        <w:rPr>
          <w:rFonts w:ascii="宋体" w:hAnsi="宋体"/>
          <w:sz w:val="24"/>
        </w:rPr>
        <w:t>的闲置募集资金进行现金管理</w:t>
      </w:r>
      <w:r w:rsidR="00236846" w:rsidRPr="00EA4E67">
        <w:rPr>
          <w:rFonts w:ascii="宋体" w:hAnsi="宋体" w:hint="eastAsia"/>
          <w:sz w:val="24"/>
        </w:rPr>
        <w:t>，在上述额度及决议有效期内，资金可以循环滚动使用。有效期自公司第九届董事会</w:t>
      </w:r>
      <w:r w:rsidR="001256C0" w:rsidRPr="00EA4E67">
        <w:rPr>
          <w:rFonts w:ascii="宋体" w:hAnsi="宋体" w:hint="eastAsia"/>
          <w:sz w:val="24"/>
        </w:rPr>
        <w:t>第九次</w:t>
      </w:r>
      <w:r w:rsidR="00236846" w:rsidRPr="00EA4E67">
        <w:rPr>
          <w:rFonts w:ascii="宋体" w:hAnsi="宋体" w:hint="eastAsia"/>
          <w:sz w:val="24"/>
        </w:rPr>
        <w:t>会议（通讯表决）审议通过之日起一年之内有效。</w:t>
      </w:r>
    </w:p>
    <w:p w:rsidR="00DF72BE" w:rsidRPr="00EA4E67" w:rsidRDefault="00236846">
      <w:pPr>
        <w:pStyle w:val="a3"/>
        <w:spacing w:line="360" w:lineRule="auto"/>
        <w:ind w:firstLineChars="200" w:firstLine="480"/>
        <w:rPr>
          <w:rFonts w:ascii="宋体" w:hAnsi="宋体"/>
          <w:sz w:val="24"/>
        </w:rPr>
      </w:pPr>
      <w:r w:rsidRPr="00EA4E67">
        <w:rPr>
          <w:rFonts w:ascii="宋体" w:hAnsi="宋体" w:hint="eastAsia"/>
          <w:sz w:val="24"/>
        </w:rPr>
        <w:t>（五）实施方式</w:t>
      </w:r>
    </w:p>
    <w:p w:rsidR="00DF72BE" w:rsidRPr="00EA4E67" w:rsidRDefault="00236846">
      <w:pPr>
        <w:pStyle w:val="a3"/>
        <w:spacing w:line="360" w:lineRule="auto"/>
        <w:ind w:firstLineChars="200" w:firstLine="480"/>
        <w:rPr>
          <w:rFonts w:ascii="宋体" w:hAnsi="宋体"/>
          <w:sz w:val="24"/>
        </w:rPr>
      </w:pPr>
      <w:r w:rsidRPr="00EA4E67">
        <w:rPr>
          <w:rFonts w:ascii="宋体" w:hAnsi="宋体" w:hint="eastAsia"/>
          <w:sz w:val="24"/>
        </w:rPr>
        <w:t>在额度范围内公司董事会授权公司管理层行使该项投资决策权并签署相关合同文件，具体事项由公司资金管理中心负责组织实施。公司将按照《上海证券交易所股票上市规则》等相关法律法规要求及时披露公司现金管理的具体情况。</w:t>
      </w:r>
    </w:p>
    <w:p w:rsidR="00DF72BE" w:rsidRPr="00EA4E67" w:rsidRDefault="00236846">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（六）公司对现金管理相关风险的内部控制</w:t>
      </w:r>
    </w:p>
    <w:p w:rsidR="00DF72BE" w:rsidRPr="00EA4E67" w:rsidRDefault="00236846">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公司进行结构性存款</w:t>
      </w:r>
      <w:r w:rsidR="00E34C0D" w:rsidRPr="00EA4E67">
        <w:rPr>
          <w:rFonts w:ascii="宋体" w:hAnsi="宋体" w:hint="eastAsia"/>
          <w:sz w:val="24"/>
          <w:szCs w:val="20"/>
        </w:rPr>
        <w:t>及购买低风险、有保本约定的理财产品</w:t>
      </w:r>
      <w:r w:rsidRPr="00EA4E67">
        <w:rPr>
          <w:rFonts w:ascii="宋体" w:hAnsi="宋体" w:hint="eastAsia"/>
          <w:sz w:val="24"/>
          <w:szCs w:val="20"/>
        </w:rPr>
        <w:t>，风险可控，符合公司内部资金管理的要求。公司按照决策、执行、监督职</w:t>
      </w:r>
      <w:r w:rsidRPr="00EA4E67">
        <w:rPr>
          <w:rFonts w:asciiTheme="minorEastAsia" w:eastAsiaTheme="minorEastAsia" w:hAnsiTheme="minorEastAsia" w:cs="宋体" w:hint="eastAsia"/>
          <w:color w:val="000000"/>
          <w:kern w:val="0"/>
          <w:sz w:val="24"/>
        </w:rPr>
        <w:t xml:space="preserve">能相分离的原则建立健全相关投资的审批和执行程序，确保资金安全。拟采取的具体措施如下： </w:t>
      </w:r>
    </w:p>
    <w:p w:rsidR="00DF72BE" w:rsidRPr="00EA4E67" w:rsidRDefault="00236846">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1、公司将根据</w:t>
      </w:r>
      <w:proofErr w:type="gramStart"/>
      <w:r w:rsidR="00B11221" w:rsidRPr="00EA4E67">
        <w:rPr>
          <w:rFonts w:ascii="宋体" w:hAnsi="宋体"/>
          <w:sz w:val="24"/>
        </w:rPr>
        <w:t>募投项目</w:t>
      </w:r>
      <w:proofErr w:type="gramEnd"/>
      <w:r w:rsidR="00B11221" w:rsidRPr="00EA4E67">
        <w:rPr>
          <w:rFonts w:ascii="宋体" w:hAnsi="宋体"/>
          <w:sz w:val="24"/>
        </w:rPr>
        <w:t>进度安排和资金投入计划</w:t>
      </w:r>
      <w:r w:rsidRPr="00EA4E67">
        <w:rPr>
          <w:rFonts w:asciiTheme="minorEastAsia" w:eastAsiaTheme="minorEastAsia" w:hAnsiTheme="minorEastAsia" w:cs="宋体" w:hint="eastAsia"/>
          <w:color w:val="000000"/>
          <w:kern w:val="0"/>
          <w:sz w:val="24"/>
        </w:rPr>
        <w:t>，选择相适应的理财产品种类和期限，</w:t>
      </w:r>
      <w:r w:rsidR="00B11221" w:rsidRPr="00EA4E67">
        <w:rPr>
          <w:rFonts w:ascii="宋体" w:hAnsi="宋体"/>
          <w:sz w:val="24"/>
        </w:rPr>
        <w:t>确保不影响募集资金投资项目正常进行</w:t>
      </w:r>
      <w:r w:rsidRPr="00EA4E67">
        <w:rPr>
          <w:rFonts w:asciiTheme="minorEastAsia" w:eastAsiaTheme="minorEastAsia" w:hAnsiTheme="minorEastAsia" w:cs="宋体" w:hint="eastAsia"/>
          <w:color w:val="000000"/>
          <w:kern w:val="0"/>
          <w:sz w:val="24"/>
        </w:rPr>
        <w:t>。</w:t>
      </w:r>
    </w:p>
    <w:p w:rsidR="00DF72BE" w:rsidRPr="00EA4E67" w:rsidRDefault="00236846">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2、公司资金管理中心需进行事前审核与评估风险，及时</w:t>
      </w:r>
      <w:r w:rsidR="00F6740A" w:rsidRPr="00EA4E67">
        <w:rPr>
          <w:rFonts w:asciiTheme="minorEastAsia" w:eastAsiaTheme="minorEastAsia" w:hAnsiTheme="minorEastAsia" w:cs="宋体" w:hint="eastAsia"/>
          <w:color w:val="000000"/>
          <w:kern w:val="0"/>
          <w:sz w:val="24"/>
        </w:rPr>
        <w:t>跟踪</w:t>
      </w:r>
      <w:r w:rsidRPr="00EA4E67">
        <w:rPr>
          <w:rFonts w:asciiTheme="minorEastAsia" w:eastAsiaTheme="minorEastAsia" w:hAnsiTheme="minorEastAsia" w:cs="宋体" w:hint="eastAsia"/>
          <w:color w:val="000000"/>
          <w:kern w:val="0"/>
          <w:sz w:val="24"/>
        </w:rPr>
        <w:t>理财产品的进展，分析理财产品投向、项目进展情况，如评估发现存在可能影响公司资金安全的风险因素，将及时采取相应的措施，控制投资风险。</w:t>
      </w:r>
    </w:p>
    <w:p w:rsidR="00DF72BE" w:rsidRPr="00EA4E67" w:rsidRDefault="00236846">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3、独立董事、监事会有权</w:t>
      </w:r>
      <w:r w:rsidR="0099191D" w:rsidRPr="00EA4E67">
        <w:rPr>
          <w:rFonts w:asciiTheme="minorEastAsia" w:eastAsiaTheme="minorEastAsia" w:hAnsiTheme="minorEastAsia" w:cs="宋体" w:hint="eastAsia"/>
          <w:color w:val="000000"/>
          <w:kern w:val="0"/>
          <w:sz w:val="24"/>
        </w:rPr>
        <w:t>对资金使用情况进行监督与检查，必要时可以聘请专业机构进行审计。</w:t>
      </w:r>
    </w:p>
    <w:p w:rsidR="00F268D5" w:rsidRPr="00EA4E67" w:rsidRDefault="00F268D5">
      <w:pPr>
        <w:widowControl/>
        <w:spacing w:line="360" w:lineRule="auto"/>
        <w:ind w:firstLineChars="200" w:firstLine="480"/>
        <w:rPr>
          <w:rFonts w:asciiTheme="minorEastAsia" w:eastAsiaTheme="minorEastAsia" w:hAnsiTheme="minorEastAsia" w:cs="宋体"/>
          <w:color w:val="000000"/>
          <w:kern w:val="0"/>
          <w:sz w:val="24"/>
        </w:rPr>
      </w:pPr>
    </w:p>
    <w:p w:rsidR="00DF72BE" w:rsidRPr="00EA4E67" w:rsidRDefault="00236846">
      <w:pPr>
        <w:widowControl/>
        <w:spacing w:line="360" w:lineRule="auto"/>
        <w:ind w:firstLineChars="200" w:firstLine="482"/>
        <w:rPr>
          <w:rFonts w:asciiTheme="minorEastAsia" w:eastAsiaTheme="minorEastAsia" w:hAnsiTheme="minorEastAsia" w:cs="宋体"/>
          <w:b/>
          <w:color w:val="000000"/>
          <w:kern w:val="0"/>
          <w:sz w:val="24"/>
        </w:rPr>
      </w:pPr>
      <w:r w:rsidRPr="00EA4E67">
        <w:rPr>
          <w:rFonts w:asciiTheme="minorEastAsia" w:eastAsiaTheme="minorEastAsia" w:hAnsiTheme="minorEastAsia" w:cs="宋体" w:hint="eastAsia"/>
          <w:b/>
          <w:color w:val="000000"/>
          <w:kern w:val="0"/>
          <w:sz w:val="24"/>
        </w:rPr>
        <w:t>二、对公司的影响</w:t>
      </w:r>
    </w:p>
    <w:p w:rsidR="0099191D" w:rsidRPr="00EA4E67" w:rsidRDefault="00690B05" w:rsidP="0099191D">
      <w:pPr>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公司目前涉足医药、化工行业。公司 201</w:t>
      </w:r>
      <w:r w:rsidR="00B11221" w:rsidRPr="00EA4E67">
        <w:rPr>
          <w:rFonts w:asciiTheme="minorEastAsia" w:eastAsiaTheme="minorEastAsia" w:hAnsiTheme="minorEastAsia" w:cs="宋体" w:hint="eastAsia"/>
          <w:color w:val="000000"/>
          <w:kern w:val="0"/>
          <w:sz w:val="24"/>
        </w:rPr>
        <w:t>9</w:t>
      </w:r>
      <w:r w:rsidRPr="00EA4E67">
        <w:rPr>
          <w:rFonts w:asciiTheme="minorEastAsia" w:eastAsiaTheme="minorEastAsia" w:hAnsiTheme="minorEastAsia" w:cs="宋体" w:hint="eastAsia"/>
          <w:color w:val="000000"/>
          <w:kern w:val="0"/>
          <w:sz w:val="24"/>
        </w:rPr>
        <w:t>年度及 20</w:t>
      </w:r>
      <w:r w:rsidR="00B11221" w:rsidRPr="00EA4E67">
        <w:rPr>
          <w:rFonts w:asciiTheme="minorEastAsia" w:eastAsiaTheme="minorEastAsia" w:hAnsiTheme="minorEastAsia" w:cs="宋体" w:hint="eastAsia"/>
          <w:color w:val="000000"/>
          <w:kern w:val="0"/>
          <w:sz w:val="24"/>
        </w:rPr>
        <w:t>20</w:t>
      </w:r>
      <w:r w:rsidRPr="00EA4E67">
        <w:rPr>
          <w:rFonts w:asciiTheme="minorEastAsia" w:eastAsiaTheme="minorEastAsia" w:hAnsiTheme="minorEastAsia" w:cs="宋体" w:hint="eastAsia"/>
          <w:color w:val="000000"/>
          <w:kern w:val="0"/>
          <w:sz w:val="24"/>
        </w:rPr>
        <w:t xml:space="preserve"> 年 1-</w:t>
      </w:r>
      <w:r w:rsidR="00B11221" w:rsidRPr="00EA4E67">
        <w:rPr>
          <w:rFonts w:asciiTheme="minorEastAsia" w:eastAsiaTheme="minorEastAsia" w:hAnsiTheme="minorEastAsia" w:cs="宋体" w:hint="eastAsia"/>
          <w:color w:val="000000"/>
          <w:kern w:val="0"/>
          <w:sz w:val="24"/>
        </w:rPr>
        <w:t>3</w:t>
      </w:r>
      <w:r w:rsidRPr="00EA4E67">
        <w:rPr>
          <w:rFonts w:asciiTheme="minorEastAsia" w:eastAsiaTheme="minorEastAsia" w:hAnsiTheme="minorEastAsia" w:cs="宋体" w:hint="eastAsia"/>
          <w:color w:val="000000"/>
          <w:kern w:val="0"/>
          <w:sz w:val="24"/>
        </w:rPr>
        <w:t xml:space="preserve"> 月份的基</w:t>
      </w:r>
      <w:r w:rsidRPr="00EA4E67">
        <w:rPr>
          <w:rFonts w:asciiTheme="minorEastAsia" w:eastAsiaTheme="minorEastAsia" w:hAnsiTheme="minorEastAsia" w:cs="宋体" w:hint="eastAsia"/>
          <w:color w:val="000000"/>
          <w:kern w:val="0"/>
          <w:sz w:val="24"/>
        </w:rPr>
        <w:lastRenderedPageBreak/>
        <w:t>本财务指标如下表：</w:t>
      </w:r>
    </w:p>
    <w:p w:rsidR="00690B05" w:rsidRPr="00EA4E67" w:rsidRDefault="00690B05" w:rsidP="0099191D">
      <w:pPr>
        <w:spacing w:line="360" w:lineRule="auto"/>
        <w:jc w:val="right"/>
        <w:rPr>
          <w:rFonts w:asciiTheme="minorEastAsia" w:eastAsiaTheme="minorEastAsia" w:hAnsiTheme="minorEastAsia" w:cs="宋体"/>
          <w:color w:val="000000"/>
          <w:kern w:val="0"/>
          <w:szCs w:val="21"/>
        </w:rPr>
      </w:pPr>
      <w:r w:rsidRPr="00EA4E67">
        <w:rPr>
          <w:rFonts w:asciiTheme="minorEastAsia" w:eastAsiaTheme="minorEastAsia" w:hAnsiTheme="minorEastAsia" w:cs="宋体" w:hint="eastAsia"/>
          <w:color w:val="000000"/>
          <w:kern w:val="0"/>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3359"/>
        <w:gridCol w:w="2925"/>
      </w:tblGrid>
      <w:tr w:rsidR="00EA4E67" w:rsidRPr="00A31887" w:rsidTr="00B530F2">
        <w:trPr>
          <w:trHeight w:val="270"/>
        </w:trPr>
        <w:tc>
          <w:tcPr>
            <w:tcW w:w="1313" w:type="pct"/>
            <w:shd w:val="clear" w:color="auto" w:fill="auto"/>
            <w:noWrap/>
            <w:vAlign w:val="center"/>
            <w:hideMark/>
          </w:tcPr>
          <w:p w:rsidR="00EA4E67" w:rsidRPr="00A31887" w:rsidRDefault="00EA4E67" w:rsidP="00B530F2">
            <w:pPr>
              <w:jc w:val="center"/>
              <w:rPr>
                <w:rFonts w:asciiTheme="minorEastAsia" w:eastAsiaTheme="minorEastAsia" w:hAnsiTheme="minorEastAsia" w:cs="宋体"/>
                <w:b/>
                <w:szCs w:val="21"/>
              </w:rPr>
            </w:pPr>
            <w:r w:rsidRPr="00A31887">
              <w:rPr>
                <w:rFonts w:asciiTheme="minorEastAsia" w:eastAsiaTheme="minorEastAsia" w:hAnsiTheme="minorEastAsia" w:cs="宋体" w:hint="eastAsia"/>
                <w:b/>
                <w:szCs w:val="21"/>
              </w:rPr>
              <w:t>项目</w:t>
            </w:r>
          </w:p>
        </w:tc>
        <w:tc>
          <w:tcPr>
            <w:tcW w:w="1971" w:type="pct"/>
            <w:shd w:val="clear" w:color="auto" w:fill="auto"/>
            <w:noWrap/>
            <w:vAlign w:val="center"/>
            <w:hideMark/>
          </w:tcPr>
          <w:p w:rsidR="00EA4E67" w:rsidRPr="00A31887" w:rsidRDefault="00EA4E67" w:rsidP="00B530F2">
            <w:pPr>
              <w:jc w:val="right"/>
              <w:rPr>
                <w:rFonts w:asciiTheme="minorEastAsia" w:eastAsiaTheme="minorEastAsia" w:hAnsiTheme="minorEastAsia" w:cs="宋体"/>
                <w:b/>
                <w:szCs w:val="21"/>
              </w:rPr>
            </w:pPr>
            <w:r w:rsidRPr="00A31887">
              <w:rPr>
                <w:rFonts w:asciiTheme="minorEastAsia" w:eastAsiaTheme="minorEastAsia" w:hAnsiTheme="minorEastAsia" w:cs="宋体" w:hint="eastAsia"/>
                <w:b/>
                <w:szCs w:val="21"/>
              </w:rPr>
              <w:t>2020年3月31日（未经审计）</w:t>
            </w:r>
          </w:p>
        </w:tc>
        <w:tc>
          <w:tcPr>
            <w:tcW w:w="1716" w:type="pct"/>
            <w:shd w:val="clear" w:color="auto" w:fill="auto"/>
            <w:noWrap/>
            <w:vAlign w:val="center"/>
            <w:hideMark/>
          </w:tcPr>
          <w:p w:rsidR="00EA4E67" w:rsidRPr="00A31887" w:rsidRDefault="00EA4E67" w:rsidP="00B530F2">
            <w:pPr>
              <w:jc w:val="right"/>
              <w:rPr>
                <w:rFonts w:asciiTheme="minorEastAsia" w:eastAsiaTheme="minorEastAsia" w:hAnsiTheme="minorEastAsia" w:cs="宋体"/>
                <w:b/>
                <w:szCs w:val="21"/>
              </w:rPr>
            </w:pPr>
            <w:r w:rsidRPr="00A31887">
              <w:rPr>
                <w:rFonts w:asciiTheme="minorEastAsia" w:eastAsiaTheme="minorEastAsia" w:hAnsiTheme="minorEastAsia" w:cs="宋体" w:hint="eastAsia"/>
                <w:b/>
                <w:szCs w:val="21"/>
              </w:rPr>
              <w:t>2019年12月31日（已经审计）</w:t>
            </w:r>
          </w:p>
        </w:tc>
      </w:tr>
      <w:tr w:rsidR="00EA4E67" w:rsidRPr="00A31887" w:rsidTr="00B530F2">
        <w:trPr>
          <w:trHeight w:val="270"/>
        </w:trPr>
        <w:tc>
          <w:tcPr>
            <w:tcW w:w="1313" w:type="pct"/>
            <w:shd w:val="clear" w:color="auto" w:fill="auto"/>
            <w:noWrap/>
            <w:vAlign w:val="center"/>
            <w:hideMark/>
          </w:tcPr>
          <w:p w:rsidR="00EA4E67" w:rsidRPr="00A31887" w:rsidRDefault="00EA4E67" w:rsidP="00B530F2">
            <w:pPr>
              <w:jc w:val="center"/>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资产总额</w:t>
            </w:r>
          </w:p>
        </w:tc>
        <w:tc>
          <w:tcPr>
            <w:tcW w:w="1971"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427,253.02</w:t>
            </w:r>
          </w:p>
        </w:tc>
        <w:tc>
          <w:tcPr>
            <w:tcW w:w="1716"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391,991.93</w:t>
            </w:r>
          </w:p>
        </w:tc>
      </w:tr>
      <w:tr w:rsidR="00EA4E67" w:rsidRPr="00A31887" w:rsidTr="00B530F2">
        <w:trPr>
          <w:trHeight w:val="270"/>
        </w:trPr>
        <w:tc>
          <w:tcPr>
            <w:tcW w:w="1313" w:type="pct"/>
            <w:shd w:val="clear" w:color="auto" w:fill="auto"/>
            <w:noWrap/>
            <w:vAlign w:val="center"/>
            <w:hideMark/>
          </w:tcPr>
          <w:p w:rsidR="00EA4E67" w:rsidRPr="00A31887" w:rsidRDefault="00EA4E67" w:rsidP="00B530F2">
            <w:pPr>
              <w:jc w:val="center"/>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负债总额</w:t>
            </w:r>
          </w:p>
        </w:tc>
        <w:tc>
          <w:tcPr>
            <w:tcW w:w="1971"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190,164.21</w:t>
            </w:r>
          </w:p>
        </w:tc>
        <w:tc>
          <w:tcPr>
            <w:tcW w:w="1716"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155,660.53</w:t>
            </w:r>
          </w:p>
        </w:tc>
      </w:tr>
      <w:tr w:rsidR="00EA4E67" w:rsidRPr="00A31887" w:rsidTr="00B530F2">
        <w:trPr>
          <w:trHeight w:val="270"/>
        </w:trPr>
        <w:tc>
          <w:tcPr>
            <w:tcW w:w="1313" w:type="pct"/>
            <w:shd w:val="clear" w:color="auto" w:fill="auto"/>
            <w:noWrap/>
            <w:vAlign w:val="center"/>
            <w:hideMark/>
          </w:tcPr>
          <w:p w:rsidR="00EA4E67" w:rsidRPr="00A31887" w:rsidRDefault="00EA4E67" w:rsidP="00B530F2">
            <w:pPr>
              <w:jc w:val="center"/>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资产净额</w:t>
            </w:r>
          </w:p>
        </w:tc>
        <w:tc>
          <w:tcPr>
            <w:tcW w:w="1971"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237,088.81</w:t>
            </w:r>
          </w:p>
        </w:tc>
        <w:tc>
          <w:tcPr>
            <w:tcW w:w="1716"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236,331.40</w:t>
            </w:r>
          </w:p>
        </w:tc>
      </w:tr>
      <w:tr w:rsidR="00EA4E67" w:rsidRPr="00A31887" w:rsidTr="00B530F2">
        <w:trPr>
          <w:trHeight w:val="270"/>
        </w:trPr>
        <w:tc>
          <w:tcPr>
            <w:tcW w:w="1313" w:type="pct"/>
            <w:shd w:val="clear" w:color="auto" w:fill="auto"/>
            <w:noWrap/>
            <w:vAlign w:val="center"/>
            <w:hideMark/>
          </w:tcPr>
          <w:p w:rsidR="00EA4E67" w:rsidRPr="00A31887" w:rsidRDefault="00EA4E67" w:rsidP="00B530F2">
            <w:pPr>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 xml:space="preserve">　</w:t>
            </w:r>
          </w:p>
        </w:tc>
        <w:tc>
          <w:tcPr>
            <w:tcW w:w="1971" w:type="pct"/>
            <w:shd w:val="clear" w:color="auto" w:fill="auto"/>
            <w:noWrap/>
            <w:vAlign w:val="center"/>
            <w:hideMark/>
          </w:tcPr>
          <w:p w:rsidR="00EA4E67" w:rsidRPr="00A31887" w:rsidRDefault="00EA4E67" w:rsidP="00B530F2">
            <w:pPr>
              <w:jc w:val="right"/>
              <w:rPr>
                <w:rFonts w:asciiTheme="minorEastAsia" w:eastAsiaTheme="minorEastAsia" w:hAnsiTheme="minorEastAsia" w:cs="宋体"/>
                <w:b/>
                <w:szCs w:val="21"/>
              </w:rPr>
            </w:pPr>
            <w:r w:rsidRPr="00A31887">
              <w:rPr>
                <w:rFonts w:asciiTheme="minorEastAsia" w:eastAsiaTheme="minorEastAsia" w:hAnsiTheme="minorEastAsia" w:cs="宋体" w:hint="eastAsia"/>
                <w:b/>
                <w:szCs w:val="21"/>
              </w:rPr>
              <w:t xml:space="preserve"> 2020年1-3月（未经审计） </w:t>
            </w:r>
          </w:p>
        </w:tc>
        <w:tc>
          <w:tcPr>
            <w:tcW w:w="1716" w:type="pct"/>
            <w:shd w:val="clear" w:color="auto" w:fill="auto"/>
            <w:noWrap/>
            <w:vAlign w:val="center"/>
            <w:hideMark/>
          </w:tcPr>
          <w:p w:rsidR="00EA4E67" w:rsidRPr="00A31887" w:rsidRDefault="00EA4E67" w:rsidP="00B530F2">
            <w:pPr>
              <w:jc w:val="right"/>
              <w:rPr>
                <w:rFonts w:asciiTheme="minorEastAsia" w:eastAsiaTheme="minorEastAsia" w:hAnsiTheme="minorEastAsia" w:cs="宋体"/>
                <w:b/>
                <w:szCs w:val="21"/>
              </w:rPr>
            </w:pPr>
            <w:r w:rsidRPr="00A31887">
              <w:rPr>
                <w:rFonts w:asciiTheme="minorEastAsia" w:eastAsiaTheme="minorEastAsia" w:hAnsiTheme="minorEastAsia" w:cs="宋体" w:hint="eastAsia"/>
                <w:b/>
                <w:szCs w:val="21"/>
              </w:rPr>
              <w:t xml:space="preserve"> 2019年度（已经审计） </w:t>
            </w:r>
          </w:p>
        </w:tc>
      </w:tr>
      <w:tr w:rsidR="00EA4E67" w:rsidRPr="00EA4E67" w:rsidTr="00B530F2">
        <w:trPr>
          <w:trHeight w:val="270"/>
        </w:trPr>
        <w:tc>
          <w:tcPr>
            <w:tcW w:w="1313" w:type="pct"/>
            <w:shd w:val="clear" w:color="auto" w:fill="auto"/>
            <w:noWrap/>
            <w:vAlign w:val="center"/>
            <w:hideMark/>
          </w:tcPr>
          <w:p w:rsidR="00EA4E67" w:rsidRPr="00A31887" w:rsidRDefault="00EA4E67" w:rsidP="00B530F2">
            <w:pPr>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 xml:space="preserve"> 经营活动产生的现金流量净额 </w:t>
            </w:r>
          </w:p>
        </w:tc>
        <w:tc>
          <w:tcPr>
            <w:tcW w:w="1971" w:type="pct"/>
            <w:shd w:val="clear" w:color="auto" w:fill="auto"/>
            <w:noWrap/>
            <w:vAlign w:val="center"/>
          </w:tcPr>
          <w:p w:rsidR="00EA4E67" w:rsidRPr="00A31887" w:rsidRDefault="00EA4E67"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-7,138.20</w:t>
            </w:r>
          </w:p>
        </w:tc>
        <w:tc>
          <w:tcPr>
            <w:tcW w:w="1716" w:type="pct"/>
            <w:shd w:val="clear" w:color="auto" w:fill="auto"/>
            <w:noWrap/>
            <w:vAlign w:val="center"/>
          </w:tcPr>
          <w:p w:rsidR="00EA4E67" w:rsidRPr="00EA4E67" w:rsidRDefault="00F736BF" w:rsidP="00B530F2">
            <w:pPr>
              <w:jc w:val="right"/>
              <w:rPr>
                <w:rFonts w:asciiTheme="minorEastAsia" w:eastAsiaTheme="minorEastAsia" w:hAnsiTheme="minorEastAsia" w:cs="宋体"/>
                <w:szCs w:val="21"/>
              </w:rPr>
            </w:pPr>
            <w:r w:rsidRPr="00A31887">
              <w:rPr>
                <w:rFonts w:asciiTheme="minorEastAsia" w:eastAsiaTheme="minorEastAsia" w:hAnsiTheme="minorEastAsia" w:cs="宋体" w:hint="eastAsia"/>
                <w:szCs w:val="21"/>
              </w:rPr>
              <w:t>-16,602.79</w:t>
            </w:r>
          </w:p>
        </w:tc>
      </w:tr>
    </w:tbl>
    <w:p w:rsidR="0099191D" w:rsidRDefault="0099191D" w:rsidP="00EA4E67">
      <w:pPr>
        <w:spacing w:line="360" w:lineRule="auto"/>
        <w:rPr>
          <w:rFonts w:asciiTheme="minorEastAsia" w:eastAsiaTheme="minorEastAsia" w:hAnsiTheme="minorEastAsia"/>
          <w:sz w:val="24"/>
        </w:rPr>
      </w:pPr>
    </w:p>
    <w:p w:rsidR="00690B05" w:rsidRPr="00EA4E67" w:rsidRDefault="00690B05" w:rsidP="00582B6D">
      <w:pPr>
        <w:spacing w:line="360" w:lineRule="auto"/>
        <w:ind w:firstLineChars="200" w:firstLine="480"/>
        <w:rPr>
          <w:rFonts w:asciiTheme="minorEastAsia" w:eastAsiaTheme="minorEastAsia" w:hAnsiTheme="minorEastAsia"/>
          <w:sz w:val="24"/>
        </w:rPr>
      </w:pPr>
      <w:r w:rsidRPr="00730640">
        <w:rPr>
          <w:rFonts w:asciiTheme="minorEastAsia" w:eastAsiaTheme="minorEastAsia" w:hAnsiTheme="minorEastAsia" w:hint="eastAsia"/>
          <w:sz w:val="24"/>
        </w:rPr>
        <w:t>20</w:t>
      </w:r>
      <w:r w:rsidR="00FC7AE7" w:rsidRPr="00730640">
        <w:rPr>
          <w:rFonts w:asciiTheme="minorEastAsia" w:eastAsiaTheme="minorEastAsia" w:hAnsiTheme="minorEastAsia" w:hint="eastAsia"/>
          <w:sz w:val="24"/>
        </w:rPr>
        <w:t>20</w:t>
      </w:r>
      <w:r w:rsidRPr="00730640">
        <w:rPr>
          <w:rFonts w:asciiTheme="minorEastAsia" w:eastAsiaTheme="minorEastAsia" w:hAnsiTheme="minorEastAsia" w:hint="eastAsia"/>
          <w:sz w:val="24"/>
        </w:rPr>
        <w:t>年</w:t>
      </w:r>
      <w:r w:rsidR="00FC7AE7" w:rsidRPr="00730640">
        <w:rPr>
          <w:rFonts w:asciiTheme="minorEastAsia" w:eastAsiaTheme="minorEastAsia" w:hAnsiTheme="minorEastAsia" w:hint="eastAsia"/>
          <w:sz w:val="24"/>
        </w:rPr>
        <w:t>3</w:t>
      </w:r>
      <w:r w:rsidRPr="00730640">
        <w:rPr>
          <w:rFonts w:asciiTheme="minorEastAsia" w:eastAsiaTheme="minorEastAsia" w:hAnsiTheme="minorEastAsia" w:hint="eastAsia"/>
          <w:sz w:val="24"/>
        </w:rPr>
        <w:t>月末，公司资产负债率</w:t>
      </w:r>
      <w:r w:rsidR="00E83980" w:rsidRPr="00730640">
        <w:rPr>
          <w:rFonts w:asciiTheme="minorEastAsia" w:eastAsiaTheme="minorEastAsia" w:hAnsiTheme="minorEastAsia" w:hint="eastAsia"/>
          <w:sz w:val="24"/>
        </w:rPr>
        <w:t>44.</w:t>
      </w:r>
      <w:r w:rsidR="00351B94" w:rsidRPr="00730640">
        <w:rPr>
          <w:rFonts w:asciiTheme="minorEastAsia" w:eastAsiaTheme="minorEastAsia" w:hAnsiTheme="minorEastAsia" w:hint="eastAsia"/>
          <w:sz w:val="24"/>
        </w:rPr>
        <w:t>5</w:t>
      </w:r>
      <w:r w:rsidR="00E83980" w:rsidRPr="00730640">
        <w:rPr>
          <w:rFonts w:asciiTheme="minorEastAsia" w:eastAsiaTheme="minorEastAsia" w:hAnsiTheme="minorEastAsia" w:hint="eastAsia"/>
          <w:sz w:val="24"/>
        </w:rPr>
        <w:t>1</w:t>
      </w:r>
      <w:r w:rsidRPr="00730640">
        <w:rPr>
          <w:rFonts w:asciiTheme="minorEastAsia" w:eastAsiaTheme="minorEastAsia" w:hAnsiTheme="minorEastAsia" w:hint="eastAsia"/>
          <w:sz w:val="24"/>
        </w:rPr>
        <w:t>%，公司资产负债率较低，资金结构合理，运营健康，公司不存在负有大额负债的同时购买大额理财产品的情形。</w:t>
      </w:r>
      <w:r w:rsidR="00582B6D" w:rsidRPr="00730640">
        <w:rPr>
          <w:rFonts w:asciiTheme="minorEastAsia" w:eastAsiaTheme="minorEastAsia" w:hAnsiTheme="minorEastAsia" w:hint="eastAsia"/>
          <w:sz w:val="24"/>
        </w:rPr>
        <w:t>公司使用闲置募集资金进行现金管理的最高额度为不超过人民币4,000万元，</w:t>
      </w:r>
      <w:proofErr w:type="gramStart"/>
      <w:r w:rsidR="00582B6D" w:rsidRPr="00730640">
        <w:rPr>
          <w:rFonts w:asciiTheme="minorEastAsia" w:eastAsiaTheme="minorEastAsia" w:hAnsiTheme="minorEastAsia" w:hint="eastAsia"/>
          <w:sz w:val="24"/>
        </w:rPr>
        <w:t>占最近</w:t>
      </w:r>
      <w:proofErr w:type="gramEnd"/>
      <w:r w:rsidR="00582B6D" w:rsidRPr="00730640">
        <w:rPr>
          <w:rFonts w:asciiTheme="minorEastAsia" w:eastAsiaTheme="minorEastAsia" w:hAnsiTheme="minorEastAsia" w:hint="eastAsia"/>
          <w:sz w:val="24"/>
        </w:rPr>
        <w:t>一期期末货币资金余额的</w:t>
      </w:r>
      <w:r w:rsidR="006B2DCA" w:rsidRPr="00730640">
        <w:rPr>
          <w:rFonts w:asciiTheme="minorEastAsia" w:eastAsiaTheme="minorEastAsia" w:hAnsiTheme="minorEastAsia" w:hint="eastAsia"/>
          <w:sz w:val="24"/>
        </w:rPr>
        <w:t>4.22</w:t>
      </w:r>
      <w:r w:rsidR="00582B6D" w:rsidRPr="00730640">
        <w:rPr>
          <w:rFonts w:asciiTheme="minorEastAsia" w:eastAsiaTheme="minorEastAsia" w:hAnsiTheme="minorEastAsia" w:hint="eastAsia"/>
          <w:sz w:val="24"/>
        </w:rPr>
        <w:t>%。</w:t>
      </w:r>
      <w:r w:rsidRPr="00730640">
        <w:rPr>
          <w:rFonts w:asciiTheme="minorEastAsia" w:eastAsiaTheme="minorEastAsia" w:hAnsiTheme="minorEastAsia"/>
          <w:sz w:val="24"/>
        </w:rPr>
        <w:t>公司使用</w:t>
      </w:r>
      <w:r w:rsidRPr="00EA4E67">
        <w:rPr>
          <w:rFonts w:asciiTheme="minorEastAsia" w:eastAsiaTheme="minorEastAsia" w:hAnsiTheme="minorEastAsia"/>
          <w:sz w:val="24"/>
        </w:rPr>
        <w:t>闲置</w:t>
      </w:r>
      <w:r w:rsidR="00FC7AE7" w:rsidRPr="00EA4E67">
        <w:rPr>
          <w:rFonts w:asciiTheme="minorEastAsia" w:eastAsiaTheme="minorEastAsia" w:hAnsiTheme="minorEastAsia" w:hint="eastAsia"/>
          <w:sz w:val="24"/>
        </w:rPr>
        <w:t>募集</w:t>
      </w:r>
      <w:r w:rsidRPr="00EA4E67">
        <w:rPr>
          <w:rFonts w:asciiTheme="minorEastAsia" w:eastAsiaTheme="minorEastAsia" w:hAnsiTheme="minorEastAsia"/>
          <w:sz w:val="24"/>
        </w:rPr>
        <w:t>资金进行现金管理，不影响公司</w:t>
      </w:r>
      <w:r w:rsidR="00FC7AE7" w:rsidRPr="00EA4E67">
        <w:rPr>
          <w:rFonts w:asciiTheme="minorEastAsia" w:eastAsiaTheme="minorEastAsia" w:hAnsiTheme="minorEastAsia" w:hint="eastAsia"/>
          <w:sz w:val="24"/>
        </w:rPr>
        <w:t>募集资金投资项目正常进行</w:t>
      </w:r>
      <w:r w:rsidRPr="00EA4E67">
        <w:rPr>
          <w:rFonts w:asciiTheme="minorEastAsia" w:eastAsiaTheme="minorEastAsia" w:hAnsiTheme="minorEastAsia"/>
          <w:sz w:val="24"/>
        </w:rPr>
        <w:t>，不会影响公司主营业务的正常发展。通过进行现金管理，可以提高资金使用效率，能获得一定的投资收益，提高公司的整体业绩水平，为公司股东谋求更多的投资回报。</w:t>
      </w:r>
    </w:p>
    <w:p w:rsidR="00DF72BE" w:rsidRPr="00EA4E67" w:rsidRDefault="00DF72BE" w:rsidP="0099191D">
      <w:pPr>
        <w:widowControl/>
        <w:spacing w:line="360" w:lineRule="auto"/>
        <w:ind w:firstLineChars="200" w:firstLine="480"/>
        <w:rPr>
          <w:rFonts w:asciiTheme="minorEastAsia" w:eastAsiaTheme="minorEastAsia" w:hAnsiTheme="minorEastAsia" w:cs="宋体"/>
          <w:color w:val="000000"/>
          <w:kern w:val="0"/>
          <w:sz w:val="24"/>
        </w:rPr>
      </w:pPr>
    </w:p>
    <w:p w:rsidR="00DF72BE" w:rsidRPr="00EA4E67" w:rsidRDefault="00236846">
      <w:pPr>
        <w:widowControl/>
        <w:spacing w:line="360" w:lineRule="auto"/>
        <w:ind w:firstLineChars="200" w:firstLine="482"/>
        <w:rPr>
          <w:rFonts w:asciiTheme="minorEastAsia" w:eastAsiaTheme="minorEastAsia" w:hAnsiTheme="minorEastAsia" w:cs="宋体"/>
          <w:b/>
          <w:color w:val="000000"/>
          <w:kern w:val="0"/>
          <w:sz w:val="24"/>
        </w:rPr>
      </w:pPr>
      <w:r w:rsidRPr="00EA4E67">
        <w:rPr>
          <w:rFonts w:asciiTheme="minorEastAsia" w:eastAsiaTheme="minorEastAsia" w:hAnsiTheme="minorEastAsia" w:cs="宋体" w:hint="eastAsia"/>
          <w:b/>
          <w:color w:val="000000"/>
          <w:kern w:val="0"/>
          <w:sz w:val="24"/>
        </w:rPr>
        <w:t>三、风险提示</w:t>
      </w:r>
    </w:p>
    <w:p w:rsidR="00DF72BE" w:rsidRPr="0099191D" w:rsidRDefault="00236846">
      <w:pPr>
        <w:spacing w:line="360" w:lineRule="auto"/>
        <w:ind w:firstLineChars="200" w:firstLine="480"/>
        <w:rPr>
          <w:rFonts w:asciiTheme="minorEastAsia" w:eastAsiaTheme="minorEastAsia" w:hAnsiTheme="minorEastAsia"/>
          <w:sz w:val="24"/>
        </w:rPr>
      </w:pPr>
      <w:r w:rsidRPr="00EA4E67">
        <w:rPr>
          <w:rFonts w:asciiTheme="minorEastAsia" w:eastAsiaTheme="minorEastAsia" w:hAnsiTheme="minorEastAsia" w:hint="eastAsia"/>
          <w:sz w:val="24"/>
        </w:rPr>
        <w:t>公司现金管理产品</w:t>
      </w:r>
      <w:r w:rsidR="00E34C0D" w:rsidRPr="00EA4E67">
        <w:rPr>
          <w:rFonts w:asciiTheme="minorEastAsia" w:eastAsiaTheme="minorEastAsia" w:hAnsiTheme="minorEastAsia" w:hint="eastAsia"/>
          <w:sz w:val="24"/>
        </w:rPr>
        <w:t>仅限于安全性高、满足保本要求且流动性好、不影响募集资金投资计划正常进行的投资产品，包括结构性存款以及低风险、有保本约定的理财产品</w:t>
      </w:r>
      <w:r w:rsidRPr="00EA4E67">
        <w:rPr>
          <w:rFonts w:asciiTheme="minorEastAsia" w:eastAsiaTheme="minorEastAsia" w:hAnsiTheme="minorEastAsia" w:hint="eastAsia"/>
          <w:sz w:val="24"/>
        </w:rPr>
        <w:t>。主要风险如下：</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（1）尽管公司现金管理产品属于低风险投资品种，但金融市场受宏观经济的影响较大，不排除该项投资受到市场波动的影响。</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（2）公司将根据经济形势以及金融市场的变化适时适量的介入，因此现金管理的实际收益不可预期。</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（3）相关工作人员的操作风险。</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针对上述风险，公司将严格按照《上海证券交易所股票上市规则》、公司《章程》等相关法律法规、规章制度，对现金管理事项进行决策、管理、检查和监督。在保障公司业务正常开展的前提下，谨慎选择理财产品种类，做好投资组合，确定投资期限，控制投资风险。</w:t>
      </w:r>
    </w:p>
    <w:p w:rsidR="00DF72BE" w:rsidRDefault="00DF72BE" w:rsidP="0099191D">
      <w:pPr>
        <w:widowControl/>
        <w:spacing w:line="360" w:lineRule="auto"/>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lastRenderedPageBreak/>
        <w:t>四、决策程序的履行及监事会、独立董事意见</w:t>
      </w:r>
    </w:p>
    <w:p w:rsidR="00DF72BE" w:rsidRDefault="00236846">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（一）决策程序的履行</w:t>
      </w:r>
    </w:p>
    <w:p w:rsidR="00DF72BE" w:rsidRDefault="00236846">
      <w:pPr>
        <w:pStyle w:val="a3"/>
        <w:spacing w:line="360" w:lineRule="auto"/>
        <w:ind w:firstLineChars="200" w:firstLine="480"/>
        <w:rPr>
          <w:rFonts w:ascii="宋体" w:hAnsi="宋体"/>
          <w:sz w:val="24"/>
        </w:rPr>
      </w:pPr>
      <w:r>
        <w:rPr>
          <w:rFonts w:ascii="宋体" w:hAnsi="宋体" w:hint="eastAsia"/>
          <w:sz w:val="24"/>
        </w:rPr>
        <w:t>20</w:t>
      </w:r>
      <w:r w:rsidR="00FC7AE7">
        <w:rPr>
          <w:rFonts w:ascii="宋体" w:hAnsi="宋体" w:hint="eastAsia"/>
          <w:sz w:val="24"/>
        </w:rPr>
        <w:t>20</w:t>
      </w:r>
      <w:r>
        <w:rPr>
          <w:rFonts w:ascii="宋体" w:hAnsi="宋体" w:hint="eastAsia"/>
          <w:sz w:val="24"/>
        </w:rPr>
        <w:t>年</w:t>
      </w:r>
      <w:r w:rsidR="00FC7AE7">
        <w:rPr>
          <w:rFonts w:ascii="宋体" w:hAnsi="宋体" w:hint="eastAsia"/>
          <w:sz w:val="24"/>
        </w:rPr>
        <w:t>4</w:t>
      </w:r>
      <w:r>
        <w:rPr>
          <w:rFonts w:ascii="宋体" w:hAnsi="宋体" w:hint="eastAsia"/>
          <w:sz w:val="24"/>
        </w:rPr>
        <w:t>月</w:t>
      </w:r>
      <w:r w:rsidR="00FC7AE7">
        <w:rPr>
          <w:rFonts w:ascii="宋体" w:hAnsi="宋体" w:hint="eastAsia"/>
          <w:sz w:val="24"/>
        </w:rPr>
        <w:t>28</w:t>
      </w:r>
      <w:r>
        <w:rPr>
          <w:rFonts w:ascii="宋体" w:hAnsi="宋体" w:hint="eastAsia"/>
          <w:sz w:val="24"/>
        </w:rPr>
        <w:t>日，公司召开第九届董事会</w:t>
      </w:r>
      <w:r w:rsidR="00FC7AE7">
        <w:rPr>
          <w:rFonts w:ascii="宋体" w:hAnsi="宋体" w:hint="eastAsia"/>
          <w:sz w:val="24"/>
        </w:rPr>
        <w:t>第九次</w:t>
      </w:r>
      <w:r>
        <w:rPr>
          <w:rFonts w:ascii="宋体" w:hAnsi="宋体" w:hint="eastAsia"/>
          <w:sz w:val="24"/>
        </w:rPr>
        <w:t>会议（通讯表决）和第九届监事会</w:t>
      </w:r>
      <w:r w:rsidR="00FC7AE7">
        <w:rPr>
          <w:rFonts w:ascii="宋体" w:hAnsi="宋体" w:hint="eastAsia"/>
          <w:sz w:val="24"/>
        </w:rPr>
        <w:t>第九次</w:t>
      </w:r>
      <w:r>
        <w:rPr>
          <w:rFonts w:ascii="宋体" w:hAnsi="宋体" w:hint="eastAsia"/>
          <w:sz w:val="24"/>
        </w:rPr>
        <w:t>会议（通讯表决），审议通过了《</w:t>
      </w:r>
      <w:r w:rsidR="00FC7AE7" w:rsidRPr="00FC7AE7">
        <w:rPr>
          <w:rFonts w:ascii="宋体" w:hAnsi="宋体" w:hint="eastAsia"/>
          <w:sz w:val="24"/>
        </w:rPr>
        <w:t>江苏吴中实业股份有限公司关于使用部分闲置非公开发行募集资金进行现金管理的议案</w:t>
      </w:r>
      <w:r w:rsidR="00E03FDF">
        <w:rPr>
          <w:rFonts w:ascii="宋体" w:hAnsi="宋体" w:hint="eastAsia"/>
          <w:sz w:val="24"/>
        </w:rPr>
        <w:t>》</w:t>
      </w:r>
      <w:r>
        <w:rPr>
          <w:rFonts w:ascii="宋体" w:hAnsi="宋体" w:hint="eastAsia"/>
          <w:sz w:val="24"/>
        </w:rPr>
        <w:t>，根据《上海证券交易所股票上市规则》和《江苏吴中实业股份有限公司章程》的相关规定，该事项无需提交公司股东大会审议。</w:t>
      </w:r>
    </w:p>
    <w:p w:rsidR="00DF72BE" w:rsidRDefault="00236846">
      <w:pPr>
        <w:pStyle w:val="a3"/>
        <w:spacing w:line="360" w:lineRule="auto"/>
        <w:ind w:firstLineChars="200" w:firstLine="480"/>
        <w:rPr>
          <w:rFonts w:ascii="宋体" w:hAnsi="宋体"/>
          <w:sz w:val="24"/>
        </w:rPr>
      </w:pPr>
      <w:r>
        <w:rPr>
          <w:rFonts w:ascii="宋体" w:hAnsi="宋体" w:hint="eastAsia"/>
          <w:sz w:val="24"/>
        </w:rPr>
        <w:t>（二）监事会意见</w:t>
      </w:r>
    </w:p>
    <w:p w:rsidR="00FC7AE7" w:rsidRDefault="00236846" w:rsidP="00FC7AE7">
      <w:pPr>
        <w:spacing w:line="360" w:lineRule="auto"/>
        <w:ind w:firstLineChars="200" w:firstLine="480"/>
        <w:rPr>
          <w:rFonts w:ascii="宋体" w:hAnsi="宋体"/>
          <w:sz w:val="24"/>
        </w:rPr>
      </w:pPr>
      <w:r>
        <w:rPr>
          <w:rFonts w:ascii="宋体" w:hAnsi="宋体" w:hint="eastAsia"/>
          <w:sz w:val="24"/>
        </w:rPr>
        <w:t>监事会经核查后认为：</w:t>
      </w:r>
      <w:r w:rsidR="00FC7AE7">
        <w:rPr>
          <w:rFonts w:ascii="宋体" w:hAnsi="宋体" w:hint="eastAsia"/>
          <w:sz w:val="24"/>
        </w:rPr>
        <w:t>公司使用部分闲置非公开发行募集资金进行现金管理，履行了必要审批程序；公司使用部分闲置非公开发行募集资金进行现金管理，是在保障公司</w:t>
      </w:r>
      <w:proofErr w:type="gramStart"/>
      <w:r w:rsidR="00FC7AE7">
        <w:rPr>
          <w:rFonts w:ascii="宋体" w:hAnsi="宋体" w:hint="eastAsia"/>
          <w:sz w:val="24"/>
        </w:rPr>
        <w:t>募投项目</w:t>
      </w:r>
      <w:proofErr w:type="gramEnd"/>
      <w:r w:rsidR="00FC7AE7">
        <w:rPr>
          <w:rFonts w:ascii="宋体" w:hAnsi="宋体" w:hint="eastAsia"/>
          <w:sz w:val="24"/>
        </w:rPr>
        <w:t>正常进度的情况下实施的，不会影响公司主营业务的正常发展。公司监事会同意公司使用总额不超过人民币4,000万元的闲置非公开发行募集资金进行现金管理事宜</w:t>
      </w:r>
      <w:r w:rsidR="00FC7AE7" w:rsidRPr="00D3794B">
        <w:rPr>
          <w:rFonts w:ascii="宋体" w:hAnsi="宋体" w:hint="eastAsia"/>
          <w:sz w:val="24"/>
        </w:rPr>
        <w:t>，在上述额度内，资金可以在12个月内滚动使用</w:t>
      </w:r>
      <w:r w:rsidR="00FC7AE7">
        <w:rPr>
          <w:rFonts w:ascii="宋体" w:hAnsi="宋体" w:hint="eastAsia"/>
          <w:sz w:val="24"/>
        </w:rPr>
        <w:t>。</w:t>
      </w:r>
    </w:p>
    <w:p w:rsidR="00DF72BE" w:rsidRDefault="00236846" w:rsidP="00FC7AE7">
      <w:pPr>
        <w:widowControl/>
        <w:spacing w:line="360" w:lineRule="auto"/>
        <w:ind w:firstLineChars="200" w:firstLine="480"/>
        <w:rPr>
          <w:rFonts w:ascii="宋体" w:hAnsi="宋体"/>
          <w:sz w:val="24"/>
        </w:rPr>
      </w:pPr>
      <w:r>
        <w:rPr>
          <w:rFonts w:ascii="宋体" w:hAnsi="宋体" w:hint="eastAsia"/>
          <w:sz w:val="24"/>
        </w:rPr>
        <w:t>（三）独立董事意见</w:t>
      </w:r>
    </w:p>
    <w:p w:rsidR="00DF72BE" w:rsidRDefault="00236846">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公司独立董事对此事项发表的独立意见如下：</w:t>
      </w:r>
    </w:p>
    <w:p w:rsidR="00FC7AE7" w:rsidRDefault="00FC7AE7" w:rsidP="00FC7AE7">
      <w:pPr>
        <w:autoSpaceDE w:val="0"/>
        <w:autoSpaceDN w:val="0"/>
        <w:adjustRightInd w:val="0"/>
        <w:spacing w:line="360" w:lineRule="auto"/>
        <w:ind w:firstLineChars="200" w:firstLine="480"/>
        <w:rPr>
          <w:rFonts w:ascii="宋体" w:hAnsi="宋体"/>
          <w:sz w:val="24"/>
        </w:rPr>
      </w:pPr>
      <w:r>
        <w:rPr>
          <w:rFonts w:ascii="宋体" w:hAnsi="宋体" w:hint="eastAsia"/>
          <w:sz w:val="24"/>
        </w:rPr>
        <w:t>1、公司使用部分闲置非公开发行募集资金进行现金管理，履行了必要审批程序，符合相关法律、法规及规范性文件的规定。</w:t>
      </w:r>
    </w:p>
    <w:p w:rsidR="00FC7AE7" w:rsidRDefault="00FC7AE7" w:rsidP="00FC7AE7">
      <w:pPr>
        <w:autoSpaceDE w:val="0"/>
        <w:autoSpaceDN w:val="0"/>
        <w:adjustRightInd w:val="0"/>
        <w:spacing w:line="360" w:lineRule="auto"/>
        <w:ind w:firstLineChars="200" w:firstLine="480"/>
        <w:rPr>
          <w:rFonts w:ascii="宋体" w:hAnsi="宋体"/>
          <w:sz w:val="24"/>
        </w:rPr>
      </w:pPr>
      <w:r>
        <w:rPr>
          <w:rFonts w:ascii="宋体" w:hAnsi="宋体" w:hint="eastAsia"/>
          <w:sz w:val="24"/>
        </w:rPr>
        <w:t>2、在确保不影响公司募集资金投资计划正常进行和募集资金安全的前提下，公司使用闲置非公开发行募集资金进行现金管理是在保障公司</w:t>
      </w:r>
      <w:proofErr w:type="gramStart"/>
      <w:r>
        <w:rPr>
          <w:rFonts w:ascii="宋体" w:hAnsi="宋体" w:hint="eastAsia"/>
          <w:sz w:val="24"/>
        </w:rPr>
        <w:t>募投项目</w:t>
      </w:r>
      <w:proofErr w:type="gramEnd"/>
      <w:r>
        <w:rPr>
          <w:rFonts w:ascii="宋体" w:hAnsi="宋体" w:hint="eastAsia"/>
          <w:sz w:val="24"/>
        </w:rPr>
        <w:t>正常进度的情况下实施的，不会影响公司主营业务的正常发展。</w:t>
      </w:r>
    </w:p>
    <w:p w:rsidR="00FC7AE7" w:rsidRDefault="00FC7AE7" w:rsidP="00FC7AE7">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3、通过对部分闲置非公开发行募集资金进行现金管理，可以提高资金使用效率，能获得一定的投资收益，提高公司的整体业绩水平，为公司股东谋求更多的投资回报，不存在损害公司及全体股东、特别是中小股东的利益的情形。 </w:t>
      </w:r>
    </w:p>
    <w:p w:rsidR="00FC7AE7" w:rsidRDefault="00FC7AE7" w:rsidP="00FC7AE7">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公司独立董事同意公司使用总额不超过人民币4</w:t>
      </w:r>
      <w:r>
        <w:rPr>
          <w:rFonts w:ascii="宋体" w:hAnsi="宋体"/>
          <w:sz w:val="24"/>
        </w:rPr>
        <w:t>,000万元</w:t>
      </w:r>
      <w:r>
        <w:rPr>
          <w:rFonts w:ascii="宋体" w:hAnsi="宋体" w:hint="eastAsia"/>
          <w:sz w:val="24"/>
        </w:rPr>
        <w:t>的闲置非公开发行募集资金进行现金管理事宜。</w:t>
      </w:r>
    </w:p>
    <w:p w:rsidR="007D45D0" w:rsidRDefault="007D45D0" w:rsidP="007D45D0">
      <w:pPr>
        <w:autoSpaceDE w:val="0"/>
        <w:autoSpaceDN w:val="0"/>
        <w:adjustRightInd w:val="0"/>
        <w:spacing w:line="360" w:lineRule="auto"/>
        <w:ind w:firstLineChars="200" w:firstLine="480"/>
        <w:rPr>
          <w:rFonts w:ascii="宋体" w:hAnsi="宋体"/>
          <w:sz w:val="24"/>
        </w:rPr>
      </w:pPr>
      <w:r>
        <w:rPr>
          <w:rFonts w:ascii="宋体" w:hAnsi="宋体" w:hint="eastAsia"/>
          <w:sz w:val="24"/>
        </w:rPr>
        <w:t>（四）</w:t>
      </w:r>
      <w:r w:rsidRPr="007D45D0">
        <w:rPr>
          <w:rFonts w:ascii="宋体" w:hAnsi="宋体" w:hint="eastAsia"/>
          <w:sz w:val="24"/>
        </w:rPr>
        <w:t>保荐机构意见</w:t>
      </w:r>
    </w:p>
    <w:p w:rsidR="007D45D0" w:rsidRPr="002D4528" w:rsidRDefault="007D45D0" w:rsidP="007D45D0">
      <w:pPr>
        <w:autoSpaceDE w:val="0"/>
        <w:autoSpaceDN w:val="0"/>
        <w:adjustRightInd w:val="0"/>
        <w:spacing w:line="360" w:lineRule="auto"/>
        <w:ind w:firstLineChars="200" w:firstLine="480"/>
        <w:rPr>
          <w:rFonts w:ascii="宋体" w:hAnsi="宋体"/>
          <w:sz w:val="24"/>
        </w:rPr>
      </w:pPr>
      <w:r w:rsidRPr="002D4528">
        <w:rPr>
          <w:rFonts w:ascii="宋体" w:hAnsi="宋体" w:hint="eastAsia"/>
          <w:sz w:val="24"/>
        </w:rPr>
        <w:t>保荐机构东吴证券股份有限公司（以下简称“</w:t>
      </w:r>
      <w:r w:rsidR="002D4528" w:rsidRPr="002D4528">
        <w:rPr>
          <w:rFonts w:ascii="宋体" w:hAnsi="宋体" w:hint="eastAsia"/>
          <w:sz w:val="24"/>
        </w:rPr>
        <w:t>保荐机构</w:t>
      </w:r>
      <w:r w:rsidRPr="002D4528">
        <w:rPr>
          <w:rFonts w:ascii="宋体" w:hAnsi="宋体" w:hint="eastAsia"/>
          <w:sz w:val="24"/>
        </w:rPr>
        <w:t>”）核查意见：</w:t>
      </w:r>
    </w:p>
    <w:p w:rsidR="002D4528" w:rsidRPr="002D4528" w:rsidRDefault="002D4528" w:rsidP="002D4528">
      <w:pPr>
        <w:autoSpaceDE w:val="0"/>
        <w:autoSpaceDN w:val="0"/>
        <w:adjustRightInd w:val="0"/>
        <w:spacing w:line="360" w:lineRule="auto"/>
        <w:ind w:firstLineChars="200" w:firstLine="480"/>
        <w:rPr>
          <w:rFonts w:ascii="宋体" w:hAnsi="宋体"/>
          <w:sz w:val="24"/>
        </w:rPr>
      </w:pPr>
      <w:r w:rsidRPr="002D4528">
        <w:rPr>
          <w:rFonts w:ascii="宋体" w:hAnsi="宋体" w:hint="eastAsia"/>
          <w:sz w:val="24"/>
        </w:rPr>
        <w:t>公司使用部分闲置募集资金进行现金管理事已履行投资决策的相关程序，经公司董事会、监事会审议通过并确认，独立董事发表了同意的独立意见。公司在</w:t>
      </w:r>
      <w:r w:rsidRPr="002D4528">
        <w:rPr>
          <w:rFonts w:ascii="宋体" w:hAnsi="宋体" w:hint="eastAsia"/>
          <w:sz w:val="24"/>
        </w:rPr>
        <w:lastRenderedPageBreak/>
        <w:t>不影响募集资金投资计划正常进行的前提下，使用暂时闲置募集资金进行现金管理，该事项及其决策程序，符合中国证券监督管理委员会《上市公司监管指引第2号——上市公司募集资金管理和使用的监管要求》、《上海证券交易所上市公司募集资金管理办法（2013年修订）》等相关规定，有利于提高募集资金使用效益，不存在变相改变募集资金投向、损害公司股东利益的情形。</w:t>
      </w:r>
    </w:p>
    <w:p w:rsidR="00DF72BE" w:rsidRDefault="002D4528" w:rsidP="002D4528">
      <w:pPr>
        <w:autoSpaceDE w:val="0"/>
        <w:autoSpaceDN w:val="0"/>
        <w:adjustRightInd w:val="0"/>
        <w:spacing w:line="360" w:lineRule="auto"/>
        <w:ind w:firstLineChars="200" w:firstLine="480"/>
        <w:rPr>
          <w:rFonts w:ascii="宋体" w:hAnsi="宋体"/>
          <w:sz w:val="24"/>
        </w:rPr>
      </w:pPr>
      <w:r w:rsidRPr="002D4528">
        <w:rPr>
          <w:rFonts w:ascii="宋体" w:hAnsi="宋体" w:hint="eastAsia"/>
          <w:sz w:val="24"/>
        </w:rPr>
        <w:t>因此，保荐机构同意江苏吴中使用部分闲置募集资金进行现金管理。</w:t>
      </w:r>
    </w:p>
    <w:p w:rsidR="002D4528" w:rsidRPr="002D4528" w:rsidRDefault="002D4528" w:rsidP="002D4528">
      <w:pPr>
        <w:autoSpaceDE w:val="0"/>
        <w:autoSpaceDN w:val="0"/>
        <w:adjustRightInd w:val="0"/>
        <w:spacing w:line="360" w:lineRule="auto"/>
        <w:ind w:firstLineChars="200" w:firstLine="480"/>
        <w:rPr>
          <w:rFonts w:ascii="宋体" w:hAnsi="宋体"/>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五、截至本公告日，公司最近十二个月使用</w:t>
      </w:r>
      <w:r w:rsidR="00F253D0">
        <w:rPr>
          <w:rFonts w:asciiTheme="minorEastAsia" w:eastAsiaTheme="minorEastAsia" w:hAnsiTheme="minorEastAsia" w:cs="宋体" w:hint="eastAsia"/>
          <w:b/>
          <w:color w:val="000000"/>
          <w:kern w:val="0"/>
          <w:sz w:val="24"/>
        </w:rPr>
        <w:t>募集</w:t>
      </w:r>
      <w:r>
        <w:rPr>
          <w:rFonts w:asciiTheme="minorEastAsia" w:eastAsiaTheme="minorEastAsia" w:hAnsiTheme="minorEastAsia" w:cs="宋体" w:hint="eastAsia"/>
          <w:b/>
          <w:color w:val="000000"/>
          <w:kern w:val="0"/>
          <w:sz w:val="24"/>
        </w:rPr>
        <w:t>资金现金管理的情况</w:t>
      </w:r>
    </w:p>
    <w:p w:rsidR="00DF72BE" w:rsidRDefault="00236846">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DF72BE" w:rsidRPr="00730640" w:rsidTr="0099191D">
        <w:trPr>
          <w:trHeight w:val="480"/>
          <w:jc w:val="center"/>
        </w:trPr>
        <w:tc>
          <w:tcPr>
            <w:tcW w:w="760" w:type="dxa"/>
            <w:shd w:val="clear" w:color="auto" w:fill="auto"/>
            <w:vAlign w:val="center"/>
          </w:tcPr>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理财产品类型</w:t>
            </w:r>
          </w:p>
        </w:tc>
        <w:tc>
          <w:tcPr>
            <w:tcW w:w="1134" w:type="dxa"/>
            <w:shd w:val="clear" w:color="auto" w:fill="auto"/>
            <w:vAlign w:val="center"/>
          </w:tcPr>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99191D"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实际收回</w:t>
            </w:r>
          </w:p>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实际收益</w:t>
            </w:r>
          </w:p>
        </w:tc>
        <w:tc>
          <w:tcPr>
            <w:tcW w:w="1449" w:type="dxa"/>
          </w:tcPr>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尚未收回</w:t>
            </w:r>
          </w:p>
          <w:p w:rsidR="00DF72BE" w:rsidRPr="00730640"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730640">
              <w:rPr>
                <w:rFonts w:asciiTheme="minorEastAsia" w:eastAsiaTheme="minorEastAsia" w:hAnsiTheme="minorEastAsia" w:cs="宋体" w:hint="eastAsia"/>
                <w:b/>
                <w:color w:val="000000"/>
                <w:kern w:val="0"/>
                <w:szCs w:val="21"/>
              </w:rPr>
              <w:t>本金金额</w:t>
            </w:r>
          </w:p>
        </w:tc>
      </w:tr>
      <w:tr w:rsidR="00EA4E67" w:rsidRPr="00730640" w:rsidTr="00FA1827">
        <w:trPr>
          <w:trHeight w:val="270"/>
          <w:jc w:val="center"/>
        </w:trPr>
        <w:tc>
          <w:tcPr>
            <w:tcW w:w="76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1</w:t>
            </w:r>
          </w:p>
        </w:tc>
        <w:tc>
          <w:tcPr>
            <w:tcW w:w="241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保本浮动收益型</w:t>
            </w:r>
          </w:p>
        </w:tc>
        <w:tc>
          <w:tcPr>
            <w:tcW w:w="1134" w:type="dxa"/>
            <w:shd w:val="clear" w:color="auto" w:fill="auto"/>
            <w:noWrap/>
          </w:tcPr>
          <w:p w:rsidR="00EA4E67" w:rsidRPr="00730640" w:rsidRDefault="00EA4E67" w:rsidP="00EE484C">
            <w:pPr>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1,000.00</w:t>
            </w:r>
          </w:p>
        </w:tc>
        <w:tc>
          <w:tcPr>
            <w:tcW w:w="1134"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520"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449" w:type="dxa"/>
            <w:vAlign w:val="center"/>
          </w:tcPr>
          <w:p w:rsidR="00EA4E67" w:rsidRPr="00730640" w:rsidRDefault="00EA4E67"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1,000.00</w:t>
            </w:r>
          </w:p>
        </w:tc>
      </w:tr>
      <w:tr w:rsidR="00EA4E67" w:rsidRPr="00730640" w:rsidTr="00C71075">
        <w:trPr>
          <w:trHeight w:val="270"/>
          <w:jc w:val="center"/>
        </w:trPr>
        <w:tc>
          <w:tcPr>
            <w:tcW w:w="76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2</w:t>
            </w:r>
          </w:p>
        </w:tc>
        <w:tc>
          <w:tcPr>
            <w:tcW w:w="241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保本浮动收益型</w:t>
            </w:r>
          </w:p>
        </w:tc>
        <w:tc>
          <w:tcPr>
            <w:tcW w:w="1134" w:type="dxa"/>
            <w:shd w:val="clear" w:color="auto" w:fill="auto"/>
            <w:noWrap/>
          </w:tcPr>
          <w:p w:rsidR="00EA4E67" w:rsidRPr="00730640" w:rsidRDefault="00EA4E67" w:rsidP="00EE484C">
            <w:pPr>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1,500.00</w:t>
            </w:r>
          </w:p>
        </w:tc>
        <w:tc>
          <w:tcPr>
            <w:tcW w:w="1134"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520"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449" w:type="dxa"/>
            <w:vAlign w:val="center"/>
          </w:tcPr>
          <w:p w:rsidR="00EA4E67" w:rsidRPr="00730640" w:rsidRDefault="00EA4E67"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1,500.00</w:t>
            </w:r>
          </w:p>
        </w:tc>
      </w:tr>
      <w:tr w:rsidR="00EA4E67" w:rsidRPr="00730640" w:rsidTr="00A543AC">
        <w:trPr>
          <w:trHeight w:val="270"/>
          <w:jc w:val="center"/>
        </w:trPr>
        <w:tc>
          <w:tcPr>
            <w:tcW w:w="76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3</w:t>
            </w:r>
          </w:p>
        </w:tc>
        <w:tc>
          <w:tcPr>
            <w:tcW w:w="2410" w:type="dxa"/>
            <w:shd w:val="clear" w:color="auto" w:fill="auto"/>
            <w:noWrap/>
            <w:vAlign w:val="center"/>
          </w:tcPr>
          <w:p w:rsidR="00EA4E67" w:rsidRPr="00730640" w:rsidRDefault="00EA4E67"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保本浮动收益型</w:t>
            </w:r>
          </w:p>
        </w:tc>
        <w:tc>
          <w:tcPr>
            <w:tcW w:w="1134" w:type="dxa"/>
            <w:shd w:val="clear" w:color="auto" w:fill="auto"/>
            <w:noWrap/>
            <w:vAlign w:val="center"/>
          </w:tcPr>
          <w:p w:rsidR="00EA4E67" w:rsidRPr="00730640" w:rsidRDefault="00EA4E67"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1,500.00</w:t>
            </w:r>
          </w:p>
        </w:tc>
        <w:tc>
          <w:tcPr>
            <w:tcW w:w="1134"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520" w:type="dxa"/>
            <w:shd w:val="clear" w:color="auto" w:fill="auto"/>
            <w:noWrap/>
            <w:vAlign w:val="center"/>
          </w:tcPr>
          <w:p w:rsidR="00EA4E67" w:rsidRPr="00730640" w:rsidRDefault="00EA4E67" w:rsidP="00B530F2">
            <w:pPr>
              <w:widowControl/>
              <w:jc w:val="center"/>
              <w:rPr>
                <w:rFonts w:asciiTheme="minorEastAsia" w:eastAsiaTheme="minorEastAsia" w:hAnsiTheme="minorEastAsia"/>
                <w:color w:val="000000"/>
                <w:sz w:val="20"/>
                <w:szCs w:val="20"/>
              </w:rPr>
            </w:pPr>
            <w:r w:rsidRPr="00730640">
              <w:rPr>
                <w:rFonts w:asciiTheme="minorEastAsia" w:eastAsiaTheme="minorEastAsia" w:hAnsiTheme="minorEastAsia" w:hint="eastAsia"/>
                <w:color w:val="000000"/>
                <w:sz w:val="20"/>
                <w:szCs w:val="20"/>
              </w:rPr>
              <w:t>未到期</w:t>
            </w:r>
          </w:p>
        </w:tc>
        <w:tc>
          <w:tcPr>
            <w:tcW w:w="1449" w:type="dxa"/>
            <w:vAlign w:val="center"/>
          </w:tcPr>
          <w:p w:rsidR="00EA4E67" w:rsidRPr="00730640" w:rsidRDefault="00EA4E67"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1,500.00</w:t>
            </w:r>
          </w:p>
        </w:tc>
      </w:tr>
      <w:tr w:rsidR="00EE484C" w:rsidRPr="00730640" w:rsidTr="00A543AC">
        <w:trPr>
          <w:trHeight w:val="270"/>
          <w:jc w:val="center"/>
        </w:trPr>
        <w:tc>
          <w:tcPr>
            <w:tcW w:w="760" w:type="dxa"/>
            <w:shd w:val="clear" w:color="auto" w:fill="auto"/>
            <w:noWrap/>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4</w:t>
            </w:r>
          </w:p>
        </w:tc>
        <w:tc>
          <w:tcPr>
            <w:tcW w:w="2410" w:type="dxa"/>
            <w:shd w:val="clear" w:color="auto" w:fill="auto"/>
            <w:noWrap/>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sz w:val="18"/>
                <w:szCs w:val="18"/>
              </w:rPr>
            </w:pPr>
            <w:r w:rsidRPr="00730640">
              <w:rPr>
                <w:rFonts w:asciiTheme="minorEastAsia" w:eastAsiaTheme="minorEastAsia" w:hAnsiTheme="minorEastAsia"/>
                <w:sz w:val="18"/>
                <w:szCs w:val="18"/>
              </w:rPr>
              <w:t>保本浮动收益型</w:t>
            </w:r>
          </w:p>
        </w:tc>
        <w:tc>
          <w:tcPr>
            <w:tcW w:w="1134" w:type="dxa"/>
            <w:shd w:val="clear" w:color="auto" w:fill="auto"/>
            <w:noWrap/>
            <w:vAlign w:val="center"/>
          </w:tcPr>
          <w:p w:rsidR="00EE484C" w:rsidRPr="00730640" w:rsidRDefault="00EE484C"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8</w:t>
            </w:r>
            <w:r w:rsidRPr="00730640">
              <w:rPr>
                <w:rFonts w:asciiTheme="minorEastAsia" w:eastAsiaTheme="minorEastAsia" w:hAnsiTheme="minorEastAsia" w:hint="eastAsia"/>
                <w:sz w:val="18"/>
                <w:szCs w:val="18"/>
              </w:rPr>
              <w:t>,</w:t>
            </w:r>
            <w:r w:rsidRPr="00730640">
              <w:rPr>
                <w:rFonts w:asciiTheme="minorEastAsia" w:eastAsiaTheme="minorEastAsia" w:hAnsiTheme="minorEastAsia"/>
                <w:sz w:val="18"/>
                <w:szCs w:val="18"/>
              </w:rPr>
              <w:t>000.00</w:t>
            </w:r>
          </w:p>
        </w:tc>
        <w:tc>
          <w:tcPr>
            <w:tcW w:w="1134" w:type="dxa"/>
            <w:shd w:val="clear" w:color="auto" w:fill="auto"/>
            <w:noWrap/>
            <w:vAlign w:val="center"/>
          </w:tcPr>
          <w:p w:rsidR="00EE484C" w:rsidRPr="00730640" w:rsidRDefault="002D3D0B"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8</w:t>
            </w:r>
            <w:r w:rsidRPr="00730640">
              <w:rPr>
                <w:rFonts w:asciiTheme="minorEastAsia" w:eastAsiaTheme="minorEastAsia" w:hAnsiTheme="minorEastAsia" w:hint="eastAsia"/>
                <w:sz w:val="18"/>
                <w:szCs w:val="18"/>
              </w:rPr>
              <w:t>,</w:t>
            </w:r>
            <w:r w:rsidRPr="00730640">
              <w:rPr>
                <w:rFonts w:asciiTheme="minorEastAsia" w:eastAsiaTheme="minorEastAsia" w:hAnsiTheme="minorEastAsia"/>
                <w:sz w:val="18"/>
                <w:szCs w:val="18"/>
              </w:rPr>
              <w:t>000.00</w:t>
            </w:r>
          </w:p>
        </w:tc>
        <w:tc>
          <w:tcPr>
            <w:tcW w:w="1520" w:type="dxa"/>
            <w:shd w:val="clear" w:color="auto" w:fill="auto"/>
            <w:noWrap/>
            <w:vAlign w:val="center"/>
          </w:tcPr>
          <w:p w:rsidR="00EE484C" w:rsidRPr="00730640" w:rsidRDefault="00EE484C"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hint="eastAsia"/>
                <w:sz w:val="18"/>
                <w:szCs w:val="18"/>
              </w:rPr>
              <w:t>7</w:t>
            </w:r>
            <w:r w:rsidRPr="00730640">
              <w:rPr>
                <w:rFonts w:asciiTheme="minorEastAsia" w:eastAsiaTheme="minorEastAsia" w:hAnsiTheme="minorEastAsia"/>
                <w:sz w:val="18"/>
                <w:szCs w:val="18"/>
              </w:rPr>
              <w:t>3.38</w:t>
            </w:r>
          </w:p>
        </w:tc>
        <w:tc>
          <w:tcPr>
            <w:tcW w:w="1449" w:type="dxa"/>
            <w:vAlign w:val="center"/>
          </w:tcPr>
          <w:p w:rsidR="00EE484C" w:rsidRPr="00730640" w:rsidRDefault="00EF3635" w:rsidP="00EF3635">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hint="eastAsia"/>
                <w:sz w:val="18"/>
                <w:szCs w:val="18"/>
              </w:rPr>
              <w:t>已收回</w:t>
            </w:r>
          </w:p>
        </w:tc>
      </w:tr>
      <w:tr w:rsidR="00EE484C" w:rsidRPr="00730640" w:rsidTr="00A543AC">
        <w:trPr>
          <w:trHeight w:val="270"/>
          <w:jc w:val="center"/>
        </w:trPr>
        <w:tc>
          <w:tcPr>
            <w:tcW w:w="760" w:type="dxa"/>
            <w:shd w:val="clear" w:color="auto" w:fill="auto"/>
            <w:noWrap/>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5</w:t>
            </w:r>
          </w:p>
        </w:tc>
        <w:tc>
          <w:tcPr>
            <w:tcW w:w="2410" w:type="dxa"/>
            <w:shd w:val="clear" w:color="auto" w:fill="auto"/>
            <w:noWrap/>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sz w:val="18"/>
                <w:szCs w:val="18"/>
              </w:rPr>
            </w:pPr>
            <w:r w:rsidRPr="00730640">
              <w:rPr>
                <w:rFonts w:asciiTheme="minorEastAsia" w:eastAsiaTheme="minorEastAsia" w:hAnsiTheme="minorEastAsia"/>
                <w:sz w:val="18"/>
                <w:szCs w:val="18"/>
              </w:rPr>
              <w:t>保本浮动收益型</w:t>
            </w:r>
          </w:p>
        </w:tc>
        <w:tc>
          <w:tcPr>
            <w:tcW w:w="1134" w:type="dxa"/>
            <w:shd w:val="clear" w:color="auto" w:fill="auto"/>
            <w:noWrap/>
            <w:vAlign w:val="center"/>
          </w:tcPr>
          <w:p w:rsidR="00EE484C" w:rsidRPr="00730640" w:rsidRDefault="00EE484C"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hint="eastAsia"/>
                <w:sz w:val="18"/>
                <w:szCs w:val="18"/>
              </w:rPr>
              <w:t>4</w:t>
            </w:r>
            <w:r w:rsidRPr="00730640">
              <w:rPr>
                <w:rFonts w:asciiTheme="minorEastAsia" w:eastAsiaTheme="minorEastAsia" w:hAnsiTheme="minorEastAsia"/>
                <w:sz w:val="18"/>
                <w:szCs w:val="18"/>
              </w:rPr>
              <w:t>,000.00</w:t>
            </w:r>
          </w:p>
        </w:tc>
        <w:tc>
          <w:tcPr>
            <w:tcW w:w="1134" w:type="dxa"/>
            <w:shd w:val="clear" w:color="auto" w:fill="auto"/>
            <w:noWrap/>
            <w:vAlign w:val="center"/>
          </w:tcPr>
          <w:p w:rsidR="00EE484C" w:rsidRPr="00730640" w:rsidRDefault="00EE484C"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hint="eastAsia"/>
                <w:sz w:val="18"/>
                <w:szCs w:val="18"/>
              </w:rPr>
              <w:t>4</w:t>
            </w:r>
            <w:r w:rsidRPr="00730640">
              <w:rPr>
                <w:rFonts w:asciiTheme="minorEastAsia" w:eastAsiaTheme="minorEastAsia" w:hAnsiTheme="minorEastAsia"/>
                <w:sz w:val="18"/>
                <w:szCs w:val="18"/>
              </w:rPr>
              <w:t>,000.00</w:t>
            </w:r>
          </w:p>
        </w:tc>
        <w:tc>
          <w:tcPr>
            <w:tcW w:w="1520" w:type="dxa"/>
            <w:shd w:val="clear" w:color="auto" w:fill="auto"/>
            <w:noWrap/>
            <w:vAlign w:val="center"/>
          </w:tcPr>
          <w:p w:rsidR="00EE484C" w:rsidRPr="00730640" w:rsidRDefault="00EE484C"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hint="eastAsia"/>
                <w:sz w:val="18"/>
                <w:szCs w:val="18"/>
              </w:rPr>
              <w:t>3</w:t>
            </w:r>
            <w:r w:rsidRPr="00730640">
              <w:rPr>
                <w:rFonts w:asciiTheme="minorEastAsia" w:eastAsiaTheme="minorEastAsia" w:hAnsiTheme="minorEastAsia"/>
                <w:sz w:val="18"/>
                <w:szCs w:val="18"/>
              </w:rPr>
              <w:t>6.69</w:t>
            </w:r>
          </w:p>
        </w:tc>
        <w:tc>
          <w:tcPr>
            <w:tcW w:w="1449" w:type="dxa"/>
            <w:vAlign w:val="center"/>
          </w:tcPr>
          <w:p w:rsidR="00EE484C" w:rsidRPr="00730640" w:rsidRDefault="00EF3635"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hint="eastAsia"/>
                <w:sz w:val="18"/>
                <w:szCs w:val="18"/>
              </w:rPr>
              <w:t>已收回</w:t>
            </w:r>
          </w:p>
        </w:tc>
      </w:tr>
      <w:tr w:rsidR="00EE484C" w:rsidRPr="00730640" w:rsidTr="00A543AC">
        <w:trPr>
          <w:trHeight w:val="270"/>
          <w:jc w:val="center"/>
        </w:trPr>
        <w:tc>
          <w:tcPr>
            <w:tcW w:w="3170" w:type="dxa"/>
            <w:gridSpan w:val="2"/>
            <w:tcBorders>
              <w:bottom w:val="thinThickSmallGap" w:sz="24" w:space="0" w:color="auto"/>
            </w:tcBorders>
            <w:shd w:val="clear" w:color="auto" w:fill="auto"/>
            <w:noWrap/>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合计</w:t>
            </w:r>
          </w:p>
        </w:tc>
        <w:tc>
          <w:tcPr>
            <w:tcW w:w="1134" w:type="dxa"/>
            <w:tcBorders>
              <w:bottom w:val="thinThickSmallGap" w:sz="24" w:space="0" w:color="auto"/>
            </w:tcBorders>
            <w:shd w:val="clear" w:color="auto" w:fill="auto"/>
            <w:vAlign w:val="center"/>
          </w:tcPr>
          <w:p w:rsidR="00EE484C" w:rsidRPr="00730640" w:rsidRDefault="002D3D0B" w:rsidP="00EE484C">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1</w:t>
            </w:r>
            <w:r w:rsidR="0020239B" w:rsidRPr="00730640">
              <w:rPr>
                <w:rFonts w:asciiTheme="minorEastAsia" w:eastAsiaTheme="minorEastAsia" w:hAnsiTheme="minorEastAsia"/>
                <w:sz w:val="18"/>
                <w:szCs w:val="18"/>
              </w:rPr>
              <w:t>6</w:t>
            </w:r>
            <w:r w:rsidRPr="00730640">
              <w:rPr>
                <w:rFonts w:asciiTheme="minorEastAsia" w:eastAsiaTheme="minorEastAsia" w:hAnsiTheme="minorEastAsia" w:hint="eastAsia"/>
                <w:sz w:val="18"/>
                <w:szCs w:val="18"/>
              </w:rPr>
              <w:t>,</w:t>
            </w:r>
            <w:r w:rsidRPr="00730640">
              <w:rPr>
                <w:rFonts w:asciiTheme="minorEastAsia" w:eastAsiaTheme="minorEastAsia" w:hAnsiTheme="minorEastAsia"/>
                <w:sz w:val="18"/>
                <w:szCs w:val="18"/>
              </w:rPr>
              <w:t>000.00</w:t>
            </w:r>
          </w:p>
        </w:tc>
        <w:tc>
          <w:tcPr>
            <w:tcW w:w="1134" w:type="dxa"/>
            <w:tcBorders>
              <w:bottom w:val="thinThickSmallGap" w:sz="24" w:space="0" w:color="auto"/>
            </w:tcBorders>
            <w:shd w:val="clear" w:color="auto" w:fill="auto"/>
            <w:vAlign w:val="center"/>
          </w:tcPr>
          <w:p w:rsidR="00EE484C" w:rsidRPr="00730640" w:rsidRDefault="002D3D0B"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sz w:val="18"/>
                <w:szCs w:val="18"/>
              </w:rPr>
              <w:t>1</w:t>
            </w:r>
            <w:r w:rsidR="0020239B" w:rsidRPr="00730640">
              <w:rPr>
                <w:rFonts w:asciiTheme="minorEastAsia" w:eastAsiaTheme="minorEastAsia" w:hAnsiTheme="minorEastAsia"/>
                <w:sz w:val="18"/>
                <w:szCs w:val="18"/>
              </w:rPr>
              <w:t>2</w:t>
            </w:r>
            <w:r w:rsidRPr="00730640">
              <w:rPr>
                <w:rFonts w:asciiTheme="minorEastAsia" w:eastAsiaTheme="minorEastAsia" w:hAnsiTheme="minorEastAsia" w:hint="eastAsia"/>
                <w:sz w:val="18"/>
                <w:szCs w:val="18"/>
              </w:rPr>
              <w:t>,</w:t>
            </w:r>
            <w:r w:rsidRPr="00730640">
              <w:rPr>
                <w:rFonts w:asciiTheme="minorEastAsia" w:eastAsiaTheme="minorEastAsia" w:hAnsiTheme="minorEastAsia"/>
                <w:sz w:val="18"/>
                <w:szCs w:val="18"/>
              </w:rPr>
              <w:t>000.00</w:t>
            </w:r>
          </w:p>
        </w:tc>
        <w:tc>
          <w:tcPr>
            <w:tcW w:w="1520" w:type="dxa"/>
            <w:tcBorders>
              <w:bottom w:val="thinThickSmallGap" w:sz="24" w:space="0" w:color="auto"/>
            </w:tcBorders>
            <w:shd w:val="clear" w:color="auto" w:fill="auto"/>
            <w:vAlign w:val="center"/>
          </w:tcPr>
          <w:p w:rsidR="00EE484C" w:rsidRPr="00730640" w:rsidRDefault="0020239B" w:rsidP="0020239B">
            <w:pPr>
              <w:autoSpaceDE w:val="0"/>
              <w:autoSpaceDN w:val="0"/>
              <w:adjustRightInd w:val="0"/>
              <w:spacing w:line="360" w:lineRule="auto"/>
              <w:jc w:val="right"/>
              <w:rPr>
                <w:rFonts w:asciiTheme="minorEastAsia" w:eastAsiaTheme="minorEastAsia" w:hAnsiTheme="minorEastAsia"/>
                <w:sz w:val="18"/>
                <w:szCs w:val="18"/>
              </w:rPr>
            </w:pPr>
            <w:r w:rsidRPr="00730640">
              <w:rPr>
                <w:rFonts w:asciiTheme="minorEastAsia" w:eastAsiaTheme="minorEastAsia" w:hAnsiTheme="minorEastAsia"/>
                <w:sz w:val="18"/>
                <w:szCs w:val="18"/>
              </w:rPr>
              <w:t>110.07</w:t>
            </w:r>
          </w:p>
        </w:tc>
        <w:tc>
          <w:tcPr>
            <w:tcW w:w="1449" w:type="dxa"/>
            <w:tcBorders>
              <w:bottom w:val="thinThickSmallGap" w:sz="24" w:space="0" w:color="auto"/>
            </w:tcBorders>
            <w:vAlign w:val="center"/>
          </w:tcPr>
          <w:p w:rsidR="00EE484C" w:rsidRPr="00730640" w:rsidRDefault="00EA4E67" w:rsidP="00EE484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4,000.00</w:t>
            </w:r>
          </w:p>
        </w:tc>
      </w:tr>
      <w:tr w:rsidR="00EE484C" w:rsidRPr="00730640" w:rsidTr="0099191D">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EE484C" w:rsidRPr="00730640" w:rsidRDefault="0020239B"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8</w:t>
            </w:r>
            <w:r w:rsidR="00EA4E67" w:rsidRPr="00730640">
              <w:rPr>
                <w:rFonts w:asciiTheme="minorEastAsia" w:eastAsiaTheme="minorEastAsia" w:hAnsiTheme="minorEastAsia" w:cs="宋体" w:hint="eastAsia"/>
                <w:color w:val="000000"/>
                <w:kern w:val="0"/>
                <w:szCs w:val="21"/>
              </w:rPr>
              <w:t>,</w:t>
            </w:r>
            <w:r w:rsidRPr="00730640">
              <w:rPr>
                <w:rFonts w:asciiTheme="minorEastAsia" w:eastAsiaTheme="minorEastAsia" w:hAnsiTheme="minorEastAsia" w:cs="宋体"/>
                <w:color w:val="000000"/>
                <w:kern w:val="0"/>
                <w:szCs w:val="21"/>
              </w:rPr>
              <w:t>000.00</w:t>
            </w:r>
          </w:p>
        </w:tc>
      </w:tr>
      <w:tr w:rsidR="00EE484C" w:rsidRPr="00730640" w:rsidTr="0099191D">
        <w:trPr>
          <w:trHeight w:val="270"/>
          <w:jc w:val="center"/>
        </w:trPr>
        <w:tc>
          <w:tcPr>
            <w:tcW w:w="5438" w:type="dxa"/>
            <w:gridSpan w:val="4"/>
            <w:tcBorders>
              <w:top w:val="single" w:sz="4" w:space="0" w:color="auto"/>
            </w:tcBorders>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EE484C" w:rsidRPr="00730640" w:rsidRDefault="0020239B"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3.39</w:t>
            </w:r>
          </w:p>
        </w:tc>
      </w:tr>
      <w:tr w:rsidR="00EE484C" w:rsidRPr="00730640" w:rsidTr="0099191D">
        <w:trPr>
          <w:trHeight w:val="792"/>
          <w:jc w:val="center"/>
        </w:trPr>
        <w:tc>
          <w:tcPr>
            <w:tcW w:w="5438" w:type="dxa"/>
            <w:gridSpan w:val="4"/>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 xml:space="preserve">最近12个月现金管理累计收益/最近一年净利润（%）　</w:t>
            </w:r>
          </w:p>
        </w:tc>
        <w:tc>
          <w:tcPr>
            <w:tcW w:w="2969" w:type="dxa"/>
            <w:gridSpan w:val="2"/>
            <w:shd w:val="clear" w:color="auto" w:fill="auto"/>
            <w:vAlign w:val="center"/>
          </w:tcPr>
          <w:p w:rsidR="00EE484C" w:rsidRPr="00730640" w:rsidRDefault="00FA666C" w:rsidP="00365059">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1</w:t>
            </w:r>
            <w:r w:rsidRPr="00730640">
              <w:rPr>
                <w:rFonts w:asciiTheme="minorEastAsia" w:eastAsiaTheme="minorEastAsia" w:hAnsiTheme="minorEastAsia" w:cs="宋体" w:hint="eastAsia"/>
                <w:color w:val="000000"/>
                <w:kern w:val="0"/>
                <w:szCs w:val="21"/>
              </w:rPr>
              <w:t>.</w:t>
            </w:r>
            <w:r w:rsidR="00365059" w:rsidRPr="00730640">
              <w:rPr>
                <w:rFonts w:asciiTheme="minorEastAsia" w:eastAsiaTheme="minorEastAsia" w:hAnsiTheme="minorEastAsia" w:cs="宋体" w:hint="eastAsia"/>
                <w:color w:val="000000"/>
                <w:kern w:val="0"/>
                <w:szCs w:val="21"/>
              </w:rPr>
              <w:t>71</w:t>
            </w:r>
          </w:p>
        </w:tc>
      </w:tr>
      <w:tr w:rsidR="00EE484C" w:rsidRPr="00730640" w:rsidTr="0099191D">
        <w:trPr>
          <w:trHeight w:val="270"/>
          <w:jc w:val="center"/>
        </w:trPr>
        <w:tc>
          <w:tcPr>
            <w:tcW w:w="5438" w:type="dxa"/>
            <w:gridSpan w:val="4"/>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目前已使用的现金管理额度</w:t>
            </w:r>
          </w:p>
        </w:tc>
        <w:tc>
          <w:tcPr>
            <w:tcW w:w="2969" w:type="dxa"/>
            <w:gridSpan w:val="2"/>
            <w:shd w:val="clear" w:color="auto" w:fill="auto"/>
            <w:vAlign w:val="center"/>
          </w:tcPr>
          <w:p w:rsidR="00EE484C" w:rsidRPr="00730640" w:rsidRDefault="005401F3"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4</w:t>
            </w:r>
            <w:r w:rsidR="00EA4E67" w:rsidRPr="00730640">
              <w:rPr>
                <w:rFonts w:asciiTheme="minorEastAsia" w:eastAsiaTheme="minorEastAsia" w:hAnsiTheme="minorEastAsia" w:cs="宋体" w:hint="eastAsia"/>
                <w:color w:val="000000"/>
                <w:kern w:val="0"/>
                <w:szCs w:val="21"/>
              </w:rPr>
              <w:t>,</w:t>
            </w:r>
            <w:r w:rsidRPr="00730640">
              <w:rPr>
                <w:rFonts w:asciiTheme="minorEastAsia" w:eastAsiaTheme="minorEastAsia" w:hAnsiTheme="minorEastAsia" w:cs="宋体"/>
                <w:color w:val="000000"/>
                <w:kern w:val="0"/>
                <w:szCs w:val="21"/>
              </w:rPr>
              <w:t>000.00</w:t>
            </w:r>
          </w:p>
        </w:tc>
      </w:tr>
      <w:tr w:rsidR="00EE484C" w:rsidRPr="00730640" w:rsidTr="0099191D">
        <w:trPr>
          <w:trHeight w:val="270"/>
          <w:jc w:val="center"/>
        </w:trPr>
        <w:tc>
          <w:tcPr>
            <w:tcW w:w="5438" w:type="dxa"/>
            <w:gridSpan w:val="4"/>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 xml:space="preserve">尚未使用的现金管理额度　</w:t>
            </w:r>
          </w:p>
        </w:tc>
        <w:tc>
          <w:tcPr>
            <w:tcW w:w="2969" w:type="dxa"/>
            <w:gridSpan w:val="2"/>
            <w:shd w:val="clear" w:color="auto" w:fill="auto"/>
            <w:vAlign w:val="center"/>
          </w:tcPr>
          <w:p w:rsidR="00EE484C" w:rsidRPr="00730640" w:rsidRDefault="005401F3"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0.00</w:t>
            </w:r>
          </w:p>
        </w:tc>
      </w:tr>
      <w:tr w:rsidR="00EE484C" w:rsidRPr="00730640" w:rsidTr="0099191D">
        <w:trPr>
          <w:trHeight w:val="270"/>
          <w:jc w:val="center"/>
        </w:trPr>
        <w:tc>
          <w:tcPr>
            <w:tcW w:w="5438" w:type="dxa"/>
            <w:gridSpan w:val="4"/>
            <w:shd w:val="clear" w:color="auto" w:fill="auto"/>
            <w:vAlign w:val="center"/>
          </w:tcPr>
          <w:p w:rsidR="00EE484C" w:rsidRPr="00730640" w:rsidRDefault="00EE484C"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hint="eastAsia"/>
                <w:color w:val="000000"/>
                <w:kern w:val="0"/>
                <w:szCs w:val="21"/>
              </w:rPr>
              <w:t>现金管理总额度</w:t>
            </w:r>
          </w:p>
        </w:tc>
        <w:tc>
          <w:tcPr>
            <w:tcW w:w="2969" w:type="dxa"/>
            <w:gridSpan w:val="2"/>
            <w:shd w:val="clear" w:color="auto" w:fill="auto"/>
            <w:vAlign w:val="center"/>
          </w:tcPr>
          <w:p w:rsidR="00EE484C" w:rsidRPr="00730640" w:rsidRDefault="005401F3" w:rsidP="00EE484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30640">
              <w:rPr>
                <w:rFonts w:asciiTheme="minorEastAsia" w:eastAsiaTheme="minorEastAsia" w:hAnsiTheme="minorEastAsia" w:cs="宋体"/>
                <w:color w:val="000000"/>
                <w:kern w:val="0"/>
                <w:szCs w:val="21"/>
              </w:rPr>
              <w:t>4</w:t>
            </w:r>
            <w:r w:rsidR="00EA4E67" w:rsidRPr="00730640">
              <w:rPr>
                <w:rFonts w:asciiTheme="minorEastAsia" w:eastAsiaTheme="minorEastAsia" w:hAnsiTheme="minorEastAsia" w:cs="宋体" w:hint="eastAsia"/>
                <w:color w:val="000000"/>
                <w:kern w:val="0"/>
                <w:szCs w:val="21"/>
              </w:rPr>
              <w:t>,</w:t>
            </w:r>
            <w:r w:rsidRPr="00730640">
              <w:rPr>
                <w:rFonts w:asciiTheme="minorEastAsia" w:eastAsiaTheme="minorEastAsia" w:hAnsiTheme="minorEastAsia" w:cs="宋体"/>
                <w:color w:val="000000"/>
                <w:kern w:val="0"/>
                <w:szCs w:val="21"/>
              </w:rPr>
              <w:t>000.00</w:t>
            </w:r>
          </w:p>
        </w:tc>
      </w:tr>
    </w:tbl>
    <w:p w:rsidR="00DF72BE" w:rsidRDefault="00236846">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特此公告。</w:t>
      </w:r>
    </w:p>
    <w:p w:rsidR="00DF72BE" w:rsidRDefault="00DF72BE">
      <w:pPr>
        <w:autoSpaceDE w:val="0"/>
        <w:autoSpaceDN w:val="0"/>
        <w:adjustRightInd w:val="0"/>
        <w:spacing w:line="360" w:lineRule="auto"/>
        <w:ind w:firstLineChars="200" w:firstLine="480"/>
        <w:rPr>
          <w:rFonts w:ascii="宋体" w:hAnsi="宋体"/>
          <w:color w:val="000000"/>
          <w:sz w:val="24"/>
        </w:rPr>
      </w:pP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DF72BE" w:rsidRDefault="00236846">
      <w:pPr>
        <w:pStyle w:val="a6"/>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20</w:t>
      </w:r>
      <w:r w:rsidR="009B4C3B">
        <w:rPr>
          <w:rFonts w:cs="Arial" w:hint="eastAsia"/>
        </w:rPr>
        <w:t>20</w:t>
      </w:r>
      <w:r>
        <w:rPr>
          <w:rFonts w:cs="Arial" w:hint="eastAsia"/>
        </w:rPr>
        <w:t>年</w:t>
      </w:r>
      <w:r w:rsidR="009B4C3B">
        <w:rPr>
          <w:rFonts w:cs="Arial" w:hint="eastAsia"/>
        </w:rPr>
        <w:t>4</w:t>
      </w:r>
      <w:r>
        <w:rPr>
          <w:rFonts w:cs="Arial" w:hint="eastAsia"/>
        </w:rPr>
        <w:t>月</w:t>
      </w:r>
      <w:r w:rsidR="009B4C3B">
        <w:rPr>
          <w:rFonts w:cs="Arial" w:hint="eastAsia"/>
        </w:rPr>
        <w:t>29</w:t>
      </w:r>
      <w:r>
        <w:rPr>
          <w:rFonts w:cs="Arial" w:hint="eastAsia"/>
        </w:rPr>
        <w:t>日</w:t>
      </w:r>
    </w:p>
    <w:sectPr w:rsidR="00DF72BE">
      <w:headerReference w:type="even" r:id="rId9"/>
      <w:headerReference w:type="default" r:id="rId10"/>
      <w:footerReference w:type="even"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DE" w:rsidRDefault="00F611DE">
      <w:r>
        <w:separator/>
      </w:r>
    </w:p>
  </w:endnote>
  <w:endnote w:type="continuationSeparator" w:id="0">
    <w:p w:rsidR="00F611DE" w:rsidRDefault="00F6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236846">
    <w:pPr>
      <w:spacing w:line="400" w:lineRule="exact"/>
      <w:jc w:val="center"/>
      <w:rPr>
        <w:rFonts w:ascii="仿宋_GB2312" w:eastAsia="仿宋_GB2312"/>
        <w:bCs/>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rsidR="00DF72BE" w:rsidRDefault="00DF72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DE" w:rsidRDefault="00F611DE">
      <w:r>
        <w:separator/>
      </w:r>
    </w:p>
  </w:footnote>
  <w:footnote w:type="continuationSeparator" w:id="0">
    <w:p w:rsidR="00F611DE" w:rsidRDefault="00F6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single" w:sz="6" w:space="0" w:color="auto"/>
      </w:pBdr>
    </w:pPr>
  </w:p>
  <w:p w:rsidR="00DF72BE" w:rsidRDefault="00DF72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none" w:sz="0" w:space="0" w:color="auto"/>
      </w:pBdr>
    </w:pPr>
  </w:p>
  <w:p w:rsidR="00DF72BE" w:rsidRDefault="00DF7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3"/>
    <w:rsid w:val="0001153F"/>
    <w:rsid w:val="00015559"/>
    <w:rsid w:val="0003171D"/>
    <w:rsid w:val="000377FA"/>
    <w:rsid w:val="000514F9"/>
    <w:rsid w:val="000627CF"/>
    <w:rsid w:val="00065836"/>
    <w:rsid w:val="000C1EBF"/>
    <w:rsid w:val="000D5160"/>
    <w:rsid w:val="000E57BA"/>
    <w:rsid w:val="000E5928"/>
    <w:rsid w:val="000F6F2D"/>
    <w:rsid w:val="00101549"/>
    <w:rsid w:val="001044FC"/>
    <w:rsid w:val="00114893"/>
    <w:rsid w:val="00115DE0"/>
    <w:rsid w:val="001245CF"/>
    <w:rsid w:val="001256C0"/>
    <w:rsid w:val="00125EB5"/>
    <w:rsid w:val="00141A30"/>
    <w:rsid w:val="0014235B"/>
    <w:rsid w:val="001449C0"/>
    <w:rsid w:val="00163205"/>
    <w:rsid w:val="00167B35"/>
    <w:rsid w:val="00184711"/>
    <w:rsid w:val="001860DB"/>
    <w:rsid w:val="00190662"/>
    <w:rsid w:val="001A6F91"/>
    <w:rsid w:val="001C601F"/>
    <w:rsid w:val="001E0BC6"/>
    <w:rsid w:val="001F698F"/>
    <w:rsid w:val="0020239B"/>
    <w:rsid w:val="00205C37"/>
    <w:rsid w:val="0023652B"/>
    <w:rsid w:val="00236846"/>
    <w:rsid w:val="002442A3"/>
    <w:rsid w:val="00251C73"/>
    <w:rsid w:val="0025726D"/>
    <w:rsid w:val="0025795B"/>
    <w:rsid w:val="0027220C"/>
    <w:rsid w:val="00273B2E"/>
    <w:rsid w:val="00274C8F"/>
    <w:rsid w:val="002808AB"/>
    <w:rsid w:val="00284CD2"/>
    <w:rsid w:val="002A6A84"/>
    <w:rsid w:val="002B7CCB"/>
    <w:rsid w:val="002C71E7"/>
    <w:rsid w:val="002D2369"/>
    <w:rsid w:val="002D3D0B"/>
    <w:rsid w:val="002D4528"/>
    <w:rsid w:val="002F74DC"/>
    <w:rsid w:val="00302B73"/>
    <w:rsid w:val="0031111C"/>
    <w:rsid w:val="00324EB8"/>
    <w:rsid w:val="00351B94"/>
    <w:rsid w:val="00365059"/>
    <w:rsid w:val="0037324C"/>
    <w:rsid w:val="00373349"/>
    <w:rsid w:val="003870CC"/>
    <w:rsid w:val="003B5345"/>
    <w:rsid w:val="003C607D"/>
    <w:rsid w:val="003D0C3B"/>
    <w:rsid w:val="003D3FFF"/>
    <w:rsid w:val="003E355B"/>
    <w:rsid w:val="0041720E"/>
    <w:rsid w:val="0043516B"/>
    <w:rsid w:val="004502F4"/>
    <w:rsid w:val="00461ACA"/>
    <w:rsid w:val="00496E8A"/>
    <w:rsid w:val="004C27B9"/>
    <w:rsid w:val="004C3DB4"/>
    <w:rsid w:val="004E363D"/>
    <w:rsid w:val="004F1ED6"/>
    <w:rsid w:val="004F1F15"/>
    <w:rsid w:val="00525168"/>
    <w:rsid w:val="005401F3"/>
    <w:rsid w:val="0054311D"/>
    <w:rsid w:val="005712CB"/>
    <w:rsid w:val="0057131D"/>
    <w:rsid w:val="00576EB9"/>
    <w:rsid w:val="00577695"/>
    <w:rsid w:val="005777D5"/>
    <w:rsid w:val="00577CBB"/>
    <w:rsid w:val="00582B6D"/>
    <w:rsid w:val="005A2F55"/>
    <w:rsid w:val="005A7849"/>
    <w:rsid w:val="005B4F18"/>
    <w:rsid w:val="005C3668"/>
    <w:rsid w:val="005D2896"/>
    <w:rsid w:val="005D4ACB"/>
    <w:rsid w:val="00615D49"/>
    <w:rsid w:val="00622BD0"/>
    <w:rsid w:val="006412D7"/>
    <w:rsid w:val="00662769"/>
    <w:rsid w:val="00666446"/>
    <w:rsid w:val="00683AED"/>
    <w:rsid w:val="00690B05"/>
    <w:rsid w:val="00695D72"/>
    <w:rsid w:val="006B29CA"/>
    <w:rsid w:val="006B2B65"/>
    <w:rsid w:val="006B2DCA"/>
    <w:rsid w:val="006F1CFC"/>
    <w:rsid w:val="007001F0"/>
    <w:rsid w:val="007014FC"/>
    <w:rsid w:val="00712811"/>
    <w:rsid w:val="00730640"/>
    <w:rsid w:val="00740EF0"/>
    <w:rsid w:val="00751560"/>
    <w:rsid w:val="007564B5"/>
    <w:rsid w:val="00762A6B"/>
    <w:rsid w:val="00766EEB"/>
    <w:rsid w:val="00772A33"/>
    <w:rsid w:val="007A4BD7"/>
    <w:rsid w:val="007C7BAF"/>
    <w:rsid w:val="007D45D0"/>
    <w:rsid w:val="007E184D"/>
    <w:rsid w:val="00802A0A"/>
    <w:rsid w:val="008179EF"/>
    <w:rsid w:val="008613A1"/>
    <w:rsid w:val="00887DA0"/>
    <w:rsid w:val="00893296"/>
    <w:rsid w:val="008935D4"/>
    <w:rsid w:val="00896AEF"/>
    <w:rsid w:val="008A46EC"/>
    <w:rsid w:val="008D42B8"/>
    <w:rsid w:val="008E57CC"/>
    <w:rsid w:val="008F5155"/>
    <w:rsid w:val="008F6AB5"/>
    <w:rsid w:val="009021A0"/>
    <w:rsid w:val="00933FA5"/>
    <w:rsid w:val="00934104"/>
    <w:rsid w:val="00955A3F"/>
    <w:rsid w:val="00960430"/>
    <w:rsid w:val="00963671"/>
    <w:rsid w:val="00967AA4"/>
    <w:rsid w:val="0099191D"/>
    <w:rsid w:val="009B4300"/>
    <w:rsid w:val="009B4C3B"/>
    <w:rsid w:val="00A05A16"/>
    <w:rsid w:val="00A172F6"/>
    <w:rsid w:val="00A267F9"/>
    <w:rsid w:val="00A31887"/>
    <w:rsid w:val="00A543AC"/>
    <w:rsid w:val="00A842DF"/>
    <w:rsid w:val="00AA10D4"/>
    <w:rsid w:val="00AB2664"/>
    <w:rsid w:val="00AC6421"/>
    <w:rsid w:val="00AC7ABF"/>
    <w:rsid w:val="00B07E79"/>
    <w:rsid w:val="00B11221"/>
    <w:rsid w:val="00B154C6"/>
    <w:rsid w:val="00B31A8D"/>
    <w:rsid w:val="00B31FB0"/>
    <w:rsid w:val="00B52013"/>
    <w:rsid w:val="00B52102"/>
    <w:rsid w:val="00B668C5"/>
    <w:rsid w:val="00B87AB6"/>
    <w:rsid w:val="00B937C0"/>
    <w:rsid w:val="00BB5C59"/>
    <w:rsid w:val="00BB5F62"/>
    <w:rsid w:val="00BC7D27"/>
    <w:rsid w:val="00BE02AE"/>
    <w:rsid w:val="00BE03E9"/>
    <w:rsid w:val="00BF68F7"/>
    <w:rsid w:val="00C01D90"/>
    <w:rsid w:val="00C14435"/>
    <w:rsid w:val="00C240FA"/>
    <w:rsid w:val="00C71DAA"/>
    <w:rsid w:val="00C77455"/>
    <w:rsid w:val="00CC65AD"/>
    <w:rsid w:val="00CD2A4D"/>
    <w:rsid w:val="00CD5891"/>
    <w:rsid w:val="00CD6EAB"/>
    <w:rsid w:val="00CE42CC"/>
    <w:rsid w:val="00CF2676"/>
    <w:rsid w:val="00CF3083"/>
    <w:rsid w:val="00CF42BE"/>
    <w:rsid w:val="00CF42F0"/>
    <w:rsid w:val="00CF6405"/>
    <w:rsid w:val="00D04CBB"/>
    <w:rsid w:val="00D21B8D"/>
    <w:rsid w:val="00D26D15"/>
    <w:rsid w:val="00D313FC"/>
    <w:rsid w:val="00D406E7"/>
    <w:rsid w:val="00D41C86"/>
    <w:rsid w:val="00D45281"/>
    <w:rsid w:val="00D53DC4"/>
    <w:rsid w:val="00D86A2F"/>
    <w:rsid w:val="00D90BC6"/>
    <w:rsid w:val="00DC2141"/>
    <w:rsid w:val="00DC287B"/>
    <w:rsid w:val="00DC6611"/>
    <w:rsid w:val="00DE7632"/>
    <w:rsid w:val="00DF72BE"/>
    <w:rsid w:val="00E003D0"/>
    <w:rsid w:val="00E01F70"/>
    <w:rsid w:val="00E025CD"/>
    <w:rsid w:val="00E03FDF"/>
    <w:rsid w:val="00E05034"/>
    <w:rsid w:val="00E07071"/>
    <w:rsid w:val="00E07A3F"/>
    <w:rsid w:val="00E1059C"/>
    <w:rsid w:val="00E176DF"/>
    <w:rsid w:val="00E220DE"/>
    <w:rsid w:val="00E34C0D"/>
    <w:rsid w:val="00E74755"/>
    <w:rsid w:val="00E77D37"/>
    <w:rsid w:val="00E83980"/>
    <w:rsid w:val="00E9529E"/>
    <w:rsid w:val="00E96761"/>
    <w:rsid w:val="00EA4E67"/>
    <w:rsid w:val="00EA6444"/>
    <w:rsid w:val="00EB7FBA"/>
    <w:rsid w:val="00EE484C"/>
    <w:rsid w:val="00EF3635"/>
    <w:rsid w:val="00EF67AA"/>
    <w:rsid w:val="00F03FA2"/>
    <w:rsid w:val="00F0516A"/>
    <w:rsid w:val="00F168FB"/>
    <w:rsid w:val="00F21312"/>
    <w:rsid w:val="00F23D77"/>
    <w:rsid w:val="00F253D0"/>
    <w:rsid w:val="00F268D5"/>
    <w:rsid w:val="00F41DF5"/>
    <w:rsid w:val="00F611DE"/>
    <w:rsid w:val="00F642E6"/>
    <w:rsid w:val="00F6740A"/>
    <w:rsid w:val="00F736BF"/>
    <w:rsid w:val="00FA5496"/>
    <w:rsid w:val="00FA666C"/>
    <w:rsid w:val="00FB56C5"/>
    <w:rsid w:val="00FB5A20"/>
    <w:rsid w:val="00FB79DD"/>
    <w:rsid w:val="00FC7AE7"/>
    <w:rsid w:val="00FE2E08"/>
    <w:rsid w:val="00FE4FBE"/>
    <w:rsid w:val="00FE5ACA"/>
    <w:rsid w:val="08886503"/>
    <w:rsid w:val="17685A47"/>
    <w:rsid w:val="17867D78"/>
    <w:rsid w:val="493979BF"/>
    <w:rsid w:val="50777D0F"/>
    <w:rsid w:val="56D72480"/>
    <w:rsid w:val="594B0749"/>
    <w:rsid w:val="5BCA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66</cp:revision>
  <dcterms:created xsi:type="dcterms:W3CDTF">2019-11-09T00:43:00Z</dcterms:created>
  <dcterms:modified xsi:type="dcterms:W3CDTF">2020-04-28T05:31:00Z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