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22" w:rsidRPr="001015DE" w:rsidRDefault="00071B22" w:rsidP="00071B22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r w:rsidRPr="00EC40BE">
        <w:rPr>
          <w:rFonts w:ascii="宋体" w:hAnsi="宋体" w:cs="宋体" w:hint="eastAsia"/>
          <w:color w:val="000000"/>
          <w:kern w:val="0"/>
          <w:sz w:val="24"/>
        </w:rPr>
        <w:t>证券</w:t>
      </w:r>
      <w:r w:rsidRPr="00F00A16">
        <w:rPr>
          <w:rFonts w:ascii="宋体" w:hAnsi="宋体" w:cs="宋体" w:hint="eastAsia"/>
          <w:color w:val="000000"/>
          <w:kern w:val="0"/>
          <w:sz w:val="24"/>
        </w:rPr>
        <w:t>代码：</w:t>
      </w:r>
      <w:r w:rsidRPr="00F00A16">
        <w:rPr>
          <w:rFonts w:ascii="宋体" w:hAnsi="宋体" w:cs="Arial"/>
          <w:color w:val="000000"/>
          <w:kern w:val="0"/>
          <w:sz w:val="24"/>
        </w:rPr>
        <w:t>600</w:t>
      </w:r>
      <w:r w:rsidRPr="00F00A16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F00A16">
        <w:rPr>
          <w:rFonts w:ascii="宋体" w:hAnsi="宋体" w:cs="Arial"/>
          <w:color w:val="000000"/>
          <w:kern w:val="0"/>
          <w:sz w:val="24"/>
        </w:rPr>
        <w:t xml:space="preserve"> </w:t>
      </w:r>
      <w:r w:rsidRPr="00F00A16"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F00A16">
        <w:rPr>
          <w:rFonts w:ascii="宋体" w:hAnsi="宋体" w:cs="宋体" w:hint="eastAsia"/>
          <w:color w:val="000000"/>
          <w:kern w:val="0"/>
          <w:sz w:val="24"/>
        </w:rPr>
        <w:t>证券简称：江苏吴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公告编号：临201</w:t>
      </w:r>
      <w:r>
        <w:rPr>
          <w:rFonts w:ascii="宋体" w:hAnsi="宋体" w:cs="Arial" w:hint="eastAsia"/>
          <w:color w:val="000000"/>
          <w:kern w:val="0"/>
          <w:sz w:val="24"/>
        </w:rPr>
        <w:t>8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-</w:t>
      </w:r>
      <w:r>
        <w:rPr>
          <w:rFonts w:ascii="宋体" w:hAnsi="宋体" w:cs="Arial" w:hint="eastAsia"/>
          <w:color w:val="000000"/>
          <w:kern w:val="0"/>
          <w:sz w:val="24"/>
        </w:rPr>
        <w:t>0</w:t>
      </w:r>
      <w:r w:rsidR="00432A96">
        <w:rPr>
          <w:rFonts w:ascii="宋体" w:hAnsi="宋体" w:cs="Arial" w:hint="eastAsia"/>
          <w:color w:val="000000"/>
          <w:kern w:val="0"/>
          <w:sz w:val="24"/>
        </w:rPr>
        <w:t>29</w:t>
      </w:r>
    </w:p>
    <w:p w:rsidR="00071B22" w:rsidRDefault="00071B22" w:rsidP="00071B22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A949EE" w:rsidRDefault="00071B22" w:rsidP="00071B22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A37A7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432A96" w:rsidRDefault="00432A96" w:rsidP="00071B22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432A96">
        <w:rPr>
          <w:rFonts w:ascii="黑体" w:eastAsia="黑体" w:hAnsi="宋体" w:hint="eastAsia"/>
          <w:b/>
          <w:bCs/>
          <w:color w:val="FF0000"/>
          <w:sz w:val="32"/>
        </w:rPr>
        <w:t>关于下属江苏吴中医药集团有限公司苏州中凯生物制药厂</w:t>
      </w:r>
    </w:p>
    <w:p w:rsidR="00071B22" w:rsidRPr="00B71D98" w:rsidRDefault="00432A96" w:rsidP="00071B22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432A96">
        <w:rPr>
          <w:rFonts w:ascii="黑体" w:eastAsia="黑体" w:hAnsi="宋体" w:hint="eastAsia"/>
          <w:b/>
          <w:bCs/>
          <w:color w:val="FF0000"/>
          <w:sz w:val="32"/>
        </w:rPr>
        <w:t>获得药品GMP证书的公告</w:t>
      </w:r>
    </w:p>
    <w:p w:rsidR="00071B22" w:rsidRDefault="00071B22" w:rsidP="00071B22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071B22" w:rsidRPr="00C64350" w:rsidRDefault="00071B22" w:rsidP="00071B22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</w:rPr>
      </w:pP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本公司</w:t>
      </w:r>
      <w:r>
        <w:rPr>
          <w:rFonts w:ascii="宋体" w:hAnsi="宋体" w:cs="宋体" w:hint="eastAsia"/>
          <w:b/>
          <w:color w:val="000000"/>
          <w:kern w:val="0"/>
          <w:sz w:val="24"/>
        </w:rPr>
        <w:t>董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事会及全体</w:t>
      </w:r>
      <w:r>
        <w:rPr>
          <w:rFonts w:ascii="宋体" w:hAnsi="宋体" w:cs="宋体" w:hint="eastAsia"/>
          <w:b/>
          <w:color w:val="000000"/>
          <w:kern w:val="0"/>
          <w:sz w:val="24"/>
        </w:rPr>
        <w:t>董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事保证</w:t>
      </w:r>
      <w:r w:rsidRPr="0020622E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071B22" w:rsidRDefault="00071B22" w:rsidP="00071B22">
      <w:pPr>
        <w:spacing w:line="360" w:lineRule="auto"/>
        <w:ind w:rightChars="15" w:right="31" w:firstLineChars="200" w:firstLine="480"/>
        <w:rPr>
          <w:rFonts w:ascii="宋体" w:hAnsi="宋体"/>
          <w:sz w:val="24"/>
        </w:rPr>
      </w:pPr>
    </w:p>
    <w:p w:rsidR="00883FF6" w:rsidRDefault="00052696" w:rsidP="00071B2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2018年4月18日</w:t>
      </w:r>
      <w:r w:rsidR="00432A96">
        <w:rPr>
          <w:rFonts w:ascii="宋体" w:hAnsi="宋体" w:hint="eastAsia"/>
          <w:sz w:val="24"/>
        </w:rPr>
        <w:t>，</w:t>
      </w:r>
      <w:r w:rsidR="00071B22">
        <w:rPr>
          <w:rFonts w:ascii="宋体" w:hAnsi="宋体" w:hint="eastAsia"/>
          <w:sz w:val="24"/>
        </w:rPr>
        <w:t>江苏吴中</w:t>
      </w:r>
      <w:r w:rsidR="00071B22" w:rsidRPr="009A64E7">
        <w:rPr>
          <w:rFonts w:ascii="宋体" w:hAnsi="宋体" w:hint="eastAsia"/>
          <w:sz w:val="24"/>
        </w:rPr>
        <w:t>实业股份有限公司</w:t>
      </w:r>
      <w:r w:rsidR="00261238">
        <w:rPr>
          <w:rFonts w:ascii="宋体" w:hAnsi="宋体" w:hint="eastAsia"/>
          <w:sz w:val="24"/>
        </w:rPr>
        <w:t>（以下简称“公司”）</w:t>
      </w:r>
      <w:r w:rsidR="00432A96">
        <w:rPr>
          <w:rFonts w:ascii="宋体" w:hAnsi="宋体" w:hint="eastAsia"/>
          <w:sz w:val="24"/>
        </w:rPr>
        <w:t>下属</w:t>
      </w:r>
      <w:r w:rsidR="00432A96" w:rsidRPr="00432A96">
        <w:rPr>
          <w:rFonts w:ascii="宋体" w:hAnsi="宋体" w:hint="eastAsia"/>
          <w:sz w:val="24"/>
        </w:rPr>
        <w:t>江苏吴中医药集团有限公司苏州中凯生物制药厂</w:t>
      </w:r>
      <w:r w:rsidR="00432A96">
        <w:rPr>
          <w:rFonts w:ascii="宋体" w:hAnsi="宋体" w:hint="eastAsia"/>
          <w:sz w:val="24"/>
        </w:rPr>
        <w:t>（以下简称“中凯厂”）收到江苏省食品药品监督管理局颁发的《药品GMP证书》，证书编号：JS20180799。</w:t>
      </w:r>
      <w:r w:rsidR="00965FDC">
        <w:rPr>
          <w:rFonts w:ascii="宋体" w:hAnsi="宋体" w:hint="eastAsia"/>
          <w:sz w:val="24"/>
        </w:rPr>
        <w:t>现将相关情况公告如下：</w:t>
      </w:r>
    </w:p>
    <w:p w:rsidR="00432A96" w:rsidRPr="00965FDC" w:rsidRDefault="00432A96" w:rsidP="00965FDC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65FDC">
        <w:rPr>
          <w:rFonts w:ascii="宋体" w:hAnsi="宋体" w:hint="eastAsia"/>
          <w:b/>
          <w:sz w:val="24"/>
        </w:rPr>
        <w:t>一、《药品GMP证书》的相关信息</w:t>
      </w:r>
    </w:p>
    <w:p w:rsidR="00432A96" w:rsidRDefault="00432A96" w:rsidP="00071B2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企业名称：</w:t>
      </w:r>
      <w:r w:rsidRPr="00432A96">
        <w:rPr>
          <w:rFonts w:ascii="宋体" w:hAnsi="宋体" w:hint="eastAsia"/>
          <w:sz w:val="24"/>
        </w:rPr>
        <w:t>江苏吴中医药集团有限公司苏州中凯生物制药厂</w:t>
      </w:r>
    </w:p>
    <w:p w:rsidR="00432A96" w:rsidRDefault="00432A96" w:rsidP="00071B2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地址：苏州市吴中经济开发区澄湖路42号</w:t>
      </w:r>
    </w:p>
    <w:p w:rsidR="00D927AC" w:rsidRDefault="00D927AC" w:rsidP="00071B2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证书编号：JS20180799</w:t>
      </w:r>
    </w:p>
    <w:p w:rsidR="00432A96" w:rsidRDefault="00432A96" w:rsidP="00071B2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认证范围：重组人粒细胞刺激因子注射液（</w:t>
      </w:r>
      <w:r w:rsidR="00D927AC">
        <w:rPr>
          <w:rFonts w:ascii="宋体" w:hAnsi="宋体" w:hint="eastAsia"/>
          <w:sz w:val="24"/>
        </w:rPr>
        <w:t>非最终灭菌小容量注射剂</w:t>
      </w:r>
      <w:r>
        <w:rPr>
          <w:rFonts w:ascii="宋体" w:hAnsi="宋体" w:hint="eastAsia"/>
          <w:sz w:val="24"/>
        </w:rPr>
        <w:t>）</w:t>
      </w:r>
    </w:p>
    <w:p w:rsidR="00071B22" w:rsidRDefault="00D927AC" w:rsidP="00A949EE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有效期至：2023年4月13日</w:t>
      </w:r>
    </w:p>
    <w:p w:rsidR="00D927AC" w:rsidRPr="00965FDC" w:rsidRDefault="00D927AC" w:rsidP="00D927AC">
      <w:pPr>
        <w:spacing w:line="360" w:lineRule="auto"/>
        <w:ind w:firstLine="480"/>
        <w:rPr>
          <w:rFonts w:ascii="宋体" w:hAnsi="宋体"/>
          <w:b/>
          <w:sz w:val="24"/>
        </w:rPr>
      </w:pPr>
      <w:r w:rsidRPr="00965FDC">
        <w:rPr>
          <w:rFonts w:ascii="宋体" w:hAnsi="宋体" w:hint="eastAsia"/>
          <w:b/>
          <w:sz w:val="24"/>
        </w:rPr>
        <w:t>二、该药品GMP涉及的生产情况</w:t>
      </w: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3794"/>
        <w:gridCol w:w="1946"/>
        <w:gridCol w:w="3157"/>
      </w:tblGrid>
      <w:tr w:rsidR="00D927AC" w:rsidRPr="00C22500" w:rsidTr="00A949EE">
        <w:trPr>
          <w:trHeight w:val="592"/>
        </w:trPr>
        <w:tc>
          <w:tcPr>
            <w:tcW w:w="3794" w:type="dxa"/>
            <w:vAlign w:val="center"/>
          </w:tcPr>
          <w:p w:rsidR="00D927AC" w:rsidRPr="00C22500" w:rsidRDefault="00D927AC" w:rsidP="00F25D2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车间名称</w:t>
            </w:r>
          </w:p>
        </w:tc>
        <w:tc>
          <w:tcPr>
            <w:tcW w:w="1946" w:type="dxa"/>
            <w:vAlign w:val="center"/>
          </w:tcPr>
          <w:p w:rsidR="00D927AC" w:rsidRPr="00C22500" w:rsidRDefault="00D927AC" w:rsidP="00F25D2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设计产能</w:t>
            </w:r>
          </w:p>
        </w:tc>
        <w:tc>
          <w:tcPr>
            <w:tcW w:w="3157" w:type="dxa"/>
            <w:vAlign w:val="center"/>
          </w:tcPr>
          <w:p w:rsidR="00D927AC" w:rsidRPr="00C22500" w:rsidRDefault="00D927AC" w:rsidP="00F25D2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生产产品</w:t>
            </w:r>
          </w:p>
        </w:tc>
      </w:tr>
      <w:tr w:rsidR="00D927AC" w:rsidRPr="00C22500" w:rsidTr="00A949EE">
        <w:tc>
          <w:tcPr>
            <w:tcW w:w="3794" w:type="dxa"/>
            <w:vAlign w:val="center"/>
          </w:tcPr>
          <w:p w:rsidR="00D927AC" w:rsidRPr="00C22500" w:rsidRDefault="0039581D" w:rsidP="00A949E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重组人粒细胞刺激因子注射液生产车间</w:t>
            </w:r>
          </w:p>
        </w:tc>
        <w:tc>
          <w:tcPr>
            <w:tcW w:w="1946" w:type="dxa"/>
            <w:vAlign w:val="center"/>
          </w:tcPr>
          <w:p w:rsidR="00D927AC" w:rsidRPr="00C22500" w:rsidRDefault="00F25D24" w:rsidP="00F25D2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200万支</w:t>
            </w:r>
            <w:r w:rsidR="00D349BB" w:rsidRPr="00C22500">
              <w:rPr>
                <w:rFonts w:ascii="宋体" w:hAnsi="宋体" w:hint="eastAsia"/>
                <w:szCs w:val="21"/>
              </w:rPr>
              <w:t>/年</w:t>
            </w:r>
          </w:p>
        </w:tc>
        <w:tc>
          <w:tcPr>
            <w:tcW w:w="3157" w:type="dxa"/>
            <w:vAlign w:val="center"/>
          </w:tcPr>
          <w:p w:rsidR="00D927AC" w:rsidRPr="00C22500" w:rsidRDefault="00D927AC" w:rsidP="00F25D2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重组人粒细胞刺激因子注射液</w:t>
            </w:r>
          </w:p>
        </w:tc>
      </w:tr>
    </w:tbl>
    <w:p w:rsidR="00D927AC" w:rsidRDefault="00D927AC" w:rsidP="00A949EE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截至目前，上述生产车间及配套设施累计投入约</w:t>
      </w:r>
      <w:r w:rsidR="00AD089B">
        <w:rPr>
          <w:rFonts w:ascii="宋体" w:hAnsi="宋体" w:hint="eastAsia"/>
          <w:sz w:val="24"/>
        </w:rPr>
        <w:t>4,700</w:t>
      </w:r>
      <w:r>
        <w:rPr>
          <w:rFonts w:ascii="宋体" w:hAnsi="宋体" w:hint="eastAsia"/>
          <w:sz w:val="24"/>
        </w:rPr>
        <w:t>万元。</w:t>
      </w:r>
    </w:p>
    <w:p w:rsidR="00D927AC" w:rsidRPr="00965FDC" w:rsidRDefault="00D927AC" w:rsidP="00071B22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Pr="00965FDC">
        <w:rPr>
          <w:rFonts w:ascii="宋体" w:hAnsi="宋体" w:hint="eastAsia"/>
          <w:b/>
          <w:sz w:val="24"/>
        </w:rPr>
        <w:t xml:space="preserve"> 三、</w:t>
      </w:r>
      <w:r w:rsidR="00B710BB">
        <w:rPr>
          <w:rFonts w:ascii="宋体" w:hAnsi="宋体" w:hint="eastAsia"/>
          <w:b/>
          <w:sz w:val="24"/>
        </w:rPr>
        <w:t>该</w:t>
      </w:r>
      <w:r w:rsidR="00A949EE">
        <w:rPr>
          <w:rFonts w:ascii="宋体" w:hAnsi="宋体" w:hint="eastAsia"/>
          <w:b/>
          <w:sz w:val="24"/>
        </w:rPr>
        <w:t>药品</w:t>
      </w:r>
      <w:r w:rsidRPr="00965FDC">
        <w:rPr>
          <w:rFonts w:ascii="宋体" w:hAnsi="宋体" w:hint="eastAsia"/>
          <w:b/>
          <w:sz w:val="24"/>
        </w:rPr>
        <w:t>的市场情况</w:t>
      </w: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1101"/>
        <w:gridCol w:w="4110"/>
        <w:gridCol w:w="2127"/>
        <w:gridCol w:w="1559"/>
      </w:tblGrid>
      <w:tr w:rsidR="00B710BB" w:rsidRPr="00C22500" w:rsidTr="00A949EE">
        <w:tc>
          <w:tcPr>
            <w:tcW w:w="1101" w:type="dxa"/>
            <w:vAlign w:val="center"/>
          </w:tcPr>
          <w:p w:rsidR="00B710BB" w:rsidRPr="00C22500" w:rsidRDefault="00B710BB" w:rsidP="00A804EC">
            <w:pPr>
              <w:jc w:val="center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药品名称</w:t>
            </w:r>
          </w:p>
        </w:tc>
        <w:tc>
          <w:tcPr>
            <w:tcW w:w="4110" w:type="dxa"/>
            <w:vAlign w:val="center"/>
          </w:tcPr>
          <w:p w:rsidR="00B710BB" w:rsidRPr="00C22500" w:rsidRDefault="00B710BB" w:rsidP="00A804EC">
            <w:pPr>
              <w:jc w:val="center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适应症</w:t>
            </w:r>
          </w:p>
        </w:tc>
        <w:tc>
          <w:tcPr>
            <w:tcW w:w="2127" w:type="dxa"/>
            <w:vAlign w:val="center"/>
          </w:tcPr>
          <w:p w:rsidR="00B710BB" w:rsidRPr="00C22500" w:rsidRDefault="00B710BB" w:rsidP="00A804EC">
            <w:pPr>
              <w:jc w:val="center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主要生产厂家</w:t>
            </w:r>
          </w:p>
        </w:tc>
        <w:tc>
          <w:tcPr>
            <w:tcW w:w="1559" w:type="dxa"/>
            <w:vAlign w:val="center"/>
          </w:tcPr>
          <w:p w:rsidR="00B710BB" w:rsidRPr="00C22500" w:rsidRDefault="00A949EE" w:rsidP="00A804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该药品</w:t>
            </w:r>
            <w:r w:rsidR="00B710BB" w:rsidRPr="00C22500">
              <w:rPr>
                <w:rFonts w:ascii="宋体" w:hAnsi="宋体" w:hint="eastAsia"/>
                <w:szCs w:val="21"/>
              </w:rPr>
              <w:t>的市场情况</w:t>
            </w:r>
          </w:p>
        </w:tc>
      </w:tr>
      <w:tr w:rsidR="00B710BB" w:rsidRPr="00C22500" w:rsidTr="00A949EE">
        <w:tc>
          <w:tcPr>
            <w:tcW w:w="1101" w:type="dxa"/>
            <w:vAlign w:val="center"/>
          </w:tcPr>
          <w:p w:rsidR="00B710BB" w:rsidRPr="00C22500" w:rsidRDefault="00A804EC" w:rsidP="001B5EC5">
            <w:pPr>
              <w:jc w:val="left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重组人粒细胞刺激因子注射液</w:t>
            </w:r>
          </w:p>
        </w:tc>
        <w:tc>
          <w:tcPr>
            <w:tcW w:w="4110" w:type="dxa"/>
            <w:vAlign w:val="center"/>
          </w:tcPr>
          <w:p w:rsidR="00A804EC" w:rsidRPr="00C22500" w:rsidRDefault="00A804EC" w:rsidP="00A804EC">
            <w:pPr>
              <w:jc w:val="left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1.癌症化疗等原因导致中性粒细胞减少症；癌症患者使用骨髓抑制性化疗药物，特别在强烈的骨髓剥夺性化学药物治疗后，注射本品有助于预防中性粒细胞减少症的发生，减</w:t>
            </w:r>
            <w:r w:rsidRPr="00C22500">
              <w:rPr>
                <w:rFonts w:ascii="宋体" w:hAnsi="宋体" w:hint="eastAsia"/>
                <w:szCs w:val="21"/>
              </w:rPr>
              <w:lastRenderedPageBreak/>
              <w:t>轻中性粒细胞减少的程度,缩短粒细胞缺乏症的持续时间，加速粒细胞数的恢复，从而减少合并感染发热的危险性。</w:t>
            </w:r>
          </w:p>
          <w:p w:rsidR="00A804EC" w:rsidRPr="00C22500" w:rsidRDefault="00A804EC" w:rsidP="00A804EC">
            <w:pPr>
              <w:jc w:val="left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2.促进骨髓移植后的中性粒细胞数升高。</w:t>
            </w:r>
          </w:p>
          <w:p w:rsidR="00B710BB" w:rsidRPr="00C22500" w:rsidRDefault="00A804EC" w:rsidP="00A804EC">
            <w:pPr>
              <w:jc w:val="left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t>3.骨髓发育不良综合症引起的中性粒细胞减少症，再生障碍性贫血引起的中性粒细胞减少症，先天性、特发性中性粒细胞减少症，骨髓增生异常综合症伴中性粒细胞减少症，周期性中性粒细胞减少症。</w:t>
            </w:r>
          </w:p>
        </w:tc>
        <w:tc>
          <w:tcPr>
            <w:tcW w:w="2127" w:type="dxa"/>
            <w:vAlign w:val="center"/>
          </w:tcPr>
          <w:p w:rsidR="00B710BB" w:rsidRPr="00C22500" w:rsidRDefault="00A804EC" w:rsidP="00A949EE">
            <w:pPr>
              <w:jc w:val="left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lastRenderedPageBreak/>
              <w:t>齐鲁制药有限公司，协和发酵麒麟(中国)制药有限公司，厦门特宝生物工程股份有</w:t>
            </w:r>
            <w:r w:rsidRPr="00C22500">
              <w:rPr>
                <w:rFonts w:ascii="宋体" w:hAnsi="宋体" w:hint="eastAsia"/>
                <w:szCs w:val="21"/>
              </w:rPr>
              <w:lastRenderedPageBreak/>
              <w:t>限公司，杭州九源基因工程有限公司，北京双鹭药业股份有限公司，哈药集团生物工程有限公司，江苏吴中医药集团有限公司苏州中凯生物制药厂等</w:t>
            </w:r>
            <w:r w:rsidR="000E3EA5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559" w:type="dxa"/>
            <w:vAlign w:val="center"/>
          </w:tcPr>
          <w:p w:rsidR="00B710BB" w:rsidRPr="00C22500" w:rsidRDefault="00A804EC" w:rsidP="00733D70">
            <w:pPr>
              <w:jc w:val="left"/>
              <w:rPr>
                <w:rFonts w:ascii="宋体" w:hAnsi="宋体"/>
                <w:szCs w:val="21"/>
              </w:rPr>
            </w:pPr>
            <w:r w:rsidRPr="00C22500">
              <w:rPr>
                <w:rFonts w:ascii="宋体" w:hAnsi="宋体" w:hint="eastAsia"/>
                <w:szCs w:val="21"/>
              </w:rPr>
              <w:lastRenderedPageBreak/>
              <w:t>重组人粒细胞刺激因子注射液2017年度重点城市医院用</w:t>
            </w:r>
            <w:r w:rsidRPr="00C22500">
              <w:rPr>
                <w:rFonts w:ascii="宋体" w:hAnsi="宋体" w:hint="eastAsia"/>
                <w:szCs w:val="21"/>
              </w:rPr>
              <w:lastRenderedPageBreak/>
              <w:t>药销售额为8.25亿元，其中江苏吴中医药集团有限公司苏州中凯生物制药厂</w:t>
            </w:r>
            <w:r w:rsidR="00733D70">
              <w:rPr>
                <w:rFonts w:ascii="宋体" w:hAnsi="宋体" w:hint="eastAsia"/>
                <w:szCs w:val="21"/>
              </w:rPr>
              <w:t>2017年</w:t>
            </w:r>
            <w:bookmarkStart w:id="0" w:name="_GoBack"/>
            <w:bookmarkEnd w:id="0"/>
            <w:r w:rsidR="00A949EE" w:rsidRPr="00C22500">
              <w:rPr>
                <w:rFonts w:ascii="宋体" w:hAnsi="宋体" w:hint="eastAsia"/>
                <w:szCs w:val="21"/>
              </w:rPr>
              <w:t>重点城市医院用药销售额为</w:t>
            </w:r>
            <w:r w:rsidRPr="00C22500">
              <w:rPr>
                <w:rFonts w:ascii="宋体" w:hAnsi="宋体" w:hint="eastAsia"/>
                <w:szCs w:val="21"/>
              </w:rPr>
              <w:t>2,347万元。</w:t>
            </w:r>
          </w:p>
        </w:tc>
      </w:tr>
    </w:tbl>
    <w:p w:rsidR="00A949EE" w:rsidRDefault="00A804EC" w:rsidP="00A949EE">
      <w:pPr>
        <w:ind w:leftChars="200" w:left="840" w:hangingChars="200" w:hanging="420"/>
        <w:rPr>
          <w:rFonts w:ascii="宋体" w:hAnsi="宋体"/>
          <w:szCs w:val="21"/>
        </w:rPr>
      </w:pPr>
      <w:r w:rsidRPr="00A949EE">
        <w:rPr>
          <w:rFonts w:ascii="宋体" w:hAnsi="宋体"/>
          <w:szCs w:val="21"/>
        </w:rPr>
        <w:lastRenderedPageBreak/>
        <w:t>注</w:t>
      </w:r>
      <w:r w:rsidRPr="00A949EE">
        <w:rPr>
          <w:rFonts w:ascii="宋体" w:hAnsi="宋体" w:hint="eastAsia"/>
          <w:szCs w:val="21"/>
        </w:rPr>
        <w:t>：</w:t>
      </w:r>
      <w:r w:rsidR="00A949EE" w:rsidRPr="00A949EE">
        <w:rPr>
          <w:rFonts w:ascii="宋体" w:hAnsi="宋体" w:hint="eastAsia"/>
          <w:szCs w:val="21"/>
        </w:rPr>
        <w:t>1、</w:t>
      </w:r>
      <w:r w:rsidRPr="00A949EE">
        <w:rPr>
          <w:rFonts w:ascii="宋体" w:hAnsi="宋体"/>
          <w:szCs w:val="21"/>
        </w:rPr>
        <w:t>上表中</w:t>
      </w:r>
      <w:r w:rsidRPr="00A949EE">
        <w:rPr>
          <w:rFonts w:ascii="宋体" w:hAnsi="宋体" w:hint="eastAsia"/>
          <w:szCs w:val="21"/>
        </w:rPr>
        <w:t>“</w:t>
      </w:r>
      <w:r w:rsidRPr="00A949EE">
        <w:rPr>
          <w:rFonts w:ascii="宋体" w:hAnsi="宋体"/>
          <w:szCs w:val="21"/>
        </w:rPr>
        <w:t>主要生产厂家</w:t>
      </w:r>
      <w:r w:rsidRPr="00A949EE">
        <w:rPr>
          <w:rFonts w:ascii="宋体" w:hAnsi="宋体" w:hint="eastAsia"/>
          <w:szCs w:val="21"/>
        </w:rPr>
        <w:t>”</w:t>
      </w:r>
      <w:r w:rsidRPr="00A949EE">
        <w:rPr>
          <w:rFonts w:ascii="宋体" w:hAnsi="宋体"/>
          <w:szCs w:val="21"/>
        </w:rPr>
        <w:t>和</w:t>
      </w:r>
      <w:r w:rsidRPr="00A949EE">
        <w:rPr>
          <w:rFonts w:ascii="宋体" w:hAnsi="宋体" w:hint="eastAsia"/>
          <w:szCs w:val="21"/>
        </w:rPr>
        <w:t>“该</w:t>
      </w:r>
      <w:r w:rsidR="00733D70">
        <w:rPr>
          <w:rFonts w:ascii="宋体" w:hAnsi="宋体" w:hint="eastAsia"/>
          <w:szCs w:val="21"/>
        </w:rPr>
        <w:t>药品</w:t>
      </w:r>
      <w:r w:rsidRPr="00A949EE">
        <w:rPr>
          <w:rFonts w:ascii="宋体" w:hAnsi="宋体" w:hint="eastAsia"/>
          <w:szCs w:val="21"/>
        </w:rPr>
        <w:t>的市场情况”</w:t>
      </w:r>
      <w:r w:rsidRPr="00A949EE">
        <w:rPr>
          <w:rFonts w:hint="eastAsia"/>
          <w:szCs w:val="21"/>
        </w:rPr>
        <w:t>来源于</w:t>
      </w:r>
      <w:r w:rsidRPr="00A949EE">
        <w:rPr>
          <w:rFonts w:ascii="宋体" w:hAnsi="宋体" w:hint="eastAsia"/>
          <w:szCs w:val="21"/>
        </w:rPr>
        <w:t>PDB</w:t>
      </w:r>
      <w:r w:rsidR="00A949EE">
        <w:rPr>
          <w:rFonts w:ascii="宋体" w:hAnsi="宋体" w:hint="eastAsia"/>
          <w:szCs w:val="21"/>
        </w:rPr>
        <w:t>药物综合数据；</w:t>
      </w:r>
    </w:p>
    <w:p w:rsidR="00D927AC" w:rsidRPr="00A949EE" w:rsidRDefault="00A949EE" w:rsidP="00A949EE">
      <w:pPr>
        <w:ind w:leftChars="400" w:left="840"/>
        <w:rPr>
          <w:rFonts w:ascii="宋体" w:hAnsi="宋体"/>
          <w:szCs w:val="21"/>
        </w:rPr>
      </w:pPr>
      <w:r w:rsidRPr="00A949EE">
        <w:rPr>
          <w:rFonts w:ascii="宋体" w:hAnsi="宋体" w:hint="eastAsia"/>
          <w:szCs w:val="21"/>
        </w:rPr>
        <w:t>2、</w:t>
      </w:r>
      <w:r w:rsidR="00CE2395" w:rsidRPr="00A949EE">
        <w:rPr>
          <w:rFonts w:ascii="宋体" w:hAnsi="宋体" w:hint="eastAsia"/>
          <w:szCs w:val="21"/>
        </w:rPr>
        <w:t>2017年度，公司重组人粒细胞刺激因子注射液实际销售额约3,900多万元。</w:t>
      </w:r>
    </w:p>
    <w:p w:rsidR="00A804EC" w:rsidRPr="00A949EE" w:rsidRDefault="00A949EE" w:rsidP="002225C6">
      <w:pPr>
        <w:spacing w:line="360" w:lineRule="auto"/>
        <w:ind w:firstLine="480"/>
        <w:rPr>
          <w:rFonts w:ascii="宋体" w:hAnsi="宋体"/>
          <w:b/>
          <w:sz w:val="24"/>
        </w:rPr>
      </w:pPr>
      <w:r w:rsidRPr="00A949EE">
        <w:rPr>
          <w:rFonts w:ascii="宋体" w:hAnsi="宋体" w:hint="eastAsia"/>
          <w:b/>
          <w:sz w:val="24"/>
        </w:rPr>
        <w:t>四、</w:t>
      </w:r>
      <w:r w:rsidRPr="00A949EE">
        <w:rPr>
          <w:rFonts w:ascii="宋体" w:hAnsi="宋体"/>
          <w:b/>
          <w:sz w:val="24"/>
        </w:rPr>
        <w:t>对上市公司</w:t>
      </w:r>
      <w:r w:rsidRPr="00A949EE">
        <w:rPr>
          <w:rFonts w:ascii="宋体" w:hAnsi="宋体" w:hint="eastAsia"/>
          <w:b/>
          <w:sz w:val="24"/>
        </w:rPr>
        <w:t>的主要</w:t>
      </w:r>
      <w:r w:rsidRPr="00A949EE">
        <w:rPr>
          <w:rFonts w:ascii="宋体" w:hAnsi="宋体"/>
          <w:b/>
          <w:sz w:val="24"/>
        </w:rPr>
        <w:t>影响及风险提示</w:t>
      </w:r>
    </w:p>
    <w:p w:rsidR="00D927AC" w:rsidRDefault="00D349BB" w:rsidP="002225C6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本次中凯厂获得药品GMP证书，</w:t>
      </w:r>
      <w:r w:rsidRPr="00D349BB">
        <w:rPr>
          <w:rFonts w:ascii="宋体" w:hAnsi="宋体" w:hint="eastAsia"/>
          <w:sz w:val="24"/>
        </w:rPr>
        <w:t>有利于提高产品质量和生产能力，满足市场需求</w:t>
      </w:r>
      <w:r w:rsidR="002225C6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不会对公司当期和未来经营产生重大影响</w:t>
      </w:r>
      <w:r w:rsidR="002225C6">
        <w:rPr>
          <w:rFonts w:ascii="宋体" w:hAnsi="宋体" w:hint="eastAsia"/>
          <w:sz w:val="24"/>
        </w:rPr>
        <w:t>。</w:t>
      </w:r>
    </w:p>
    <w:p w:rsidR="002225C6" w:rsidRPr="002225C6" w:rsidRDefault="002225C6" w:rsidP="002225C6">
      <w:pPr>
        <w:spacing w:line="360" w:lineRule="auto"/>
        <w:ind w:firstLine="480"/>
        <w:rPr>
          <w:rFonts w:ascii="宋体" w:hAnsi="宋体"/>
          <w:sz w:val="24"/>
        </w:rPr>
      </w:pPr>
      <w:r w:rsidRPr="002225C6">
        <w:rPr>
          <w:rFonts w:ascii="宋体" w:hAnsi="宋体" w:hint="eastAsia"/>
          <w:sz w:val="24"/>
        </w:rPr>
        <w:t>由于医药产品具有高科技、高风险、高附加值</w:t>
      </w:r>
      <w:r w:rsidR="00F90368">
        <w:rPr>
          <w:rFonts w:ascii="宋体" w:hAnsi="宋体" w:hint="eastAsia"/>
          <w:sz w:val="24"/>
        </w:rPr>
        <w:t>等</w:t>
      </w:r>
      <w:r w:rsidRPr="002225C6">
        <w:rPr>
          <w:rFonts w:ascii="宋体" w:hAnsi="宋体" w:hint="eastAsia"/>
          <w:sz w:val="24"/>
        </w:rPr>
        <w:t>特点，</w:t>
      </w:r>
      <w:r w:rsidR="00A949EE">
        <w:rPr>
          <w:rFonts w:ascii="宋体" w:hAnsi="宋体" w:hint="eastAsia"/>
          <w:sz w:val="24"/>
        </w:rPr>
        <w:t>重组人粒细胞刺激因子注射液</w:t>
      </w:r>
      <w:r w:rsidRPr="002225C6">
        <w:rPr>
          <w:rFonts w:ascii="宋体" w:hAnsi="宋体" w:hint="eastAsia"/>
          <w:sz w:val="24"/>
        </w:rPr>
        <w:t>的具体销售情况可能受到市场环境改变等因素影响，具有较大的不确定性，敬请广大投资者谨慎投资，注意防范投资风险。</w:t>
      </w:r>
    </w:p>
    <w:p w:rsidR="00071B22" w:rsidRDefault="00071B22" w:rsidP="00071B22">
      <w:pPr>
        <w:pStyle w:val="Default"/>
        <w:spacing w:line="360" w:lineRule="auto"/>
        <w:ind w:firstLine="480"/>
      </w:pPr>
      <w:r>
        <w:rPr>
          <w:rFonts w:hint="eastAsia"/>
        </w:rPr>
        <w:t>特此公告。</w:t>
      </w:r>
    </w:p>
    <w:p w:rsidR="00071B22" w:rsidRDefault="00071B22" w:rsidP="00071B22">
      <w:pPr>
        <w:pStyle w:val="Default"/>
        <w:spacing w:line="360" w:lineRule="auto"/>
        <w:ind w:firstLine="480"/>
      </w:pPr>
    </w:p>
    <w:p w:rsidR="00071B22" w:rsidRPr="00B26CA1" w:rsidRDefault="00071B22" w:rsidP="00071B22">
      <w:pPr>
        <w:pStyle w:val="Default"/>
        <w:spacing w:line="360" w:lineRule="auto"/>
        <w:ind w:firstLine="480"/>
      </w:pPr>
    </w:p>
    <w:p w:rsidR="00071B22" w:rsidRDefault="00071B22" w:rsidP="00071B22">
      <w:pPr>
        <w:spacing w:line="360" w:lineRule="auto"/>
        <w:ind w:firstLineChars="1775" w:firstLine="426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071B22" w:rsidRDefault="00071B22" w:rsidP="00071B22">
      <w:pPr>
        <w:spacing w:line="360" w:lineRule="auto"/>
        <w:ind w:right="720" w:firstLineChars="1775" w:firstLine="426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071B22" w:rsidRDefault="00071B22" w:rsidP="00071B22">
      <w:pPr>
        <w:pStyle w:val="a5"/>
        <w:spacing w:line="360" w:lineRule="auto"/>
        <w:ind w:leftChars="0" w:left="0" w:firstLineChars="2175" w:firstLine="5220"/>
        <w:jc w:val="right"/>
        <w:rPr>
          <w:rFonts w:ascii="宋体" w:hAnsi="宋体"/>
        </w:rPr>
      </w:pPr>
      <w:r w:rsidRPr="000C6723">
        <w:rPr>
          <w:rFonts w:ascii="宋体" w:hAnsi="宋体" w:hint="eastAsia"/>
        </w:rPr>
        <w:t>201</w:t>
      </w:r>
      <w:r>
        <w:rPr>
          <w:rFonts w:ascii="宋体" w:hAnsi="宋体" w:hint="eastAsia"/>
        </w:rPr>
        <w:t>8</w:t>
      </w:r>
      <w:r w:rsidRPr="000C6723">
        <w:rPr>
          <w:rFonts w:ascii="宋体" w:hAnsi="宋体" w:hint="eastAsia"/>
        </w:rPr>
        <w:t>年</w:t>
      </w:r>
      <w:r>
        <w:rPr>
          <w:rFonts w:ascii="宋体" w:hAnsi="宋体" w:hint="eastAsia"/>
        </w:rPr>
        <w:t>4</w:t>
      </w:r>
      <w:r w:rsidRPr="000C6723">
        <w:rPr>
          <w:rFonts w:ascii="宋体" w:hAnsi="宋体" w:hint="eastAsia"/>
        </w:rPr>
        <w:t>月</w:t>
      </w:r>
      <w:r w:rsidR="00965FDC">
        <w:rPr>
          <w:rFonts w:ascii="宋体" w:hAnsi="宋体" w:hint="eastAsia"/>
        </w:rPr>
        <w:t>19</w:t>
      </w:r>
      <w:r w:rsidRPr="000C6723">
        <w:rPr>
          <w:rFonts w:ascii="宋体" w:hAnsi="宋体" w:hint="eastAsia"/>
        </w:rPr>
        <w:t>日</w:t>
      </w:r>
    </w:p>
    <w:sectPr w:rsidR="0007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36" w:rsidRDefault="00971836" w:rsidP="00071B22">
      <w:r>
        <w:separator/>
      </w:r>
    </w:p>
  </w:endnote>
  <w:endnote w:type="continuationSeparator" w:id="0">
    <w:p w:rsidR="00971836" w:rsidRDefault="00971836" w:rsidP="0007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36" w:rsidRDefault="00971836" w:rsidP="00071B22">
      <w:r>
        <w:separator/>
      </w:r>
    </w:p>
  </w:footnote>
  <w:footnote w:type="continuationSeparator" w:id="0">
    <w:p w:rsidR="00971836" w:rsidRDefault="00971836" w:rsidP="0007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46"/>
    <w:rsid w:val="0004169E"/>
    <w:rsid w:val="00052696"/>
    <w:rsid w:val="00071B22"/>
    <w:rsid w:val="000E3EA5"/>
    <w:rsid w:val="001700AD"/>
    <w:rsid w:val="001B5EC5"/>
    <w:rsid w:val="002225C6"/>
    <w:rsid w:val="00261238"/>
    <w:rsid w:val="0027109F"/>
    <w:rsid w:val="002977C4"/>
    <w:rsid w:val="002A6F08"/>
    <w:rsid w:val="002F423C"/>
    <w:rsid w:val="00335854"/>
    <w:rsid w:val="0038120C"/>
    <w:rsid w:val="00391D2B"/>
    <w:rsid w:val="0039581D"/>
    <w:rsid w:val="003A172F"/>
    <w:rsid w:val="003C40CC"/>
    <w:rsid w:val="003E6445"/>
    <w:rsid w:val="0042013F"/>
    <w:rsid w:val="00432A96"/>
    <w:rsid w:val="00446738"/>
    <w:rsid w:val="00465487"/>
    <w:rsid w:val="004B33BC"/>
    <w:rsid w:val="004D07C9"/>
    <w:rsid w:val="004F608F"/>
    <w:rsid w:val="005447A6"/>
    <w:rsid w:val="0057366B"/>
    <w:rsid w:val="00587CC1"/>
    <w:rsid w:val="00591057"/>
    <w:rsid w:val="005C0167"/>
    <w:rsid w:val="005C0256"/>
    <w:rsid w:val="005E09A1"/>
    <w:rsid w:val="006308F8"/>
    <w:rsid w:val="00666C17"/>
    <w:rsid w:val="006A4D46"/>
    <w:rsid w:val="006C06BB"/>
    <w:rsid w:val="00733D70"/>
    <w:rsid w:val="00754AD6"/>
    <w:rsid w:val="007F59D4"/>
    <w:rsid w:val="0081134F"/>
    <w:rsid w:val="00883FF6"/>
    <w:rsid w:val="008A2A05"/>
    <w:rsid w:val="008D7334"/>
    <w:rsid w:val="00965FDC"/>
    <w:rsid w:val="00971836"/>
    <w:rsid w:val="00A804EC"/>
    <w:rsid w:val="00A949EE"/>
    <w:rsid w:val="00AD089B"/>
    <w:rsid w:val="00B710BB"/>
    <w:rsid w:val="00C002EA"/>
    <w:rsid w:val="00C22500"/>
    <w:rsid w:val="00C72026"/>
    <w:rsid w:val="00C91DC2"/>
    <w:rsid w:val="00CE20A1"/>
    <w:rsid w:val="00CE2395"/>
    <w:rsid w:val="00D10A9E"/>
    <w:rsid w:val="00D349BB"/>
    <w:rsid w:val="00D626AB"/>
    <w:rsid w:val="00D7422E"/>
    <w:rsid w:val="00D85BFA"/>
    <w:rsid w:val="00D87489"/>
    <w:rsid w:val="00D927AC"/>
    <w:rsid w:val="00DA268D"/>
    <w:rsid w:val="00DA49C1"/>
    <w:rsid w:val="00DC4DA1"/>
    <w:rsid w:val="00DE2EF5"/>
    <w:rsid w:val="00DF21C0"/>
    <w:rsid w:val="00E0777E"/>
    <w:rsid w:val="00E85452"/>
    <w:rsid w:val="00ED38D1"/>
    <w:rsid w:val="00F100AD"/>
    <w:rsid w:val="00F25D24"/>
    <w:rsid w:val="00F55AC0"/>
    <w:rsid w:val="00F57970"/>
    <w:rsid w:val="00F823EC"/>
    <w:rsid w:val="00F844B2"/>
    <w:rsid w:val="00F90368"/>
    <w:rsid w:val="00F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B22"/>
    <w:rPr>
      <w:sz w:val="18"/>
      <w:szCs w:val="18"/>
    </w:rPr>
  </w:style>
  <w:style w:type="paragraph" w:styleId="a5">
    <w:name w:val="Date"/>
    <w:basedOn w:val="a"/>
    <w:next w:val="a"/>
    <w:link w:val="Char1"/>
    <w:rsid w:val="00071B22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071B22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071B2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D92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C025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C02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B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B22"/>
    <w:rPr>
      <w:sz w:val="18"/>
      <w:szCs w:val="18"/>
    </w:rPr>
  </w:style>
  <w:style w:type="paragraph" w:styleId="a5">
    <w:name w:val="Date"/>
    <w:basedOn w:val="a"/>
    <w:next w:val="a"/>
    <w:link w:val="Char1"/>
    <w:rsid w:val="00071B22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071B22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071B2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D92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C025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C02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jswz</dc:creator>
  <cp:keywords/>
  <dc:description/>
  <cp:lastModifiedBy>Chenjh</cp:lastModifiedBy>
  <cp:revision>29</cp:revision>
  <cp:lastPrinted>2018-04-18T06:21:00Z</cp:lastPrinted>
  <dcterms:created xsi:type="dcterms:W3CDTF">2018-04-13T01:54:00Z</dcterms:created>
  <dcterms:modified xsi:type="dcterms:W3CDTF">2018-04-18T06:35:00Z</dcterms:modified>
</cp:coreProperties>
</file>