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9F7" w:rsidRPr="00D7630B" w:rsidRDefault="00F759F7" w:rsidP="00F759F7">
      <w:pPr>
        <w:autoSpaceDE w:val="0"/>
        <w:autoSpaceDN w:val="0"/>
        <w:adjustRightInd w:val="0"/>
        <w:spacing w:line="360" w:lineRule="auto"/>
        <w:rPr>
          <w:rFonts w:ascii="宋体" w:hAnsi="宋体" w:cs="宋体"/>
          <w:color w:val="000000"/>
          <w:kern w:val="0"/>
          <w:sz w:val="24"/>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 证券简称：江苏吴中  </w:t>
      </w:r>
      <w:r>
        <w:rPr>
          <w:rFonts w:ascii="宋体" w:hAnsi="宋体" w:cs="宋体" w:hint="eastAsia"/>
          <w:color w:val="000000"/>
          <w:kern w:val="0"/>
          <w:sz w:val="24"/>
        </w:rPr>
        <w:t xml:space="preserve">    </w:t>
      </w:r>
      <w:r w:rsidRPr="00893019">
        <w:rPr>
          <w:rFonts w:ascii="宋体" w:hAnsi="宋体" w:cs="宋体" w:hint="eastAsia"/>
          <w:color w:val="000000"/>
          <w:kern w:val="0"/>
          <w:sz w:val="24"/>
        </w:rPr>
        <w:t>公告编号：临2018-</w:t>
      </w:r>
      <w:r w:rsidR="00893019" w:rsidRPr="00893019">
        <w:rPr>
          <w:rFonts w:ascii="宋体" w:hAnsi="宋体" w:cs="宋体" w:hint="eastAsia"/>
          <w:color w:val="000000"/>
          <w:kern w:val="0"/>
          <w:sz w:val="24"/>
        </w:rPr>
        <w:t>05</w:t>
      </w:r>
      <w:r w:rsidR="00893019">
        <w:rPr>
          <w:rFonts w:ascii="宋体" w:hAnsi="宋体" w:cs="宋体" w:hint="eastAsia"/>
          <w:color w:val="000000"/>
          <w:kern w:val="0"/>
          <w:sz w:val="24"/>
        </w:rPr>
        <w:t>6</w:t>
      </w:r>
    </w:p>
    <w:p w:rsidR="00F759F7" w:rsidRDefault="00F759F7" w:rsidP="00F759F7">
      <w:pPr>
        <w:spacing w:line="480" w:lineRule="auto"/>
        <w:jc w:val="center"/>
        <w:rPr>
          <w:rFonts w:ascii="黑体" w:eastAsia="黑体" w:hAnsi="宋体"/>
          <w:b/>
          <w:bCs/>
          <w:color w:val="FF0000"/>
          <w:sz w:val="32"/>
          <w:szCs w:val="32"/>
        </w:rPr>
      </w:pPr>
    </w:p>
    <w:p w:rsidR="00263187" w:rsidRDefault="00F759F7" w:rsidP="00F759F7">
      <w:pPr>
        <w:spacing w:line="480" w:lineRule="auto"/>
        <w:jc w:val="center"/>
        <w:rPr>
          <w:rFonts w:ascii="黑体" w:eastAsia="黑体" w:hAnsi="宋体"/>
          <w:b/>
          <w:bCs/>
          <w:color w:val="FF0000"/>
          <w:sz w:val="32"/>
          <w:szCs w:val="32"/>
        </w:rPr>
      </w:pPr>
      <w:r w:rsidRPr="000F5722">
        <w:rPr>
          <w:rFonts w:ascii="黑体" w:eastAsia="黑体" w:hAnsi="宋体" w:hint="eastAsia"/>
          <w:b/>
          <w:bCs/>
          <w:color w:val="FF0000"/>
          <w:sz w:val="32"/>
          <w:szCs w:val="32"/>
        </w:rPr>
        <w:t>江苏吴中实业股份有限公司</w:t>
      </w:r>
    </w:p>
    <w:p w:rsidR="00263187" w:rsidRDefault="00263187" w:rsidP="00F759F7">
      <w:pPr>
        <w:spacing w:line="480" w:lineRule="auto"/>
        <w:jc w:val="center"/>
        <w:rPr>
          <w:rFonts w:ascii="黑体" w:eastAsia="黑体" w:hAnsi="宋体"/>
          <w:b/>
          <w:bCs/>
          <w:color w:val="FF0000"/>
          <w:sz w:val="32"/>
          <w:szCs w:val="32"/>
        </w:rPr>
      </w:pPr>
      <w:r w:rsidRPr="00263187">
        <w:rPr>
          <w:rFonts w:ascii="黑体" w:eastAsia="黑体" w:hAnsi="宋体" w:hint="eastAsia"/>
          <w:b/>
          <w:bCs/>
          <w:color w:val="FF0000"/>
          <w:sz w:val="32"/>
          <w:szCs w:val="32"/>
        </w:rPr>
        <w:t>关于全资子公司江苏吴中医药产业投资有限公司</w:t>
      </w:r>
    </w:p>
    <w:p w:rsidR="00F759F7" w:rsidRPr="000F5722" w:rsidRDefault="00263187" w:rsidP="00F759F7">
      <w:pPr>
        <w:spacing w:line="480" w:lineRule="auto"/>
        <w:jc w:val="center"/>
        <w:rPr>
          <w:rFonts w:ascii="黑体" w:eastAsia="黑体" w:hAnsi="宋体"/>
          <w:b/>
          <w:bCs/>
          <w:color w:val="FF0000"/>
          <w:sz w:val="32"/>
          <w:szCs w:val="32"/>
        </w:rPr>
      </w:pPr>
      <w:r w:rsidRPr="00263187">
        <w:rPr>
          <w:rFonts w:ascii="黑体" w:eastAsia="黑体" w:hAnsi="宋体" w:hint="eastAsia"/>
          <w:b/>
          <w:bCs/>
          <w:color w:val="FF0000"/>
          <w:sz w:val="32"/>
          <w:szCs w:val="32"/>
        </w:rPr>
        <w:t>签署《南昌吴中产业升级发展基金合作协议》</w:t>
      </w:r>
      <w:r w:rsidR="00F759F7" w:rsidRPr="00352275">
        <w:rPr>
          <w:rFonts w:ascii="黑体" w:eastAsia="黑体" w:hAnsi="宋体" w:hint="eastAsia"/>
          <w:b/>
          <w:bCs/>
          <w:color w:val="FF0000"/>
          <w:sz w:val="32"/>
          <w:szCs w:val="32"/>
        </w:rPr>
        <w:t>的公告</w:t>
      </w:r>
    </w:p>
    <w:p w:rsidR="00F759F7" w:rsidRDefault="00F759F7" w:rsidP="00F759F7">
      <w:pPr>
        <w:autoSpaceDE w:val="0"/>
        <w:autoSpaceDN w:val="0"/>
        <w:adjustRightInd w:val="0"/>
        <w:spacing w:line="360" w:lineRule="auto"/>
        <w:jc w:val="center"/>
        <w:rPr>
          <w:rFonts w:ascii="ˎ̥" w:hAnsi="ˎ̥" w:hint="eastAsia"/>
          <w:b/>
          <w:sz w:val="24"/>
        </w:rPr>
      </w:pPr>
    </w:p>
    <w:p w:rsidR="00F759F7" w:rsidRPr="00656D99" w:rsidRDefault="00F759F7" w:rsidP="00F759F7">
      <w:pPr>
        <w:autoSpaceDE w:val="0"/>
        <w:autoSpaceDN w:val="0"/>
        <w:adjustRightInd w:val="0"/>
        <w:spacing w:line="360" w:lineRule="auto"/>
        <w:ind w:firstLineChars="200" w:firstLine="482"/>
        <w:rPr>
          <w:rFonts w:ascii="宋体" w:hAnsi="宋体"/>
          <w:b/>
          <w:sz w:val="24"/>
        </w:rPr>
      </w:pPr>
      <w:r w:rsidRPr="00656D99">
        <w:rPr>
          <w:rFonts w:ascii="宋体" w:hAnsi="宋体" w:hint="eastAsia"/>
          <w:b/>
          <w:sz w:val="24"/>
        </w:rPr>
        <w:t>本公司及董事会全体成员保证公告内容不存在虚假记载、误导性陈述或者重大遗漏，并对其内容的真实、准确和完整承担个别及连带责任。</w:t>
      </w:r>
    </w:p>
    <w:p w:rsidR="00F759F7" w:rsidRDefault="00F759F7" w:rsidP="00F759F7">
      <w:pPr>
        <w:autoSpaceDE w:val="0"/>
        <w:autoSpaceDN w:val="0"/>
        <w:adjustRightInd w:val="0"/>
        <w:spacing w:line="360" w:lineRule="auto"/>
        <w:ind w:firstLineChars="200" w:firstLine="482"/>
        <w:rPr>
          <w:rFonts w:ascii="宋体" w:hAnsi="宋体"/>
          <w:b/>
          <w:sz w:val="24"/>
        </w:rPr>
      </w:pPr>
    </w:p>
    <w:p w:rsidR="00883FF6" w:rsidRDefault="00F759F7" w:rsidP="002461B3">
      <w:pPr>
        <w:spacing w:line="360" w:lineRule="auto"/>
        <w:rPr>
          <w:rFonts w:ascii="宋体" w:hAnsi="宋体"/>
          <w:b/>
          <w:sz w:val="24"/>
        </w:rPr>
      </w:pPr>
      <w:r w:rsidRPr="0031301E">
        <w:rPr>
          <w:rFonts w:ascii="宋体" w:hAnsi="宋体" w:hint="eastAsia"/>
          <w:b/>
          <w:sz w:val="24"/>
        </w:rPr>
        <w:t>重要内容提示：</w:t>
      </w:r>
    </w:p>
    <w:p w:rsidR="002461B3" w:rsidRDefault="002461B3" w:rsidP="002461B3">
      <w:pPr>
        <w:spacing w:line="360" w:lineRule="auto"/>
        <w:rPr>
          <w:rFonts w:ascii="宋体" w:hAnsi="宋体"/>
          <w:sz w:val="24"/>
        </w:rPr>
      </w:pPr>
      <w:r>
        <w:rPr>
          <w:rFonts w:ascii="宋体" w:hAnsi="宋体" w:hint="eastAsia"/>
          <w:b/>
          <w:sz w:val="24"/>
        </w:rPr>
        <w:t xml:space="preserve"> </w:t>
      </w:r>
      <w:r w:rsidRPr="002461B3">
        <w:rPr>
          <w:rFonts w:ascii="宋体" w:hAnsi="宋体" w:hint="eastAsia"/>
          <w:sz w:val="24"/>
        </w:rPr>
        <w:t xml:space="preserve">   1、投资标的名称：</w:t>
      </w:r>
      <w:r w:rsidR="00352275" w:rsidRPr="00352275">
        <w:rPr>
          <w:rFonts w:ascii="宋体" w:hAnsi="宋体" w:hint="eastAsia"/>
          <w:sz w:val="24"/>
        </w:rPr>
        <w:t>南昌吴中产业升级发展基金（有限合伙）（暂定名，具体以工商行政管理部门登记注册为准）</w:t>
      </w:r>
      <w:r w:rsidR="002D5E18">
        <w:rPr>
          <w:rFonts w:ascii="宋体" w:hAnsi="宋体" w:hint="eastAsia"/>
          <w:sz w:val="24"/>
        </w:rPr>
        <w:t>。</w:t>
      </w:r>
    </w:p>
    <w:p w:rsidR="002461B3" w:rsidRDefault="002461B3" w:rsidP="002461B3">
      <w:pPr>
        <w:spacing w:line="360" w:lineRule="auto"/>
        <w:ind w:firstLine="480"/>
        <w:rPr>
          <w:rFonts w:ascii="宋体" w:hAnsi="宋体"/>
          <w:sz w:val="24"/>
        </w:rPr>
      </w:pPr>
      <w:r>
        <w:rPr>
          <w:rFonts w:ascii="宋体" w:hAnsi="宋体" w:hint="eastAsia"/>
          <w:sz w:val="24"/>
        </w:rPr>
        <w:t>2、投资金额：</w:t>
      </w:r>
      <w:r w:rsidR="00352275">
        <w:rPr>
          <w:rFonts w:ascii="宋体" w:hAnsi="宋体" w:hint="eastAsia"/>
          <w:sz w:val="24"/>
        </w:rPr>
        <w:t>人民币</w:t>
      </w:r>
      <w:r w:rsidR="00352275" w:rsidRPr="00352275">
        <w:rPr>
          <w:rFonts w:ascii="宋体" w:hAnsi="宋体" w:hint="eastAsia"/>
          <w:sz w:val="24"/>
        </w:rPr>
        <w:t>2.7亿</w:t>
      </w:r>
      <w:r w:rsidR="00352275">
        <w:rPr>
          <w:rFonts w:ascii="宋体" w:hAnsi="宋体" w:hint="eastAsia"/>
          <w:sz w:val="24"/>
        </w:rPr>
        <w:t>元</w:t>
      </w:r>
      <w:r w:rsidR="002D5E18">
        <w:rPr>
          <w:rFonts w:ascii="宋体" w:hAnsi="宋体" w:hint="eastAsia"/>
          <w:sz w:val="24"/>
        </w:rPr>
        <w:t>。</w:t>
      </w:r>
    </w:p>
    <w:p w:rsidR="002461B3" w:rsidRDefault="002461B3" w:rsidP="002461B3">
      <w:pPr>
        <w:spacing w:line="360" w:lineRule="auto"/>
        <w:ind w:firstLine="480"/>
        <w:rPr>
          <w:rFonts w:ascii="宋体" w:hAnsi="宋体"/>
          <w:sz w:val="24"/>
        </w:rPr>
      </w:pPr>
      <w:r>
        <w:rPr>
          <w:rFonts w:ascii="宋体" w:hAnsi="宋体" w:hint="eastAsia"/>
          <w:sz w:val="24"/>
        </w:rPr>
        <w:t>3、</w:t>
      </w:r>
      <w:r w:rsidRPr="002461B3">
        <w:rPr>
          <w:rFonts w:ascii="宋体" w:hAnsi="宋体" w:hint="eastAsia"/>
          <w:sz w:val="24"/>
        </w:rPr>
        <w:t>本次投资不构成关联交易，不构成《上市公司重大资产重组管理办法》规定的重大资产重组。</w:t>
      </w:r>
    </w:p>
    <w:p w:rsidR="00130A2C" w:rsidRDefault="00130A2C" w:rsidP="002C495C">
      <w:pPr>
        <w:spacing w:line="360" w:lineRule="auto"/>
        <w:ind w:firstLine="480"/>
        <w:rPr>
          <w:rFonts w:ascii="宋体" w:hAnsi="宋体"/>
          <w:sz w:val="24"/>
        </w:rPr>
      </w:pPr>
      <w:r>
        <w:rPr>
          <w:rFonts w:ascii="宋体" w:hAnsi="宋体" w:hint="eastAsia"/>
          <w:sz w:val="24"/>
        </w:rPr>
        <w:t>4、</w:t>
      </w:r>
      <w:r w:rsidR="002C495C" w:rsidRPr="002C495C">
        <w:rPr>
          <w:rFonts w:ascii="宋体" w:hAnsi="宋体" w:hint="eastAsia"/>
          <w:sz w:val="24"/>
        </w:rPr>
        <w:t>本次对外投资设立产业升级发展基金可能存在出资额不能按时、足额募集进而影响后续产业基金设立的风险。鉴于产业升级发展基金具有投资周期长，流动性较低等特点，在投资过程中将受宏观经济、行业周期、投资标的公司经营管理、交易方案等多种因素影响，如果不能对投资标的及交易方案进行充分有效的投前</w:t>
      </w:r>
      <w:proofErr w:type="gramStart"/>
      <w:r w:rsidR="002C495C" w:rsidRPr="002C495C">
        <w:rPr>
          <w:rFonts w:ascii="宋体" w:hAnsi="宋体" w:hint="eastAsia"/>
          <w:sz w:val="24"/>
        </w:rPr>
        <w:t>论证及投后</w:t>
      </w:r>
      <w:proofErr w:type="gramEnd"/>
      <w:r w:rsidR="002C495C" w:rsidRPr="002C495C">
        <w:rPr>
          <w:rFonts w:ascii="宋体" w:hAnsi="宋体" w:hint="eastAsia"/>
          <w:sz w:val="24"/>
        </w:rPr>
        <w:t>管理，将面临投资失败及亏损的风险。</w:t>
      </w:r>
    </w:p>
    <w:p w:rsidR="002461B3" w:rsidRPr="002461B3" w:rsidRDefault="002461B3" w:rsidP="002461B3">
      <w:pPr>
        <w:spacing w:line="360" w:lineRule="auto"/>
        <w:rPr>
          <w:rFonts w:ascii="宋体" w:hAnsi="宋体"/>
          <w:sz w:val="24"/>
        </w:rPr>
      </w:pPr>
    </w:p>
    <w:p w:rsidR="002461B3" w:rsidRPr="004E3FB0" w:rsidRDefault="00130A2C" w:rsidP="002461B3">
      <w:pPr>
        <w:spacing w:line="360" w:lineRule="auto"/>
        <w:rPr>
          <w:rFonts w:ascii="宋体" w:hAnsi="宋体"/>
          <w:b/>
          <w:sz w:val="24"/>
        </w:rPr>
      </w:pPr>
      <w:r>
        <w:rPr>
          <w:rFonts w:ascii="宋体" w:hAnsi="宋体" w:hint="eastAsia"/>
          <w:sz w:val="24"/>
        </w:rPr>
        <w:t xml:space="preserve">   </w:t>
      </w:r>
      <w:r w:rsidRPr="004E3FB0">
        <w:rPr>
          <w:rFonts w:ascii="宋体" w:hAnsi="宋体" w:hint="eastAsia"/>
          <w:b/>
          <w:sz w:val="24"/>
        </w:rPr>
        <w:t xml:space="preserve"> 一、对外投资概述</w:t>
      </w:r>
    </w:p>
    <w:p w:rsidR="00130A2C" w:rsidRDefault="00130A2C" w:rsidP="00130A2C">
      <w:pPr>
        <w:spacing w:line="360" w:lineRule="auto"/>
        <w:ind w:firstLine="480"/>
        <w:rPr>
          <w:rFonts w:ascii="宋体" w:hAnsi="宋体"/>
          <w:sz w:val="24"/>
        </w:rPr>
      </w:pPr>
      <w:r>
        <w:rPr>
          <w:rFonts w:ascii="宋体" w:hAnsi="宋体" w:hint="eastAsia"/>
          <w:sz w:val="24"/>
        </w:rPr>
        <w:t>（一）</w:t>
      </w:r>
      <w:r w:rsidRPr="00F25707">
        <w:rPr>
          <w:rFonts w:ascii="宋体" w:hAnsi="宋体" w:hint="eastAsia"/>
          <w:sz w:val="24"/>
        </w:rPr>
        <w:t>对外投资的基本情况</w:t>
      </w:r>
    </w:p>
    <w:p w:rsidR="002C495C" w:rsidRDefault="002C495C" w:rsidP="00130A2C">
      <w:pPr>
        <w:spacing w:line="360" w:lineRule="auto"/>
        <w:ind w:firstLine="480"/>
        <w:rPr>
          <w:rFonts w:asciiTheme="minorEastAsia" w:hAnsiTheme="minorEastAsia"/>
          <w:sz w:val="24"/>
        </w:rPr>
      </w:pPr>
      <w:r>
        <w:rPr>
          <w:rFonts w:ascii="宋体" w:hAnsi="宋体" w:hint="eastAsia"/>
          <w:sz w:val="24"/>
        </w:rPr>
        <w:t>为进一步推进江苏吴中实业股份有限公司（以下简称“公司”）重要核心医药产业的发展，提升医药产业的行业地位，有效整合外部资源，同时借助专业机构的管理能力，在更大范围内实现资源的共享，以便尽快构建起</w:t>
      </w:r>
      <w:r w:rsidRPr="00AA66AB">
        <w:rPr>
          <w:rFonts w:asciiTheme="minorEastAsia" w:hAnsiTheme="minorEastAsia"/>
          <w:sz w:val="24"/>
        </w:rPr>
        <w:t>集“药品生产、医疗机构及医疗器械为一体的医疗大健康产业链”</w:t>
      </w:r>
      <w:r>
        <w:rPr>
          <w:rFonts w:asciiTheme="minorEastAsia" w:hAnsiTheme="minorEastAsia" w:hint="eastAsia"/>
          <w:sz w:val="24"/>
        </w:rPr>
        <w:t>的战略目标</w:t>
      </w:r>
      <w:r w:rsidRPr="00140D28">
        <w:rPr>
          <w:rFonts w:ascii="宋体" w:hAnsi="宋体" w:hint="eastAsia"/>
          <w:sz w:val="24"/>
        </w:rPr>
        <w:t>，公司</w:t>
      </w:r>
      <w:r>
        <w:rPr>
          <w:rFonts w:ascii="宋体" w:hAnsi="宋体" w:hint="eastAsia"/>
          <w:sz w:val="24"/>
        </w:rPr>
        <w:t>下属</w:t>
      </w:r>
      <w:r w:rsidRPr="0025160A">
        <w:rPr>
          <w:rFonts w:ascii="宋体" w:hAnsi="宋体" w:hint="eastAsia"/>
          <w:sz w:val="24"/>
        </w:rPr>
        <w:t>全资子</w:t>
      </w:r>
      <w:r w:rsidRPr="00F738BF">
        <w:rPr>
          <w:rFonts w:asciiTheme="minorEastAsia" w:hAnsiTheme="minorEastAsia" w:hint="eastAsia"/>
          <w:sz w:val="24"/>
        </w:rPr>
        <w:t>公司江苏吴中医药产业投资有限公司（以下简称“</w:t>
      </w:r>
      <w:r>
        <w:rPr>
          <w:rFonts w:asciiTheme="minorEastAsia" w:hAnsiTheme="minorEastAsia" w:hint="eastAsia"/>
          <w:sz w:val="24"/>
        </w:rPr>
        <w:t>医药产业投资公司</w:t>
      </w:r>
      <w:r w:rsidRPr="00F738BF">
        <w:rPr>
          <w:rFonts w:asciiTheme="minorEastAsia" w:hAnsiTheme="minorEastAsia" w:hint="eastAsia"/>
          <w:sz w:val="24"/>
        </w:rPr>
        <w:t>”）</w:t>
      </w:r>
      <w:r>
        <w:rPr>
          <w:rFonts w:asciiTheme="minorEastAsia" w:hAnsiTheme="minorEastAsia" w:hint="eastAsia"/>
          <w:sz w:val="24"/>
        </w:rPr>
        <w:t>于2018</w:t>
      </w:r>
      <w:r>
        <w:rPr>
          <w:rFonts w:asciiTheme="minorEastAsia" w:hAnsiTheme="minorEastAsia" w:hint="eastAsia"/>
          <w:sz w:val="24"/>
        </w:rPr>
        <w:lastRenderedPageBreak/>
        <w:t>年8月20日</w:t>
      </w:r>
      <w:r w:rsidRPr="00F738BF">
        <w:rPr>
          <w:rFonts w:asciiTheme="minorEastAsia" w:hAnsiTheme="minorEastAsia" w:hint="eastAsia"/>
          <w:sz w:val="24"/>
        </w:rPr>
        <w:t>与江西金控投资管理中心（有限合伙）（以下简称“江西金控”）签署《南昌吴中产业升级发展基金合作协议》（以下简称“协议”或“本协议”）共同发起设立</w:t>
      </w:r>
      <w:r>
        <w:rPr>
          <w:rFonts w:asciiTheme="minorEastAsia" w:hAnsiTheme="minorEastAsia" w:hint="eastAsia"/>
          <w:sz w:val="24"/>
        </w:rPr>
        <w:t>产业升级发展基金（以下简称“基金”或“产业基金”）</w:t>
      </w:r>
      <w:r w:rsidRPr="00F738BF">
        <w:rPr>
          <w:rFonts w:asciiTheme="minorEastAsia" w:hAnsiTheme="minorEastAsia" w:hint="eastAsia"/>
          <w:sz w:val="24"/>
        </w:rPr>
        <w:t>。</w:t>
      </w:r>
      <w:r>
        <w:rPr>
          <w:rFonts w:asciiTheme="minorEastAsia" w:hAnsiTheme="minorEastAsia" w:hint="eastAsia"/>
          <w:sz w:val="24"/>
        </w:rPr>
        <w:t>产业</w:t>
      </w:r>
      <w:r w:rsidRPr="002C495C">
        <w:rPr>
          <w:rFonts w:asciiTheme="minorEastAsia" w:hAnsiTheme="minorEastAsia" w:hint="eastAsia"/>
          <w:sz w:val="24"/>
        </w:rPr>
        <w:t>基金总规模不超过人民币15亿</w:t>
      </w:r>
      <w:r w:rsidR="006D0CAB">
        <w:rPr>
          <w:rFonts w:asciiTheme="minorEastAsia" w:hAnsiTheme="minorEastAsia" w:hint="eastAsia"/>
          <w:sz w:val="24"/>
        </w:rPr>
        <w:t>元</w:t>
      </w:r>
      <w:r w:rsidRPr="002C495C">
        <w:rPr>
          <w:rFonts w:asciiTheme="minorEastAsia" w:hAnsiTheme="minorEastAsia" w:hint="eastAsia"/>
          <w:sz w:val="24"/>
        </w:rPr>
        <w:t>，医药产业投资公司作为有限合伙人认缴2.7亿</w:t>
      </w:r>
      <w:r w:rsidR="006D0CAB">
        <w:rPr>
          <w:rFonts w:asciiTheme="minorEastAsia" w:hAnsiTheme="minorEastAsia" w:hint="eastAsia"/>
          <w:sz w:val="24"/>
        </w:rPr>
        <w:t>元</w:t>
      </w:r>
      <w:r w:rsidRPr="002C495C">
        <w:rPr>
          <w:rFonts w:asciiTheme="minorEastAsia" w:hAnsiTheme="minorEastAsia" w:hint="eastAsia"/>
          <w:sz w:val="24"/>
        </w:rPr>
        <w:t>。</w:t>
      </w:r>
    </w:p>
    <w:p w:rsidR="00130A2C" w:rsidRPr="00384BAD" w:rsidRDefault="00130A2C" w:rsidP="00130A2C">
      <w:pPr>
        <w:spacing w:line="360" w:lineRule="auto"/>
        <w:ind w:firstLine="480"/>
        <w:rPr>
          <w:rFonts w:ascii="宋体" w:hAnsi="宋体"/>
          <w:sz w:val="24"/>
        </w:rPr>
      </w:pPr>
      <w:r>
        <w:rPr>
          <w:rFonts w:ascii="宋体" w:hAnsi="宋体" w:hint="eastAsia"/>
          <w:sz w:val="24"/>
        </w:rPr>
        <w:t>（二）审批手续</w:t>
      </w:r>
    </w:p>
    <w:p w:rsidR="00130A2C" w:rsidRDefault="002C495C" w:rsidP="00130A2C">
      <w:pPr>
        <w:spacing w:line="360" w:lineRule="auto"/>
        <w:ind w:firstLine="480"/>
        <w:rPr>
          <w:rFonts w:ascii="宋体" w:hAnsi="宋体"/>
          <w:sz w:val="24"/>
        </w:rPr>
      </w:pPr>
      <w:r>
        <w:rPr>
          <w:rFonts w:ascii="宋体" w:hAnsi="宋体" w:hint="eastAsia"/>
          <w:sz w:val="24"/>
        </w:rPr>
        <w:t>2018年8月20日，公司召开第九届董事会第二次会议，审议通过了《</w:t>
      </w:r>
      <w:r w:rsidR="0043792E" w:rsidRPr="0043792E">
        <w:rPr>
          <w:rFonts w:ascii="宋体" w:hAnsi="宋体" w:hint="eastAsia"/>
          <w:sz w:val="24"/>
        </w:rPr>
        <w:t>江苏吴中实</w:t>
      </w:r>
      <w:r w:rsidR="0043792E">
        <w:rPr>
          <w:rFonts w:ascii="宋体" w:hAnsi="宋体" w:hint="eastAsia"/>
          <w:sz w:val="24"/>
        </w:rPr>
        <w:t>业股份有限公司关于全资子公司江苏吴中医药产业投资有限公司拟签署&lt;南昌吴中产业升级发展基金合作协议&gt;</w:t>
      </w:r>
      <w:r>
        <w:rPr>
          <w:rFonts w:ascii="宋体" w:hAnsi="宋体" w:hint="eastAsia"/>
          <w:sz w:val="24"/>
        </w:rPr>
        <w:t>》</w:t>
      </w:r>
      <w:r w:rsidR="0043792E" w:rsidRPr="0043792E">
        <w:rPr>
          <w:rFonts w:ascii="宋体" w:hAnsi="宋体" w:hint="eastAsia"/>
          <w:sz w:val="24"/>
        </w:rPr>
        <w:t>的议案</w:t>
      </w:r>
      <w:r w:rsidR="0043792E">
        <w:rPr>
          <w:rFonts w:ascii="宋体" w:hAnsi="宋体" w:hint="eastAsia"/>
          <w:sz w:val="24"/>
        </w:rPr>
        <w:t>，根据《公司章程》有关规定，本次投</w:t>
      </w:r>
      <w:r w:rsidR="0043792E" w:rsidRPr="0043792E">
        <w:rPr>
          <w:rFonts w:ascii="宋体" w:hAnsi="宋体" w:hint="eastAsia"/>
          <w:sz w:val="24"/>
        </w:rPr>
        <w:t>资在董事会审批权限范围之内，无需提交公司股东大会审议。</w:t>
      </w:r>
    </w:p>
    <w:p w:rsidR="00130A2C" w:rsidRDefault="00130A2C" w:rsidP="00130A2C">
      <w:pPr>
        <w:spacing w:line="360" w:lineRule="auto"/>
        <w:ind w:firstLine="480"/>
        <w:rPr>
          <w:rFonts w:ascii="宋体" w:hAnsi="宋体"/>
          <w:sz w:val="24"/>
        </w:rPr>
      </w:pPr>
      <w:r>
        <w:rPr>
          <w:rFonts w:ascii="宋体" w:hAnsi="宋体" w:hint="eastAsia"/>
          <w:sz w:val="24"/>
        </w:rPr>
        <w:t>（三）</w:t>
      </w:r>
      <w:r w:rsidRPr="00BA3EBD">
        <w:rPr>
          <w:rFonts w:ascii="宋体" w:hAnsi="宋体" w:hint="eastAsia"/>
          <w:sz w:val="24"/>
        </w:rPr>
        <w:t>关联交易或重大资产重组情况</w:t>
      </w:r>
    </w:p>
    <w:p w:rsidR="002461B3" w:rsidRDefault="0043792E" w:rsidP="00AA5284">
      <w:pPr>
        <w:spacing w:line="360" w:lineRule="auto"/>
        <w:ind w:firstLine="480"/>
        <w:rPr>
          <w:rFonts w:ascii="宋体" w:hAnsi="宋体"/>
          <w:sz w:val="24"/>
        </w:rPr>
      </w:pPr>
      <w:r w:rsidRPr="0043792E">
        <w:rPr>
          <w:rFonts w:ascii="宋体" w:hAnsi="宋体" w:hint="eastAsia"/>
          <w:sz w:val="24"/>
        </w:rPr>
        <w:t>本次签署协议事项未构成关联交易，也未构成《上市公司重大资产重组管理办法》规定的重大资产重组。</w:t>
      </w:r>
    </w:p>
    <w:p w:rsidR="00AA5284" w:rsidRDefault="00AA5284" w:rsidP="00AA5284">
      <w:pPr>
        <w:spacing w:line="360" w:lineRule="auto"/>
        <w:ind w:firstLine="480"/>
        <w:rPr>
          <w:rFonts w:ascii="宋体" w:hAnsi="宋体"/>
          <w:sz w:val="24"/>
        </w:rPr>
      </w:pPr>
      <w:r>
        <w:rPr>
          <w:rFonts w:ascii="宋体" w:hAnsi="宋体" w:hint="eastAsia"/>
          <w:sz w:val="24"/>
        </w:rPr>
        <w:t>（四）其他</w:t>
      </w:r>
    </w:p>
    <w:p w:rsidR="00AA5284" w:rsidRPr="00AA5284" w:rsidRDefault="00AA5284" w:rsidP="00AA5284">
      <w:pPr>
        <w:spacing w:line="360" w:lineRule="auto"/>
        <w:ind w:firstLine="480"/>
        <w:rPr>
          <w:rFonts w:ascii="宋体" w:hAnsi="宋体"/>
          <w:sz w:val="24"/>
        </w:rPr>
      </w:pPr>
      <w:r w:rsidRPr="00AA5284">
        <w:rPr>
          <w:rFonts w:ascii="宋体" w:hAnsi="宋体" w:hint="eastAsia"/>
          <w:sz w:val="24"/>
        </w:rPr>
        <w:t>为提高后续决策效率，公司董事会授权经营</w:t>
      </w:r>
      <w:proofErr w:type="gramStart"/>
      <w:r w:rsidRPr="00AA5284">
        <w:rPr>
          <w:rFonts w:ascii="宋体" w:hAnsi="宋体" w:hint="eastAsia"/>
          <w:sz w:val="24"/>
        </w:rPr>
        <w:t>层依据</w:t>
      </w:r>
      <w:proofErr w:type="gramEnd"/>
      <w:r w:rsidRPr="00AA5284">
        <w:rPr>
          <w:rFonts w:ascii="宋体" w:hAnsi="宋体" w:hint="eastAsia"/>
          <w:sz w:val="24"/>
        </w:rPr>
        <w:t>协议条款中的相关约定，负责包括但不限于“与合作各方（包括新增投资者）继续洽谈、确认、签署正式合伙人协议及其它相关协议”等各项后续工作，如后续相关事宜按规定须提交股东大会审议的，按规定要求执行。</w:t>
      </w:r>
    </w:p>
    <w:p w:rsidR="002461B3" w:rsidRDefault="004E3FB0" w:rsidP="00877073">
      <w:pPr>
        <w:spacing w:line="360" w:lineRule="auto"/>
        <w:ind w:firstLine="480"/>
        <w:rPr>
          <w:rFonts w:ascii="宋体" w:hAnsi="宋体"/>
          <w:b/>
          <w:sz w:val="24"/>
        </w:rPr>
      </w:pPr>
      <w:r w:rsidRPr="00880ECF">
        <w:rPr>
          <w:rFonts w:ascii="宋体" w:hAnsi="宋体" w:hint="eastAsia"/>
          <w:b/>
          <w:sz w:val="24"/>
        </w:rPr>
        <w:t>二、合作</w:t>
      </w:r>
      <w:r w:rsidR="00877073">
        <w:rPr>
          <w:rFonts w:ascii="宋体" w:hAnsi="宋体" w:hint="eastAsia"/>
          <w:b/>
          <w:sz w:val="24"/>
        </w:rPr>
        <w:t>方</w:t>
      </w:r>
      <w:r w:rsidRPr="00880ECF">
        <w:rPr>
          <w:rFonts w:ascii="宋体" w:hAnsi="宋体" w:hint="eastAsia"/>
          <w:b/>
          <w:sz w:val="24"/>
        </w:rPr>
        <w:t>基本情况</w:t>
      </w:r>
    </w:p>
    <w:p w:rsidR="007A66EE" w:rsidRPr="00466881" w:rsidRDefault="007A66EE" w:rsidP="007A66EE">
      <w:pPr>
        <w:spacing w:line="360" w:lineRule="auto"/>
        <w:ind w:firstLine="480"/>
        <w:rPr>
          <w:rFonts w:asciiTheme="minorEastAsia" w:hAnsiTheme="minorEastAsia"/>
          <w:sz w:val="24"/>
        </w:rPr>
      </w:pPr>
      <w:r w:rsidRPr="00466881">
        <w:rPr>
          <w:rFonts w:asciiTheme="minorEastAsia" w:hAnsiTheme="minorEastAsia" w:hint="eastAsia"/>
          <w:sz w:val="24"/>
        </w:rPr>
        <w:t xml:space="preserve">公司名称：江西金控投资管理中心（有限合伙） </w:t>
      </w:r>
    </w:p>
    <w:p w:rsidR="007A66EE" w:rsidRPr="00466881" w:rsidRDefault="007A66EE" w:rsidP="007A66EE">
      <w:pPr>
        <w:spacing w:line="360" w:lineRule="auto"/>
        <w:ind w:firstLine="480"/>
        <w:rPr>
          <w:rFonts w:asciiTheme="minorEastAsia" w:hAnsiTheme="minorEastAsia"/>
          <w:sz w:val="24"/>
        </w:rPr>
      </w:pPr>
      <w:r w:rsidRPr="00466881">
        <w:rPr>
          <w:rFonts w:asciiTheme="minorEastAsia" w:hAnsiTheme="minorEastAsia" w:hint="eastAsia"/>
          <w:sz w:val="24"/>
        </w:rPr>
        <w:t>企业类型：</w:t>
      </w:r>
      <w:r w:rsidRPr="00A1289A">
        <w:rPr>
          <w:rFonts w:asciiTheme="minorEastAsia" w:hAnsiTheme="minorEastAsia" w:hint="eastAsia"/>
          <w:sz w:val="24"/>
        </w:rPr>
        <w:t>有限合伙企业</w:t>
      </w:r>
    </w:p>
    <w:p w:rsidR="007A66EE" w:rsidRPr="00A1289A" w:rsidRDefault="007A66EE" w:rsidP="007A66EE">
      <w:pPr>
        <w:spacing w:line="360" w:lineRule="auto"/>
        <w:ind w:firstLine="480"/>
        <w:rPr>
          <w:rFonts w:asciiTheme="minorEastAsia" w:hAnsiTheme="minorEastAsia"/>
          <w:sz w:val="24"/>
        </w:rPr>
      </w:pPr>
      <w:r w:rsidRPr="00466881">
        <w:rPr>
          <w:rFonts w:asciiTheme="minorEastAsia" w:hAnsiTheme="minorEastAsia" w:hint="eastAsia"/>
          <w:sz w:val="24"/>
        </w:rPr>
        <w:t>法定代表人：</w:t>
      </w:r>
      <w:r w:rsidRPr="00A1289A">
        <w:rPr>
          <w:rFonts w:asciiTheme="minorEastAsia" w:hAnsiTheme="minorEastAsia" w:hint="eastAsia"/>
          <w:sz w:val="24"/>
        </w:rPr>
        <w:t>陈飞</w:t>
      </w:r>
    </w:p>
    <w:p w:rsidR="007A66EE" w:rsidRPr="00466881" w:rsidRDefault="007A66EE" w:rsidP="007A66EE">
      <w:pPr>
        <w:spacing w:line="360" w:lineRule="auto"/>
        <w:ind w:firstLine="480"/>
        <w:rPr>
          <w:rFonts w:asciiTheme="minorEastAsia" w:hAnsiTheme="minorEastAsia"/>
          <w:sz w:val="24"/>
        </w:rPr>
      </w:pPr>
      <w:r w:rsidRPr="00466881">
        <w:rPr>
          <w:rFonts w:asciiTheme="minorEastAsia" w:hAnsiTheme="minorEastAsia" w:hint="eastAsia"/>
          <w:sz w:val="24"/>
        </w:rPr>
        <w:t>注册资本：</w:t>
      </w:r>
      <w:r w:rsidRPr="00A1289A">
        <w:rPr>
          <w:rFonts w:asciiTheme="minorEastAsia" w:hAnsiTheme="minorEastAsia" w:hint="eastAsia"/>
          <w:sz w:val="24"/>
        </w:rPr>
        <w:t>1000万</w:t>
      </w:r>
    </w:p>
    <w:p w:rsidR="007A66EE" w:rsidRPr="00466881" w:rsidRDefault="007A66EE" w:rsidP="007A66EE">
      <w:pPr>
        <w:spacing w:line="360" w:lineRule="auto"/>
        <w:ind w:firstLine="480"/>
        <w:rPr>
          <w:rFonts w:asciiTheme="minorEastAsia" w:hAnsiTheme="minorEastAsia"/>
          <w:sz w:val="24"/>
        </w:rPr>
      </w:pPr>
      <w:r w:rsidRPr="00466881">
        <w:rPr>
          <w:rFonts w:asciiTheme="minorEastAsia" w:hAnsiTheme="minorEastAsia" w:hint="eastAsia"/>
          <w:sz w:val="24"/>
        </w:rPr>
        <w:t>住所：江西省南昌市</w:t>
      </w:r>
      <w:proofErr w:type="gramStart"/>
      <w:r w:rsidRPr="00466881">
        <w:rPr>
          <w:rFonts w:asciiTheme="minorEastAsia" w:hAnsiTheme="minorEastAsia" w:hint="eastAsia"/>
          <w:sz w:val="24"/>
        </w:rPr>
        <w:t>红谷滩</w:t>
      </w:r>
      <w:proofErr w:type="gramEnd"/>
      <w:r w:rsidRPr="00466881">
        <w:rPr>
          <w:rFonts w:asciiTheme="minorEastAsia" w:hAnsiTheme="minorEastAsia" w:hint="eastAsia"/>
          <w:sz w:val="24"/>
        </w:rPr>
        <w:t>新区雅苑路196号江西金控大厦20楼</w:t>
      </w:r>
    </w:p>
    <w:p w:rsidR="007A66EE" w:rsidRPr="00466881" w:rsidRDefault="007A66EE" w:rsidP="007A66EE">
      <w:pPr>
        <w:spacing w:line="360" w:lineRule="auto"/>
        <w:ind w:firstLine="480"/>
        <w:rPr>
          <w:rFonts w:asciiTheme="minorEastAsia" w:hAnsiTheme="minorEastAsia"/>
          <w:sz w:val="24"/>
        </w:rPr>
      </w:pPr>
      <w:r w:rsidRPr="00466881">
        <w:rPr>
          <w:rFonts w:asciiTheme="minorEastAsia" w:hAnsiTheme="minorEastAsia" w:hint="eastAsia"/>
          <w:sz w:val="24"/>
        </w:rPr>
        <w:t>成立日期：</w:t>
      </w:r>
      <w:r w:rsidRPr="00A1289A">
        <w:rPr>
          <w:rFonts w:asciiTheme="minorEastAsia" w:hAnsiTheme="minorEastAsia" w:hint="eastAsia"/>
          <w:sz w:val="24"/>
        </w:rPr>
        <w:t>2012年09月18日</w:t>
      </w:r>
    </w:p>
    <w:p w:rsidR="007A66EE" w:rsidRPr="00466881" w:rsidRDefault="007A66EE" w:rsidP="007A66EE">
      <w:pPr>
        <w:spacing w:line="360" w:lineRule="auto"/>
        <w:ind w:firstLine="480"/>
        <w:rPr>
          <w:rFonts w:asciiTheme="minorEastAsia" w:hAnsiTheme="minorEastAsia"/>
          <w:sz w:val="24"/>
        </w:rPr>
      </w:pPr>
      <w:r w:rsidRPr="00466881">
        <w:rPr>
          <w:rFonts w:asciiTheme="minorEastAsia" w:hAnsiTheme="minorEastAsia" w:hint="eastAsia"/>
          <w:sz w:val="24"/>
        </w:rPr>
        <w:t>营业期限：</w:t>
      </w:r>
      <w:r w:rsidRPr="00A1289A">
        <w:rPr>
          <w:rFonts w:asciiTheme="minorEastAsia" w:hAnsiTheme="minorEastAsia" w:hint="eastAsia"/>
          <w:sz w:val="24"/>
        </w:rPr>
        <w:t>2012年09月18日——2022年09月19日</w:t>
      </w:r>
    </w:p>
    <w:p w:rsidR="007A66EE" w:rsidRPr="00466881" w:rsidRDefault="007A66EE" w:rsidP="007A66EE">
      <w:pPr>
        <w:spacing w:line="360" w:lineRule="auto"/>
        <w:ind w:firstLine="480"/>
        <w:rPr>
          <w:rFonts w:asciiTheme="minorEastAsia" w:hAnsiTheme="minorEastAsia"/>
          <w:sz w:val="24"/>
        </w:rPr>
      </w:pPr>
      <w:r w:rsidRPr="00466881">
        <w:rPr>
          <w:rFonts w:asciiTheme="minorEastAsia" w:hAnsiTheme="minorEastAsia" w:hint="eastAsia"/>
          <w:sz w:val="24"/>
        </w:rPr>
        <w:t>经营范围：</w:t>
      </w:r>
      <w:r w:rsidRPr="00A1289A">
        <w:rPr>
          <w:rFonts w:asciiTheme="minorEastAsia" w:hAnsiTheme="minorEastAsia" w:hint="eastAsia"/>
          <w:sz w:val="24"/>
        </w:rPr>
        <w:t>受托管理股权投资企业，从事投资管理及相关资讯服务。（以上项目国家有专项许可的凭证经营）</w:t>
      </w:r>
    </w:p>
    <w:p w:rsidR="007A66EE" w:rsidRDefault="007A66EE" w:rsidP="007A66EE">
      <w:pPr>
        <w:spacing w:line="360" w:lineRule="auto"/>
        <w:ind w:firstLine="480"/>
        <w:rPr>
          <w:rFonts w:asciiTheme="minorEastAsia" w:hAnsiTheme="minorEastAsia"/>
          <w:sz w:val="24"/>
        </w:rPr>
      </w:pPr>
      <w:r w:rsidRPr="00466881">
        <w:rPr>
          <w:rFonts w:asciiTheme="minorEastAsia" w:hAnsiTheme="minorEastAsia" w:hint="eastAsia"/>
          <w:sz w:val="24"/>
        </w:rPr>
        <w:t>主要管理人员：</w:t>
      </w:r>
    </w:p>
    <w:p w:rsidR="007A66EE" w:rsidRPr="00A1289A" w:rsidRDefault="007A66EE" w:rsidP="007A66EE">
      <w:pPr>
        <w:spacing w:line="360" w:lineRule="auto"/>
        <w:ind w:firstLine="480"/>
        <w:rPr>
          <w:rFonts w:asciiTheme="minorEastAsia" w:hAnsiTheme="minorEastAsia"/>
          <w:sz w:val="24"/>
        </w:rPr>
      </w:pPr>
      <w:r w:rsidRPr="00A1289A">
        <w:rPr>
          <w:rFonts w:asciiTheme="minorEastAsia" w:hAnsiTheme="minorEastAsia" w:hint="eastAsia"/>
          <w:sz w:val="24"/>
        </w:rPr>
        <w:t>花荣斌（董事长)：中共党员，硕士研究生学历，长江商学院EMBA。曾任江</w:t>
      </w:r>
      <w:r w:rsidRPr="00A1289A">
        <w:rPr>
          <w:rFonts w:asciiTheme="minorEastAsia" w:hAnsiTheme="minorEastAsia" w:hint="eastAsia"/>
          <w:sz w:val="24"/>
        </w:rPr>
        <w:lastRenderedPageBreak/>
        <w:t>西省农村信用社联合社九江办事处党组书记兼任九江农商银行党委书记、董事长。先后在农业银行江西分行，南昌农商行，江西省联社，九江农商行担任领导职务。花荣斌金融从业经验非常丰富，资源整合、管理领导能力强，创新意识超前，作为</w:t>
      </w:r>
      <w:r>
        <w:rPr>
          <w:rFonts w:asciiTheme="minorEastAsia" w:hAnsiTheme="minorEastAsia" w:hint="eastAsia"/>
          <w:sz w:val="24"/>
        </w:rPr>
        <w:t>江西</w:t>
      </w:r>
      <w:r w:rsidRPr="00A1289A">
        <w:rPr>
          <w:rFonts w:asciiTheme="minorEastAsia" w:hAnsiTheme="minorEastAsia" w:hint="eastAsia"/>
          <w:sz w:val="24"/>
        </w:rPr>
        <w:t>省</w:t>
      </w:r>
      <w:proofErr w:type="gramStart"/>
      <w:r w:rsidRPr="00A1289A">
        <w:rPr>
          <w:rFonts w:asciiTheme="minorEastAsia" w:hAnsiTheme="minorEastAsia" w:hint="eastAsia"/>
          <w:sz w:val="24"/>
        </w:rPr>
        <w:t>金控基金</w:t>
      </w:r>
      <w:proofErr w:type="gramEnd"/>
      <w:r w:rsidRPr="00A1289A">
        <w:rPr>
          <w:rFonts w:asciiTheme="minorEastAsia" w:hAnsiTheme="minorEastAsia" w:hint="eastAsia"/>
          <w:sz w:val="24"/>
        </w:rPr>
        <w:t>的牵头人，是未来的发展和运作强有力的保障。</w:t>
      </w:r>
    </w:p>
    <w:p w:rsidR="007A66EE" w:rsidRPr="00A1289A" w:rsidRDefault="007A66EE" w:rsidP="007A66EE">
      <w:pPr>
        <w:spacing w:line="360" w:lineRule="auto"/>
        <w:ind w:firstLine="480"/>
        <w:rPr>
          <w:rFonts w:asciiTheme="minorEastAsia" w:hAnsiTheme="minorEastAsia"/>
          <w:sz w:val="24"/>
        </w:rPr>
      </w:pPr>
      <w:r w:rsidRPr="00A1289A">
        <w:rPr>
          <w:rFonts w:asciiTheme="minorEastAsia" w:hAnsiTheme="minorEastAsia" w:hint="eastAsia"/>
          <w:sz w:val="24"/>
        </w:rPr>
        <w:t>何中(首席</w:t>
      </w:r>
      <w:proofErr w:type="gramStart"/>
      <w:r w:rsidRPr="00A1289A">
        <w:rPr>
          <w:rFonts w:asciiTheme="minorEastAsia" w:hAnsiTheme="minorEastAsia" w:hint="eastAsia"/>
          <w:sz w:val="24"/>
        </w:rPr>
        <w:t>风控官</w:t>
      </w:r>
      <w:proofErr w:type="gramEnd"/>
      <w:r w:rsidRPr="00A1289A">
        <w:rPr>
          <w:rFonts w:asciiTheme="minorEastAsia" w:hAnsiTheme="minorEastAsia" w:hint="eastAsia"/>
          <w:sz w:val="24"/>
        </w:rPr>
        <w:t>）：中共党员，法学硕士，江西财大金融学在读博士。获得银行、证券、基金和期货行业的全部从业资格证书和CTP（国际财资管理师）证书。在银行、信托、证券等金融机构从事多年的投资银行和投资业务，项目营销和操作经验丰富</w:t>
      </w:r>
      <w:r>
        <w:rPr>
          <w:rFonts w:asciiTheme="minorEastAsia" w:hAnsiTheme="minorEastAsia" w:hint="eastAsia"/>
          <w:sz w:val="24"/>
        </w:rPr>
        <w:t>。</w:t>
      </w:r>
    </w:p>
    <w:p w:rsidR="007A66EE" w:rsidRPr="00A1289A" w:rsidRDefault="007A66EE" w:rsidP="007A66EE">
      <w:pPr>
        <w:spacing w:line="360" w:lineRule="auto"/>
        <w:ind w:firstLine="480"/>
        <w:rPr>
          <w:rFonts w:asciiTheme="minorEastAsia" w:hAnsiTheme="minorEastAsia"/>
          <w:sz w:val="24"/>
        </w:rPr>
      </w:pPr>
      <w:r w:rsidRPr="00A1289A">
        <w:rPr>
          <w:rFonts w:asciiTheme="minorEastAsia" w:hAnsiTheme="minorEastAsia" w:hint="eastAsia"/>
          <w:sz w:val="24"/>
        </w:rPr>
        <w:t>陈飞（副总裁）：毕业于华东交通大学工商管理专业，西南大学经济学硕士。毕业后考入中国人民银行广州分行，获得中国人民银行金融服务优秀先进个人。后任职交通银行投资银行部总经理助理，主要从事大型公司客户的投行类项目。陈</w:t>
      </w:r>
      <w:proofErr w:type="gramStart"/>
      <w:r w:rsidRPr="00A1289A">
        <w:rPr>
          <w:rFonts w:asciiTheme="minorEastAsia" w:hAnsiTheme="minorEastAsia" w:hint="eastAsia"/>
          <w:sz w:val="24"/>
        </w:rPr>
        <w:t>飞具有</w:t>
      </w:r>
      <w:proofErr w:type="gramEnd"/>
      <w:r w:rsidRPr="00A1289A">
        <w:rPr>
          <w:rFonts w:asciiTheme="minorEastAsia" w:hAnsiTheme="minorEastAsia" w:hint="eastAsia"/>
          <w:sz w:val="24"/>
        </w:rPr>
        <w:t>扎实的金融知识，项目经验丰富，具有基金从业资格证书和中级经济师资格，对项目具体落地执行力强。</w:t>
      </w:r>
    </w:p>
    <w:p w:rsidR="007A66EE" w:rsidRPr="00466881" w:rsidRDefault="007A66EE" w:rsidP="007A66EE">
      <w:pPr>
        <w:spacing w:line="360" w:lineRule="auto"/>
        <w:ind w:firstLine="480"/>
        <w:rPr>
          <w:rFonts w:asciiTheme="minorEastAsia" w:hAnsiTheme="minorEastAsia"/>
          <w:sz w:val="24"/>
        </w:rPr>
      </w:pPr>
      <w:r w:rsidRPr="00A1289A">
        <w:rPr>
          <w:rFonts w:asciiTheme="minorEastAsia" w:hAnsiTheme="minorEastAsia" w:hint="eastAsia"/>
          <w:sz w:val="24"/>
        </w:rPr>
        <w:t>龚兴波（法</w:t>
      </w:r>
      <w:proofErr w:type="gramStart"/>
      <w:r w:rsidRPr="00A1289A">
        <w:rPr>
          <w:rFonts w:asciiTheme="minorEastAsia" w:hAnsiTheme="minorEastAsia" w:hint="eastAsia"/>
          <w:sz w:val="24"/>
        </w:rPr>
        <w:t>务</w:t>
      </w:r>
      <w:proofErr w:type="gramEnd"/>
      <w:r w:rsidRPr="00A1289A">
        <w:rPr>
          <w:rFonts w:asciiTheme="minorEastAsia" w:hAnsiTheme="minorEastAsia" w:hint="eastAsia"/>
          <w:sz w:val="24"/>
        </w:rPr>
        <w:t>总监)：2008年开始律师执业，有多年民商事诉讼、公司法</w:t>
      </w:r>
      <w:proofErr w:type="gramStart"/>
      <w:r w:rsidRPr="00A1289A">
        <w:rPr>
          <w:rFonts w:asciiTheme="minorEastAsia" w:hAnsiTheme="minorEastAsia" w:hint="eastAsia"/>
          <w:sz w:val="24"/>
        </w:rPr>
        <w:t>务</w:t>
      </w:r>
      <w:proofErr w:type="gramEnd"/>
      <w:r w:rsidRPr="00A1289A">
        <w:rPr>
          <w:rFonts w:asciiTheme="minorEastAsia" w:hAnsiTheme="minorEastAsia" w:hint="eastAsia"/>
          <w:sz w:val="24"/>
        </w:rPr>
        <w:t>、项目商务谈判经验。2016年加盟上海市建纬（南昌）律师事务所成为南昌分所合伙人，领导律师团队与包括宝钢集团、中建一局在内的多个央企合作在</w:t>
      </w:r>
      <w:r>
        <w:rPr>
          <w:rFonts w:asciiTheme="minorEastAsia" w:hAnsiTheme="minorEastAsia" w:hint="eastAsia"/>
          <w:sz w:val="24"/>
        </w:rPr>
        <w:t>江西</w:t>
      </w:r>
      <w:r w:rsidRPr="00A1289A">
        <w:rPr>
          <w:rFonts w:asciiTheme="minorEastAsia" w:hAnsiTheme="minorEastAsia" w:hint="eastAsia"/>
          <w:sz w:val="24"/>
        </w:rPr>
        <w:t>省内开展PPP业务。在合同法律风险防范与处理、公司内部法律风险控制、项目法律架构设计安排等方面能够提供全面的法律保障。</w:t>
      </w:r>
    </w:p>
    <w:p w:rsidR="007A66EE" w:rsidRPr="00466881" w:rsidRDefault="007A66EE" w:rsidP="007A66EE">
      <w:pPr>
        <w:spacing w:line="360" w:lineRule="auto"/>
        <w:ind w:firstLine="480"/>
        <w:rPr>
          <w:rFonts w:asciiTheme="minorEastAsia" w:hAnsiTheme="minorEastAsia"/>
          <w:sz w:val="24"/>
        </w:rPr>
      </w:pPr>
      <w:r w:rsidRPr="00466881">
        <w:rPr>
          <w:rFonts w:asciiTheme="minorEastAsia" w:hAnsiTheme="minorEastAsia" w:hint="eastAsia"/>
          <w:sz w:val="24"/>
        </w:rPr>
        <w:t>主要投资领域：</w:t>
      </w:r>
      <w:r w:rsidRPr="00A1289A">
        <w:rPr>
          <w:rFonts w:asciiTheme="minorEastAsia" w:hAnsiTheme="minorEastAsia" w:hint="eastAsia"/>
          <w:sz w:val="24"/>
        </w:rPr>
        <w:t>管理基金产品类型涵盖城市发展基金、产业投资基金、并购基金、PE、VC型股权投资基金。</w:t>
      </w:r>
    </w:p>
    <w:p w:rsidR="007A66EE" w:rsidRPr="00466881" w:rsidRDefault="007A66EE" w:rsidP="007A66EE">
      <w:pPr>
        <w:spacing w:line="360" w:lineRule="auto"/>
        <w:ind w:firstLine="480"/>
        <w:rPr>
          <w:rFonts w:asciiTheme="minorEastAsia" w:hAnsiTheme="minorEastAsia"/>
          <w:sz w:val="24"/>
        </w:rPr>
      </w:pPr>
      <w:r w:rsidRPr="00466881">
        <w:rPr>
          <w:rFonts w:asciiTheme="minorEastAsia" w:hAnsiTheme="minorEastAsia" w:hint="eastAsia"/>
          <w:sz w:val="24"/>
        </w:rPr>
        <w:t>股权结构（合伙人信息）：</w:t>
      </w:r>
    </w:p>
    <w:tbl>
      <w:tblPr>
        <w:tblW w:w="8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05"/>
        <w:gridCol w:w="2141"/>
        <w:gridCol w:w="1746"/>
      </w:tblGrid>
      <w:tr w:rsidR="007A66EE" w:rsidRPr="00A1289A" w:rsidTr="00D47980">
        <w:trPr>
          <w:trHeight w:val="168"/>
          <w:jc w:val="center"/>
        </w:trPr>
        <w:tc>
          <w:tcPr>
            <w:tcW w:w="4205" w:type="dxa"/>
            <w:tcMar>
              <w:top w:w="15" w:type="dxa"/>
              <w:left w:w="15" w:type="dxa"/>
              <w:bottom w:w="0" w:type="dxa"/>
              <w:right w:w="15" w:type="dxa"/>
            </w:tcMar>
            <w:vAlign w:val="center"/>
          </w:tcPr>
          <w:p w:rsidR="007A66EE" w:rsidRPr="00A1289A" w:rsidRDefault="007A66EE" w:rsidP="00D47980">
            <w:pPr>
              <w:spacing w:line="360" w:lineRule="auto"/>
              <w:jc w:val="center"/>
              <w:rPr>
                <w:rFonts w:asciiTheme="minorEastAsia" w:hAnsiTheme="minorEastAsia"/>
                <w:sz w:val="24"/>
              </w:rPr>
            </w:pPr>
            <w:r w:rsidRPr="00A1289A">
              <w:rPr>
                <w:rFonts w:asciiTheme="minorEastAsia" w:hAnsiTheme="minorEastAsia" w:hint="eastAsia"/>
                <w:sz w:val="24"/>
              </w:rPr>
              <w:t>股东</w:t>
            </w:r>
          </w:p>
        </w:tc>
        <w:tc>
          <w:tcPr>
            <w:tcW w:w="2141" w:type="dxa"/>
            <w:tcMar>
              <w:top w:w="15" w:type="dxa"/>
              <w:left w:w="15" w:type="dxa"/>
              <w:bottom w:w="0" w:type="dxa"/>
              <w:right w:w="15" w:type="dxa"/>
            </w:tcMar>
            <w:vAlign w:val="center"/>
          </w:tcPr>
          <w:p w:rsidR="007A66EE" w:rsidRPr="00A1289A" w:rsidRDefault="007A66EE" w:rsidP="00D47980">
            <w:pPr>
              <w:spacing w:line="360" w:lineRule="auto"/>
              <w:jc w:val="center"/>
              <w:rPr>
                <w:rFonts w:asciiTheme="minorEastAsia" w:hAnsiTheme="minorEastAsia"/>
                <w:sz w:val="24"/>
              </w:rPr>
            </w:pPr>
            <w:r w:rsidRPr="00A1289A">
              <w:rPr>
                <w:rFonts w:asciiTheme="minorEastAsia" w:hAnsiTheme="minorEastAsia" w:hint="eastAsia"/>
                <w:sz w:val="24"/>
              </w:rPr>
              <w:t>实缴资本（万元）</w:t>
            </w:r>
          </w:p>
        </w:tc>
        <w:tc>
          <w:tcPr>
            <w:tcW w:w="1746" w:type="dxa"/>
          </w:tcPr>
          <w:p w:rsidR="007A66EE" w:rsidRPr="00A1289A" w:rsidRDefault="007A66EE" w:rsidP="00D47980">
            <w:pPr>
              <w:spacing w:line="360" w:lineRule="auto"/>
              <w:jc w:val="center"/>
              <w:rPr>
                <w:rFonts w:asciiTheme="minorEastAsia" w:hAnsiTheme="minorEastAsia"/>
                <w:sz w:val="24"/>
              </w:rPr>
            </w:pPr>
            <w:r w:rsidRPr="00A1289A">
              <w:rPr>
                <w:rFonts w:asciiTheme="minorEastAsia" w:hAnsiTheme="minorEastAsia" w:hint="eastAsia"/>
                <w:sz w:val="24"/>
              </w:rPr>
              <w:t>持股比例</w:t>
            </w:r>
          </w:p>
        </w:tc>
      </w:tr>
      <w:tr w:rsidR="007A66EE" w:rsidRPr="00A1289A" w:rsidTr="00D47980">
        <w:trPr>
          <w:trHeight w:val="168"/>
          <w:jc w:val="center"/>
        </w:trPr>
        <w:tc>
          <w:tcPr>
            <w:tcW w:w="4205" w:type="dxa"/>
            <w:tcMar>
              <w:top w:w="15" w:type="dxa"/>
              <w:left w:w="15" w:type="dxa"/>
              <w:bottom w:w="0" w:type="dxa"/>
              <w:right w:w="15" w:type="dxa"/>
            </w:tcMar>
            <w:vAlign w:val="center"/>
          </w:tcPr>
          <w:p w:rsidR="007A66EE" w:rsidRPr="00A1289A" w:rsidRDefault="007A66EE" w:rsidP="00D47980">
            <w:pPr>
              <w:spacing w:line="360" w:lineRule="auto"/>
              <w:ind w:firstLine="480"/>
              <w:rPr>
                <w:rFonts w:asciiTheme="minorEastAsia" w:hAnsiTheme="minorEastAsia"/>
                <w:sz w:val="24"/>
              </w:rPr>
            </w:pPr>
            <w:r w:rsidRPr="00A1289A">
              <w:rPr>
                <w:rFonts w:asciiTheme="minorEastAsia" w:hAnsiTheme="minorEastAsia" w:hint="eastAsia"/>
                <w:sz w:val="24"/>
              </w:rPr>
              <w:t>江西省金融控股集团有限公司</w:t>
            </w:r>
          </w:p>
        </w:tc>
        <w:tc>
          <w:tcPr>
            <w:tcW w:w="2141" w:type="dxa"/>
            <w:tcMar>
              <w:top w:w="15" w:type="dxa"/>
              <w:left w:w="15" w:type="dxa"/>
              <w:bottom w:w="0" w:type="dxa"/>
              <w:right w:w="15" w:type="dxa"/>
            </w:tcMar>
            <w:vAlign w:val="center"/>
          </w:tcPr>
          <w:p w:rsidR="007A66EE" w:rsidRPr="00A1289A" w:rsidRDefault="007A66EE" w:rsidP="00D47980">
            <w:pPr>
              <w:spacing w:line="360" w:lineRule="auto"/>
              <w:ind w:firstLine="480"/>
              <w:jc w:val="right"/>
              <w:rPr>
                <w:rFonts w:asciiTheme="minorEastAsia" w:hAnsiTheme="minorEastAsia"/>
                <w:sz w:val="24"/>
              </w:rPr>
            </w:pPr>
            <w:r w:rsidRPr="00A1289A">
              <w:rPr>
                <w:rFonts w:asciiTheme="minorEastAsia" w:hAnsiTheme="minorEastAsia" w:hint="eastAsia"/>
                <w:sz w:val="24"/>
              </w:rPr>
              <w:t>230.3</w:t>
            </w:r>
          </w:p>
        </w:tc>
        <w:tc>
          <w:tcPr>
            <w:tcW w:w="1746" w:type="dxa"/>
          </w:tcPr>
          <w:p w:rsidR="007A66EE" w:rsidRPr="00A1289A" w:rsidRDefault="007A66EE" w:rsidP="00D47980">
            <w:pPr>
              <w:spacing w:line="360" w:lineRule="auto"/>
              <w:ind w:firstLine="480"/>
              <w:jc w:val="right"/>
              <w:rPr>
                <w:rFonts w:asciiTheme="minorEastAsia" w:hAnsiTheme="minorEastAsia"/>
                <w:sz w:val="24"/>
              </w:rPr>
            </w:pPr>
            <w:r w:rsidRPr="00A1289A">
              <w:rPr>
                <w:rFonts w:asciiTheme="minorEastAsia" w:hAnsiTheme="minorEastAsia" w:hint="eastAsia"/>
                <w:sz w:val="24"/>
              </w:rPr>
              <w:t>23.03%</w:t>
            </w:r>
          </w:p>
        </w:tc>
      </w:tr>
      <w:tr w:rsidR="007A66EE" w:rsidRPr="00A1289A" w:rsidTr="00D47980">
        <w:trPr>
          <w:trHeight w:val="168"/>
          <w:jc w:val="center"/>
        </w:trPr>
        <w:tc>
          <w:tcPr>
            <w:tcW w:w="4205" w:type="dxa"/>
            <w:tcMar>
              <w:top w:w="15" w:type="dxa"/>
              <w:left w:w="15" w:type="dxa"/>
              <w:bottom w:w="0" w:type="dxa"/>
              <w:right w:w="15" w:type="dxa"/>
            </w:tcMar>
            <w:vAlign w:val="center"/>
          </w:tcPr>
          <w:p w:rsidR="007A66EE" w:rsidRPr="00A1289A" w:rsidRDefault="007A66EE" w:rsidP="00D47980">
            <w:pPr>
              <w:spacing w:line="360" w:lineRule="auto"/>
              <w:ind w:firstLine="480"/>
              <w:rPr>
                <w:rFonts w:asciiTheme="minorEastAsia" w:hAnsiTheme="minorEastAsia"/>
                <w:sz w:val="24"/>
              </w:rPr>
            </w:pPr>
            <w:r w:rsidRPr="00A1289A">
              <w:rPr>
                <w:rFonts w:asciiTheme="minorEastAsia" w:hAnsiTheme="minorEastAsia" w:hint="eastAsia"/>
                <w:sz w:val="24"/>
              </w:rPr>
              <w:t>江西民投资本管理有限公司</w:t>
            </w:r>
          </w:p>
        </w:tc>
        <w:tc>
          <w:tcPr>
            <w:tcW w:w="2141" w:type="dxa"/>
            <w:tcMar>
              <w:top w:w="15" w:type="dxa"/>
              <w:left w:w="15" w:type="dxa"/>
              <w:bottom w:w="0" w:type="dxa"/>
              <w:right w:w="15" w:type="dxa"/>
            </w:tcMar>
            <w:vAlign w:val="center"/>
          </w:tcPr>
          <w:p w:rsidR="007A66EE" w:rsidRPr="00A1289A" w:rsidRDefault="007A66EE" w:rsidP="00D47980">
            <w:pPr>
              <w:spacing w:line="360" w:lineRule="auto"/>
              <w:ind w:firstLine="480"/>
              <w:jc w:val="right"/>
              <w:rPr>
                <w:rFonts w:asciiTheme="minorEastAsia" w:hAnsiTheme="minorEastAsia"/>
                <w:sz w:val="24"/>
              </w:rPr>
            </w:pPr>
            <w:r w:rsidRPr="00A1289A">
              <w:rPr>
                <w:rFonts w:asciiTheme="minorEastAsia" w:hAnsiTheme="minorEastAsia" w:hint="eastAsia"/>
                <w:sz w:val="24"/>
              </w:rPr>
              <w:t>202.7</w:t>
            </w:r>
          </w:p>
        </w:tc>
        <w:tc>
          <w:tcPr>
            <w:tcW w:w="1746" w:type="dxa"/>
          </w:tcPr>
          <w:p w:rsidR="007A66EE" w:rsidRPr="00A1289A" w:rsidRDefault="007A66EE" w:rsidP="00D47980">
            <w:pPr>
              <w:spacing w:line="360" w:lineRule="auto"/>
              <w:ind w:firstLine="480"/>
              <w:jc w:val="right"/>
              <w:rPr>
                <w:rFonts w:asciiTheme="minorEastAsia" w:hAnsiTheme="minorEastAsia"/>
                <w:sz w:val="24"/>
              </w:rPr>
            </w:pPr>
            <w:r w:rsidRPr="00A1289A">
              <w:rPr>
                <w:rFonts w:asciiTheme="minorEastAsia" w:hAnsiTheme="minorEastAsia" w:hint="eastAsia"/>
                <w:sz w:val="24"/>
              </w:rPr>
              <w:t>20.27%</w:t>
            </w:r>
          </w:p>
        </w:tc>
      </w:tr>
      <w:tr w:rsidR="007A66EE" w:rsidRPr="00A1289A" w:rsidTr="00D47980">
        <w:trPr>
          <w:trHeight w:val="168"/>
          <w:jc w:val="center"/>
        </w:trPr>
        <w:tc>
          <w:tcPr>
            <w:tcW w:w="4205" w:type="dxa"/>
            <w:tcMar>
              <w:top w:w="15" w:type="dxa"/>
              <w:left w:w="15" w:type="dxa"/>
              <w:bottom w:w="0" w:type="dxa"/>
              <w:right w:w="15" w:type="dxa"/>
            </w:tcMar>
            <w:vAlign w:val="center"/>
          </w:tcPr>
          <w:p w:rsidR="007A66EE" w:rsidRPr="00A1289A" w:rsidRDefault="007A66EE" w:rsidP="00D47980">
            <w:pPr>
              <w:spacing w:line="360" w:lineRule="auto"/>
              <w:ind w:firstLine="480"/>
              <w:rPr>
                <w:rFonts w:asciiTheme="minorEastAsia" w:hAnsiTheme="minorEastAsia"/>
                <w:sz w:val="24"/>
              </w:rPr>
            </w:pPr>
            <w:r w:rsidRPr="00A1289A">
              <w:rPr>
                <w:rFonts w:asciiTheme="minorEastAsia" w:hAnsiTheme="minorEastAsia" w:hint="eastAsia"/>
                <w:sz w:val="24"/>
              </w:rPr>
              <w:t>江西五聚实业有限公司</w:t>
            </w:r>
          </w:p>
        </w:tc>
        <w:tc>
          <w:tcPr>
            <w:tcW w:w="2141" w:type="dxa"/>
            <w:tcMar>
              <w:top w:w="15" w:type="dxa"/>
              <w:left w:w="15" w:type="dxa"/>
              <w:bottom w:w="0" w:type="dxa"/>
              <w:right w:w="15" w:type="dxa"/>
            </w:tcMar>
            <w:vAlign w:val="center"/>
          </w:tcPr>
          <w:p w:rsidR="007A66EE" w:rsidRPr="00A1289A" w:rsidRDefault="007A66EE" w:rsidP="00D47980">
            <w:pPr>
              <w:spacing w:line="360" w:lineRule="auto"/>
              <w:ind w:firstLine="480"/>
              <w:jc w:val="right"/>
              <w:rPr>
                <w:rFonts w:asciiTheme="minorEastAsia" w:hAnsiTheme="minorEastAsia"/>
                <w:sz w:val="24"/>
              </w:rPr>
            </w:pPr>
            <w:r w:rsidRPr="00A1289A">
              <w:rPr>
                <w:rFonts w:asciiTheme="minorEastAsia" w:hAnsiTheme="minorEastAsia" w:hint="eastAsia"/>
                <w:sz w:val="24"/>
              </w:rPr>
              <w:t>189</w:t>
            </w:r>
          </w:p>
        </w:tc>
        <w:tc>
          <w:tcPr>
            <w:tcW w:w="1746" w:type="dxa"/>
          </w:tcPr>
          <w:p w:rsidR="007A66EE" w:rsidRPr="00A1289A" w:rsidRDefault="007A66EE" w:rsidP="00D47980">
            <w:pPr>
              <w:spacing w:line="360" w:lineRule="auto"/>
              <w:ind w:firstLine="480"/>
              <w:jc w:val="right"/>
              <w:rPr>
                <w:rFonts w:asciiTheme="minorEastAsia" w:hAnsiTheme="minorEastAsia"/>
                <w:sz w:val="24"/>
              </w:rPr>
            </w:pPr>
            <w:r w:rsidRPr="00A1289A">
              <w:rPr>
                <w:rFonts w:asciiTheme="minorEastAsia" w:hAnsiTheme="minorEastAsia" w:hint="eastAsia"/>
                <w:sz w:val="24"/>
              </w:rPr>
              <w:t>18.9%</w:t>
            </w:r>
          </w:p>
        </w:tc>
      </w:tr>
      <w:tr w:rsidR="007A66EE" w:rsidRPr="00A1289A" w:rsidTr="00D47980">
        <w:trPr>
          <w:trHeight w:val="168"/>
          <w:jc w:val="center"/>
        </w:trPr>
        <w:tc>
          <w:tcPr>
            <w:tcW w:w="4205" w:type="dxa"/>
            <w:tcMar>
              <w:top w:w="15" w:type="dxa"/>
              <w:left w:w="15" w:type="dxa"/>
              <w:bottom w:w="0" w:type="dxa"/>
              <w:right w:w="15" w:type="dxa"/>
            </w:tcMar>
            <w:vAlign w:val="center"/>
          </w:tcPr>
          <w:p w:rsidR="007A66EE" w:rsidRPr="00A1289A" w:rsidRDefault="007A66EE" w:rsidP="00D47980">
            <w:pPr>
              <w:spacing w:line="360" w:lineRule="auto"/>
              <w:ind w:firstLine="480"/>
              <w:rPr>
                <w:rFonts w:asciiTheme="minorEastAsia" w:hAnsiTheme="minorEastAsia"/>
                <w:sz w:val="24"/>
              </w:rPr>
            </w:pPr>
            <w:r w:rsidRPr="00A1289A">
              <w:rPr>
                <w:rFonts w:asciiTheme="minorEastAsia" w:hAnsiTheme="minorEastAsia" w:hint="eastAsia"/>
                <w:sz w:val="24"/>
              </w:rPr>
              <w:t>深圳金时资产管理有限公司</w:t>
            </w:r>
          </w:p>
        </w:tc>
        <w:tc>
          <w:tcPr>
            <w:tcW w:w="2141" w:type="dxa"/>
            <w:tcMar>
              <w:top w:w="15" w:type="dxa"/>
              <w:left w:w="15" w:type="dxa"/>
              <w:bottom w:w="0" w:type="dxa"/>
              <w:right w:w="15" w:type="dxa"/>
            </w:tcMar>
            <w:vAlign w:val="center"/>
          </w:tcPr>
          <w:p w:rsidR="007A66EE" w:rsidRPr="00A1289A" w:rsidRDefault="007A66EE" w:rsidP="00D47980">
            <w:pPr>
              <w:spacing w:line="360" w:lineRule="auto"/>
              <w:ind w:firstLine="480"/>
              <w:jc w:val="right"/>
              <w:rPr>
                <w:rFonts w:asciiTheme="minorEastAsia" w:hAnsiTheme="minorEastAsia"/>
                <w:sz w:val="24"/>
              </w:rPr>
            </w:pPr>
            <w:r w:rsidRPr="00A1289A">
              <w:rPr>
                <w:rFonts w:asciiTheme="minorEastAsia" w:hAnsiTheme="minorEastAsia" w:hint="eastAsia"/>
                <w:sz w:val="24"/>
              </w:rPr>
              <w:t>189</w:t>
            </w:r>
          </w:p>
        </w:tc>
        <w:tc>
          <w:tcPr>
            <w:tcW w:w="1746" w:type="dxa"/>
          </w:tcPr>
          <w:p w:rsidR="007A66EE" w:rsidRPr="00A1289A" w:rsidRDefault="007A66EE" w:rsidP="00D47980">
            <w:pPr>
              <w:spacing w:line="360" w:lineRule="auto"/>
              <w:ind w:firstLine="480"/>
              <w:jc w:val="right"/>
              <w:rPr>
                <w:rFonts w:asciiTheme="minorEastAsia" w:hAnsiTheme="minorEastAsia"/>
                <w:sz w:val="24"/>
              </w:rPr>
            </w:pPr>
            <w:r w:rsidRPr="00A1289A">
              <w:rPr>
                <w:rFonts w:asciiTheme="minorEastAsia" w:hAnsiTheme="minorEastAsia" w:hint="eastAsia"/>
                <w:sz w:val="24"/>
              </w:rPr>
              <w:t>18.9%</w:t>
            </w:r>
          </w:p>
        </w:tc>
      </w:tr>
      <w:tr w:rsidR="007A66EE" w:rsidRPr="00A1289A" w:rsidTr="00D47980">
        <w:trPr>
          <w:trHeight w:val="168"/>
          <w:jc w:val="center"/>
        </w:trPr>
        <w:tc>
          <w:tcPr>
            <w:tcW w:w="4205" w:type="dxa"/>
            <w:tcMar>
              <w:top w:w="15" w:type="dxa"/>
              <w:left w:w="15" w:type="dxa"/>
              <w:bottom w:w="0" w:type="dxa"/>
              <w:right w:w="15" w:type="dxa"/>
            </w:tcMar>
            <w:vAlign w:val="center"/>
          </w:tcPr>
          <w:p w:rsidR="007A66EE" w:rsidRPr="00A1289A" w:rsidRDefault="007A66EE" w:rsidP="00D47980">
            <w:pPr>
              <w:spacing w:line="360" w:lineRule="auto"/>
              <w:ind w:firstLine="480"/>
              <w:rPr>
                <w:rFonts w:asciiTheme="minorEastAsia" w:hAnsiTheme="minorEastAsia"/>
                <w:sz w:val="24"/>
              </w:rPr>
            </w:pPr>
            <w:r w:rsidRPr="00A1289A">
              <w:rPr>
                <w:rFonts w:asciiTheme="minorEastAsia" w:hAnsiTheme="minorEastAsia" w:hint="eastAsia"/>
                <w:sz w:val="24"/>
              </w:rPr>
              <w:t>南昌金融投资有限公司</w:t>
            </w:r>
          </w:p>
        </w:tc>
        <w:tc>
          <w:tcPr>
            <w:tcW w:w="2141" w:type="dxa"/>
            <w:tcMar>
              <w:top w:w="15" w:type="dxa"/>
              <w:left w:w="15" w:type="dxa"/>
              <w:bottom w:w="0" w:type="dxa"/>
              <w:right w:w="15" w:type="dxa"/>
            </w:tcMar>
            <w:vAlign w:val="center"/>
          </w:tcPr>
          <w:p w:rsidR="007A66EE" w:rsidRPr="00A1289A" w:rsidRDefault="007A66EE" w:rsidP="00D47980">
            <w:pPr>
              <w:spacing w:line="360" w:lineRule="auto"/>
              <w:ind w:firstLine="480"/>
              <w:jc w:val="right"/>
              <w:rPr>
                <w:rFonts w:asciiTheme="minorEastAsia" w:hAnsiTheme="minorEastAsia"/>
                <w:sz w:val="24"/>
              </w:rPr>
            </w:pPr>
            <w:r w:rsidRPr="00A1289A">
              <w:rPr>
                <w:rFonts w:asciiTheme="minorEastAsia" w:hAnsiTheme="minorEastAsia" w:hint="eastAsia"/>
                <w:sz w:val="24"/>
              </w:rPr>
              <w:t>189</w:t>
            </w:r>
          </w:p>
        </w:tc>
        <w:tc>
          <w:tcPr>
            <w:tcW w:w="1746" w:type="dxa"/>
          </w:tcPr>
          <w:p w:rsidR="007A66EE" w:rsidRPr="00A1289A" w:rsidRDefault="007A66EE" w:rsidP="00D47980">
            <w:pPr>
              <w:spacing w:line="360" w:lineRule="auto"/>
              <w:ind w:firstLine="480"/>
              <w:jc w:val="right"/>
              <w:rPr>
                <w:rFonts w:asciiTheme="minorEastAsia" w:hAnsiTheme="minorEastAsia"/>
                <w:sz w:val="24"/>
              </w:rPr>
            </w:pPr>
            <w:r w:rsidRPr="00A1289A">
              <w:rPr>
                <w:rFonts w:asciiTheme="minorEastAsia" w:hAnsiTheme="minorEastAsia" w:hint="eastAsia"/>
                <w:sz w:val="24"/>
              </w:rPr>
              <w:t>18.9%</w:t>
            </w:r>
          </w:p>
        </w:tc>
      </w:tr>
      <w:tr w:rsidR="007A66EE" w:rsidRPr="00A1289A" w:rsidTr="00D47980">
        <w:trPr>
          <w:trHeight w:val="177"/>
          <w:jc w:val="center"/>
        </w:trPr>
        <w:tc>
          <w:tcPr>
            <w:tcW w:w="4205" w:type="dxa"/>
            <w:tcMar>
              <w:top w:w="15" w:type="dxa"/>
              <w:left w:w="15" w:type="dxa"/>
              <w:bottom w:w="0" w:type="dxa"/>
              <w:right w:w="15" w:type="dxa"/>
            </w:tcMar>
            <w:vAlign w:val="center"/>
          </w:tcPr>
          <w:p w:rsidR="007A66EE" w:rsidRPr="00A1289A" w:rsidRDefault="007A66EE" w:rsidP="00D47980">
            <w:pPr>
              <w:spacing w:line="360" w:lineRule="auto"/>
              <w:jc w:val="center"/>
              <w:rPr>
                <w:rFonts w:asciiTheme="minorEastAsia" w:hAnsiTheme="minorEastAsia"/>
                <w:sz w:val="24"/>
              </w:rPr>
            </w:pPr>
            <w:r w:rsidRPr="00A1289A">
              <w:rPr>
                <w:rFonts w:asciiTheme="minorEastAsia" w:hAnsiTheme="minorEastAsia" w:hint="eastAsia"/>
                <w:sz w:val="24"/>
              </w:rPr>
              <w:t>合计</w:t>
            </w:r>
          </w:p>
        </w:tc>
        <w:tc>
          <w:tcPr>
            <w:tcW w:w="2141" w:type="dxa"/>
            <w:tcMar>
              <w:top w:w="15" w:type="dxa"/>
              <w:left w:w="15" w:type="dxa"/>
              <w:bottom w:w="0" w:type="dxa"/>
              <w:right w:w="15" w:type="dxa"/>
            </w:tcMar>
            <w:vAlign w:val="center"/>
          </w:tcPr>
          <w:p w:rsidR="007A66EE" w:rsidRPr="00A1289A" w:rsidRDefault="007A66EE" w:rsidP="00D47980">
            <w:pPr>
              <w:spacing w:line="360" w:lineRule="auto"/>
              <w:ind w:firstLineChars="200" w:firstLine="480"/>
              <w:jc w:val="right"/>
              <w:rPr>
                <w:rFonts w:asciiTheme="minorEastAsia" w:hAnsiTheme="minorEastAsia"/>
                <w:sz w:val="24"/>
              </w:rPr>
            </w:pPr>
            <w:r w:rsidRPr="00A1289A">
              <w:rPr>
                <w:rFonts w:asciiTheme="minorEastAsia" w:hAnsiTheme="minorEastAsia" w:hint="eastAsia"/>
                <w:sz w:val="24"/>
              </w:rPr>
              <w:t>1000</w:t>
            </w:r>
          </w:p>
        </w:tc>
        <w:tc>
          <w:tcPr>
            <w:tcW w:w="1746" w:type="dxa"/>
          </w:tcPr>
          <w:p w:rsidR="007A66EE" w:rsidRPr="00A1289A" w:rsidRDefault="007A66EE" w:rsidP="00D47980">
            <w:pPr>
              <w:spacing w:line="360" w:lineRule="auto"/>
              <w:ind w:firstLineChars="200" w:firstLine="480"/>
              <w:jc w:val="right"/>
              <w:rPr>
                <w:rFonts w:asciiTheme="minorEastAsia" w:hAnsiTheme="minorEastAsia"/>
                <w:sz w:val="24"/>
              </w:rPr>
            </w:pPr>
            <w:r w:rsidRPr="00A1289A">
              <w:rPr>
                <w:rFonts w:asciiTheme="minorEastAsia" w:hAnsiTheme="minorEastAsia" w:hint="eastAsia"/>
                <w:sz w:val="24"/>
              </w:rPr>
              <w:t>100%</w:t>
            </w:r>
          </w:p>
        </w:tc>
      </w:tr>
    </w:tbl>
    <w:p w:rsidR="006D4C54" w:rsidRDefault="006D4C54" w:rsidP="00416D26">
      <w:pPr>
        <w:spacing w:line="360" w:lineRule="auto"/>
        <w:ind w:firstLine="480"/>
        <w:rPr>
          <w:rFonts w:asciiTheme="minorEastAsia" w:hAnsiTheme="minorEastAsia" w:cs="宋体" w:hint="eastAsia"/>
          <w:color w:val="000000" w:themeColor="text1"/>
          <w:kern w:val="0"/>
          <w:sz w:val="24"/>
        </w:rPr>
      </w:pPr>
      <w:r w:rsidRPr="006D4C54">
        <w:rPr>
          <w:rFonts w:asciiTheme="minorEastAsia" w:hAnsiTheme="minorEastAsia" w:cs="宋体" w:hint="eastAsia"/>
          <w:color w:val="000000" w:themeColor="text1"/>
          <w:kern w:val="0"/>
          <w:sz w:val="24"/>
        </w:rPr>
        <w:t>截至2018年6月30日，江西</w:t>
      </w:r>
      <w:proofErr w:type="gramStart"/>
      <w:r w:rsidRPr="006D4C54">
        <w:rPr>
          <w:rFonts w:asciiTheme="minorEastAsia" w:hAnsiTheme="minorEastAsia" w:cs="宋体" w:hint="eastAsia"/>
          <w:color w:val="000000" w:themeColor="text1"/>
          <w:kern w:val="0"/>
          <w:sz w:val="24"/>
        </w:rPr>
        <w:t>金控基金</w:t>
      </w:r>
      <w:proofErr w:type="gramEnd"/>
      <w:r w:rsidRPr="006D4C54">
        <w:rPr>
          <w:rFonts w:asciiTheme="minorEastAsia" w:hAnsiTheme="minorEastAsia" w:cs="宋体" w:hint="eastAsia"/>
          <w:color w:val="000000" w:themeColor="text1"/>
          <w:kern w:val="0"/>
          <w:sz w:val="24"/>
        </w:rPr>
        <w:t>管理规模超500亿元（认缴规模500.27</w:t>
      </w:r>
      <w:r w:rsidRPr="006D4C54">
        <w:rPr>
          <w:rFonts w:asciiTheme="minorEastAsia" w:hAnsiTheme="minorEastAsia" w:cs="宋体" w:hint="eastAsia"/>
          <w:color w:val="000000" w:themeColor="text1"/>
          <w:kern w:val="0"/>
          <w:sz w:val="24"/>
        </w:rPr>
        <w:lastRenderedPageBreak/>
        <w:t>亿元，实缴260.96亿元），管理经验丰富，</w:t>
      </w:r>
      <w:proofErr w:type="gramStart"/>
      <w:r w:rsidRPr="006D4C54">
        <w:rPr>
          <w:rFonts w:asciiTheme="minorEastAsia" w:hAnsiTheme="minorEastAsia" w:cs="宋体" w:hint="eastAsia"/>
          <w:color w:val="000000" w:themeColor="text1"/>
          <w:kern w:val="0"/>
          <w:sz w:val="24"/>
        </w:rPr>
        <w:t>风控体系</w:t>
      </w:r>
      <w:proofErr w:type="gramEnd"/>
      <w:r w:rsidRPr="006D4C54">
        <w:rPr>
          <w:rFonts w:asciiTheme="minorEastAsia" w:hAnsiTheme="minorEastAsia" w:cs="宋体" w:hint="eastAsia"/>
          <w:color w:val="000000" w:themeColor="text1"/>
          <w:kern w:val="0"/>
          <w:sz w:val="24"/>
        </w:rPr>
        <w:t>完善，是江西省基金业协会常务副会长单位。</w:t>
      </w:r>
      <w:bookmarkStart w:id="0" w:name="_GoBack"/>
      <w:bookmarkEnd w:id="0"/>
    </w:p>
    <w:p w:rsidR="00416D26" w:rsidRPr="00466881" w:rsidRDefault="00416D26" w:rsidP="00416D26">
      <w:pPr>
        <w:spacing w:line="360" w:lineRule="auto"/>
        <w:ind w:firstLine="480"/>
        <w:rPr>
          <w:rFonts w:asciiTheme="minorEastAsia" w:hAnsiTheme="minorEastAsia"/>
          <w:sz w:val="24"/>
        </w:rPr>
      </w:pPr>
      <w:r w:rsidRPr="00B63DF2">
        <w:rPr>
          <w:rFonts w:asciiTheme="minorEastAsia" w:hAnsiTheme="minorEastAsia" w:hint="eastAsia"/>
          <w:sz w:val="24"/>
        </w:rPr>
        <w:t>主要财务指标：截至2017年12月31日，江西</w:t>
      </w:r>
      <w:proofErr w:type="gramStart"/>
      <w:r w:rsidRPr="00B63DF2">
        <w:rPr>
          <w:rFonts w:asciiTheme="minorEastAsia" w:hAnsiTheme="minorEastAsia" w:hint="eastAsia"/>
          <w:sz w:val="24"/>
        </w:rPr>
        <w:t>金控总</w:t>
      </w:r>
      <w:proofErr w:type="gramEnd"/>
      <w:r w:rsidRPr="00B63DF2">
        <w:rPr>
          <w:rFonts w:asciiTheme="minorEastAsia" w:hAnsiTheme="minorEastAsia" w:hint="eastAsia"/>
          <w:sz w:val="24"/>
        </w:rPr>
        <w:t>资产13,454,767.97元，净资产10,887,595.81元，</w:t>
      </w:r>
      <w:r>
        <w:rPr>
          <w:rFonts w:asciiTheme="minorEastAsia" w:hAnsiTheme="minorEastAsia" w:hint="eastAsia"/>
          <w:sz w:val="24"/>
        </w:rPr>
        <w:t>2017年度</w:t>
      </w:r>
      <w:r w:rsidRPr="00B63DF2">
        <w:rPr>
          <w:rFonts w:asciiTheme="minorEastAsia" w:hAnsiTheme="minorEastAsia" w:hint="eastAsia"/>
          <w:sz w:val="24"/>
        </w:rPr>
        <w:t>营业收入705.09万元，营业成本558.01万元，盈利147.08万元。（已经审计）</w:t>
      </w:r>
    </w:p>
    <w:p w:rsidR="00CA28C3" w:rsidRDefault="00EA79B3" w:rsidP="00EA79B3">
      <w:pPr>
        <w:spacing w:line="360" w:lineRule="auto"/>
        <w:ind w:firstLineChars="200" w:firstLine="480"/>
        <w:rPr>
          <w:rFonts w:ascii="宋体" w:hAnsi="宋体"/>
          <w:sz w:val="24"/>
        </w:rPr>
      </w:pPr>
      <w:r w:rsidRPr="007A66EE">
        <w:rPr>
          <w:rFonts w:ascii="宋体" w:hAnsi="宋体" w:hint="eastAsia"/>
          <w:sz w:val="24"/>
        </w:rPr>
        <w:t>基金业协会完成备案登记情况：</w:t>
      </w:r>
      <w:r w:rsidR="007A66EE" w:rsidRPr="007A66EE">
        <w:rPr>
          <w:rFonts w:ascii="宋体" w:hAnsi="宋体" w:hint="eastAsia"/>
          <w:sz w:val="24"/>
        </w:rPr>
        <w:t>江西金控为经中国证券投资基金业协会登记备案的私募股权投资基金管理人（登记备案号：【P1031633】）</w:t>
      </w:r>
      <w:r w:rsidR="007A66EE">
        <w:rPr>
          <w:rFonts w:ascii="宋体" w:hAnsi="宋体" w:hint="eastAsia"/>
          <w:sz w:val="24"/>
        </w:rPr>
        <w:t>。</w:t>
      </w:r>
    </w:p>
    <w:p w:rsidR="00CA28C3" w:rsidRPr="002461B3" w:rsidRDefault="00A24B56" w:rsidP="00CA4A2E">
      <w:pPr>
        <w:spacing w:line="360" w:lineRule="auto"/>
        <w:rPr>
          <w:rFonts w:ascii="宋体" w:hAnsi="宋体"/>
          <w:sz w:val="24"/>
        </w:rPr>
      </w:pPr>
      <w:r>
        <w:rPr>
          <w:rFonts w:ascii="宋体" w:hAnsi="宋体" w:hint="eastAsia"/>
          <w:sz w:val="24"/>
        </w:rPr>
        <w:t xml:space="preserve">    </w:t>
      </w:r>
      <w:r w:rsidRPr="007A66EE">
        <w:rPr>
          <w:rFonts w:ascii="宋体" w:hAnsi="宋体" w:hint="eastAsia"/>
          <w:sz w:val="24"/>
        </w:rPr>
        <w:t>与公司的关系：</w:t>
      </w:r>
      <w:r w:rsidR="007A66EE" w:rsidRPr="007A66EE">
        <w:rPr>
          <w:rFonts w:ascii="宋体" w:hAnsi="宋体" w:hint="eastAsia"/>
          <w:sz w:val="24"/>
        </w:rPr>
        <w:t>江西金控与公司不存在关联关系、未直接或间接持有公司股份、不存在拟增持公司股份、与公司不存在相关利益安排、与第三方不存在其他影响公司利益的安排。</w:t>
      </w:r>
    </w:p>
    <w:p w:rsidR="00880ECF" w:rsidRPr="00880ECF" w:rsidRDefault="00880ECF" w:rsidP="002461B3">
      <w:pPr>
        <w:spacing w:line="360" w:lineRule="auto"/>
        <w:rPr>
          <w:rFonts w:ascii="宋体" w:hAnsi="宋体"/>
          <w:b/>
          <w:sz w:val="24"/>
        </w:rPr>
      </w:pPr>
      <w:r w:rsidRPr="00880ECF">
        <w:rPr>
          <w:rFonts w:ascii="宋体" w:hAnsi="宋体" w:hint="eastAsia"/>
          <w:b/>
          <w:sz w:val="24"/>
        </w:rPr>
        <w:t xml:space="preserve">    三</w:t>
      </w:r>
      <w:r w:rsidRPr="00B52686">
        <w:rPr>
          <w:rFonts w:ascii="宋体" w:hAnsi="宋体" w:hint="eastAsia"/>
          <w:b/>
          <w:sz w:val="24"/>
        </w:rPr>
        <w:t>、</w:t>
      </w:r>
      <w:r w:rsidR="001E2770" w:rsidRPr="00B52686">
        <w:rPr>
          <w:rFonts w:ascii="宋体" w:hAnsi="宋体" w:hint="eastAsia"/>
          <w:b/>
          <w:sz w:val="24"/>
        </w:rPr>
        <w:t>合作协议</w:t>
      </w:r>
      <w:r w:rsidRPr="00B52686">
        <w:rPr>
          <w:rFonts w:ascii="宋体" w:hAnsi="宋体" w:hint="eastAsia"/>
          <w:b/>
          <w:sz w:val="24"/>
        </w:rPr>
        <w:t>的基本情况</w:t>
      </w:r>
    </w:p>
    <w:p w:rsidR="000D612F" w:rsidRPr="00466881" w:rsidRDefault="000D612F" w:rsidP="000D612F">
      <w:pPr>
        <w:spacing w:line="360" w:lineRule="auto"/>
        <w:ind w:firstLineChars="100" w:firstLine="240"/>
        <w:outlineLvl w:val="0"/>
        <w:rPr>
          <w:rFonts w:asciiTheme="minorEastAsia" w:hAnsiTheme="minorEastAsia"/>
          <w:sz w:val="24"/>
        </w:rPr>
      </w:pPr>
      <w:r>
        <w:rPr>
          <w:rFonts w:ascii="宋体" w:hAnsi="宋体" w:hint="eastAsia"/>
          <w:sz w:val="24"/>
        </w:rPr>
        <w:t xml:space="preserve"> </w:t>
      </w:r>
      <w:r w:rsidRPr="00466881">
        <w:rPr>
          <w:rFonts w:asciiTheme="minorEastAsia" w:hAnsiTheme="minorEastAsia" w:hint="eastAsia"/>
          <w:sz w:val="24"/>
        </w:rPr>
        <w:t>（一）协议主体</w:t>
      </w:r>
    </w:p>
    <w:p w:rsidR="000D612F" w:rsidRDefault="000D612F" w:rsidP="000D612F">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甲方：</w:t>
      </w:r>
      <w:r w:rsidRPr="001C33AE">
        <w:rPr>
          <w:rFonts w:ascii="宋体" w:hAnsi="宋体" w:hint="eastAsia"/>
          <w:sz w:val="24"/>
        </w:rPr>
        <w:t>江苏吴中医药产业投资有限公司</w:t>
      </w:r>
    </w:p>
    <w:p w:rsidR="000D612F" w:rsidRDefault="000D612F" w:rsidP="000D612F">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法定代表人：陈颐</w:t>
      </w:r>
    </w:p>
    <w:p w:rsidR="000D612F" w:rsidRDefault="000D612F" w:rsidP="000D612F">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法定住所：江苏省苏州市吴中区东方大道988号</w:t>
      </w:r>
    </w:p>
    <w:p w:rsidR="000D612F" w:rsidRDefault="000D612F" w:rsidP="000D612F">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乙方：江西金控投资管理中心（有限合伙）</w:t>
      </w:r>
      <w:r>
        <w:rPr>
          <w:rFonts w:asciiTheme="minorEastAsia" w:hAnsiTheme="minorEastAsia" w:cs="宋体"/>
          <w:kern w:val="0"/>
          <w:sz w:val="24"/>
        </w:rPr>
        <w:t xml:space="preserve"> </w:t>
      </w:r>
    </w:p>
    <w:p w:rsidR="000D612F" w:rsidRDefault="000D612F" w:rsidP="000D612F">
      <w:pPr>
        <w:spacing w:line="360" w:lineRule="auto"/>
        <w:ind w:firstLineChars="200" w:firstLine="480"/>
        <w:rPr>
          <w:rFonts w:ascii="宋体" w:hAnsi="宋体" w:cs="宋体"/>
          <w:kern w:val="0"/>
          <w:sz w:val="24"/>
        </w:rPr>
      </w:pPr>
      <w:r>
        <w:rPr>
          <w:rFonts w:asciiTheme="minorEastAsia" w:hAnsiTheme="minorEastAsia" w:cs="宋体" w:hint="eastAsia"/>
          <w:kern w:val="0"/>
          <w:sz w:val="24"/>
        </w:rPr>
        <w:t>执行事务合伙人：陈飞</w:t>
      </w:r>
    </w:p>
    <w:p w:rsidR="000D612F" w:rsidRDefault="000D612F" w:rsidP="000D612F">
      <w:pPr>
        <w:spacing w:line="360" w:lineRule="auto"/>
        <w:ind w:firstLineChars="200" w:firstLine="480"/>
        <w:outlineLvl w:val="0"/>
        <w:rPr>
          <w:rFonts w:asciiTheme="minorEastAsia" w:hAnsiTheme="minorEastAsia"/>
          <w:b/>
          <w:sz w:val="24"/>
        </w:rPr>
      </w:pPr>
      <w:r>
        <w:rPr>
          <w:rFonts w:asciiTheme="minorEastAsia" w:hAnsiTheme="minorEastAsia" w:cs="宋体" w:hint="eastAsia"/>
          <w:kern w:val="0"/>
          <w:sz w:val="24"/>
        </w:rPr>
        <w:t>法定住所：江西省南昌市</w:t>
      </w:r>
      <w:proofErr w:type="gramStart"/>
      <w:r>
        <w:rPr>
          <w:rFonts w:asciiTheme="minorEastAsia" w:hAnsiTheme="minorEastAsia" w:cs="宋体" w:hint="eastAsia"/>
          <w:kern w:val="0"/>
          <w:sz w:val="24"/>
        </w:rPr>
        <w:t>红谷滩</w:t>
      </w:r>
      <w:proofErr w:type="gramEnd"/>
      <w:r>
        <w:rPr>
          <w:rFonts w:asciiTheme="minorEastAsia" w:hAnsiTheme="minorEastAsia" w:cs="宋体" w:hint="eastAsia"/>
          <w:kern w:val="0"/>
          <w:sz w:val="24"/>
        </w:rPr>
        <w:t>新区雅苑路196号江西金控大厦20楼</w:t>
      </w:r>
    </w:p>
    <w:p w:rsidR="000D612F" w:rsidRPr="00466881" w:rsidRDefault="000D612F" w:rsidP="000D612F">
      <w:pPr>
        <w:spacing w:line="360" w:lineRule="auto"/>
        <w:ind w:firstLineChars="100" w:firstLine="240"/>
        <w:outlineLvl w:val="0"/>
        <w:rPr>
          <w:rFonts w:asciiTheme="minorEastAsia" w:hAnsiTheme="minorEastAsia"/>
          <w:sz w:val="24"/>
        </w:rPr>
      </w:pPr>
      <w:r w:rsidRPr="00466881">
        <w:rPr>
          <w:rFonts w:asciiTheme="minorEastAsia" w:hAnsiTheme="minorEastAsia" w:hint="eastAsia"/>
          <w:sz w:val="24"/>
        </w:rPr>
        <w:t>（二）基金的基本情况</w:t>
      </w:r>
    </w:p>
    <w:p w:rsidR="000D612F" w:rsidRDefault="000D612F" w:rsidP="000D612F">
      <w:pPr>
        <w:spacing w:line="360" w:lineRule="auto"/>
        <w:ind w:firstLineChars="200" w:firstLine="480"/>
        <w:rPr>
          <w:rFonts w:asciiTheme="minorEastAsia" w:hAnsiTheme="minorEastAsia"/>
          <w:sz w:val="24"/>
        </w:rPr>
      </w:pPr>
      <w:r>
        <w:rPr>
          <w:rFonts w:asciiTheme="minorEastAsia" w:hAnsiTheme="minorEastAsia" w:hint="eastAsia"/>
          <w:sz w:val="24"/>
        </w:rPr>
        <w:t>1、基金名称：</w:t>
      </w:r>
      <w:r>
        <w:rPr>
          <w:rFonts w:ascii="宋体" w:hAnsi="宋体" w:hint="eastAsia"/>
          <w:bCs/>
          <w:sz w:val="24"/>
        </w:rPr>
        <w:t>南昌吴中产业升级发展基金</w:t>
      </w:r>
      <w:r>
        <w:rPr>
          <w:rFonts w:ascii="宋体" w:hAnsi="宋体" w:hint="eastAsia"/>
          <w:sz w:val="24"/>
        </w:rPr>
        <w:t>（有限合伙）</w:t>
      </w:r>
      <w:r>
        <w:rPr>
          <w:rFonts w:asciiTheme="minorEastAsia" w:hAnsiTheme="minorEastAsia" w:hint="eastAsia"/>
          <w:sz w:val="24"/>
        </w:rPr>
        <w:t>（暂定名，具体以工商</w:t>
      </w:r>
      <w:r>
        <w:rPr>
          <w:rFonts w:asciiTheme="minorEastAsia" w:hAnsiTheme="minorEastAsia"/>
          <w:sz w:val="24"/>
        </w:rPr>
        <w:t>行政管理部门</w:t>
      </w:r>
      <w:r>
        <w:rPr>
          <w:rFonts w:asciiTheme="minorEastAsia" w:hAnsiTheme="minorEastAsia" w:hint="eastAsia"/>
          <w:sz w:val="24"/>
        </w:rPr>
        <w:t>登记注册为准）</w:t>
      </w:r>
    </w:p>
    <w:p w:rsidR="000D612F" w:rsidRDefault="000D612F" w:rsidP="000D612F">
      <w:pPr>
        <w:spacing w:line="360" w:lineRule="auto"/>
        <w:ind w:firstLineChars="200" w:firstLine="480"/>
        <w:rPr>
          <w:rFonts w:asciiTheme="minorEastAsia" w:hAnsiTheme="minorEastAsia"/>
          <w:sz w:val="24"/>
        </w:rPr>
      </w:pPr>
      <w:r>
        <w:rPr>
          <w:rFonts w:asciiTheme="minorEastAsia" w:hAnsiTheme="minorEastAsia" w:hint="eastAsia"/>
          <w:sz w:val="24"/>
        </w:rPr>
        <w:t>2、基金形式：有限合伙制基金。</w:t>
      </w:r>
    </w:p>
    <w:p w:rsidR="000D612F" w:rsidRDefault="000D612F" w:rsidP="000D612F">
      <w:pPr>
        <w:spacing w:line="360" w:lineRule="auto"/>
        <w:ind w:firstLineChars="200" w:firstLine="480"/>
        <w:rPr>
          <w:rFonts w:asciiTheme="minorEastAsia" w:hAnsiTheme="minorEastAsia"/>
          <w:sz w:val="24"/>
        </w:rPr>
      </w:pPr>
      <w:r>
        <w:rPr>
          <w:rFonts w:asciiTheme="minorEastAsia" w:hAnsiTheme="minorEastAsia" w:hint="eastAsia"/>
          <w:sz w:val="24"/>
        </w:rPr>
        <w:t>3、基金规模及出资情况：基金总规模不超过人民币15亿，其中，甲方作为有限合伙人认缴2.7亿，乙方作为普通合伙人认缴100万元，剩余基金份额</w:t>
      </w:r>
      <w:r>
        <w:rPr>
          <w:rFonts w:asciiTheme="minorEastAsia" w:hAnsiTheme="minorEastAsia"/>
          <w:sz w:val="24"/>
        </w:rPr>
        <w:t>由</w:t>
      </w:r>
      <w:r>
        <w:rPr>
          <w:rFonts w:asciiTheme="minorEastAsia" w:hAnsiTheme="minorEastAsia" w:hint="eastAsia"/>
          <w:sz w:val="24"/>
        </w:rPr>
        <w:t>乙方</w:t>
      </w:r>
      <w:r>
        <w:rPr>
          <w:rFonts w:asciiTheme="minorEastAsia" w:hAnsiTheme="minorEastAsia"/>
          <w:sz w:val="24"/>
        </w:rPr>
        <w:t>负责募集并</w:t>
      </w:r>
      <w:r>
        <w:rPr>
          <w:rFonts w:asciiTheme="minorEastAsia" w:hAnsiTheme="minorEastAsia" w:hint="eastAsia"/>
          <w:sz w:val="24"/>
        </w:rPr>
        <w:t>根据募资情况决定基金实际规模。基金出资人采取认缴出资制，具体视投资项目的资金需求逐步到位。</w:t>
      </w:r>
    </w:p>
    <w:p w:rsidR="000D612F" w:rsidRDefault="000D612F" w:rsidP="000D612F">
      <w:pPr>
        <w:spacing w:line="360" w:lineRule="auto"/>
        <w:ind w:firstLineChars="200" w:firstLine="480"/>
        <w:rPr>
          <w:rFonts w:asciiTheme="minorEastAsia" w:hAnsiTheme="minorEastAsia"/>
          <w:sz w:val="24"/>
        </w:rPr>
      </w:pPr>
      <w:r>
        <w:rPr>
          <w:rFonts w:asciiTheme="minorEastAsia" w:hAnsiTheme="minorEastAsia" w:hint="eastAsia"/>
          <w:sz w:val="24"/>
        </w:rPr>
        <w:t>4、基金管理人：乙方</w:t>
      </w:r>
    </w:p>
    <w:p w:rsidR="000D612F" w:rsidRDefault="000D612F" w:rsidP="000D612F">
      <w:pPr>
        <w:spacing w:line="360" w:lineRule="auto"/>
        <w:ind w:firstLineChars="200" w:firstLine="480"/>
        <w:rPr>
          <w:rFonts w:asciiTheme="minorEastAsia" w:hAnsiTheme="minorEastAsia"/>
          <w:sz w:val="24"/>
        </w:rPr>
      </w:pPr>
      <w:r>
        <w:rPr>
          <w:rFonts w:asciiTheme="minorEastAsia" w:hAnsiTheme="minorEastAsia" w:hint="eastAsia"/>
          <w:sz w:val="24"/>
        </w:rPr>
        <w:t>5、基金存续期：5年投资期+2年退出期，经全体合伙人会议通过可进行延期。</w:t>
      </w:r>
    </w:p>
    <w:p w:rsidR="000D612F" w:rsidRPr="00466881" w:rsidRDefault="000D612F" w:rsidP="000D612F">
      <w:pPr>
        <w:spacing w:line="360" w:lineRule="auto"/>
        <w:ind w:firstLineChars="100" w:firstLine="240"/>
        <w:outlineLvl w:val="0"/>
        <w:rPr>
          <w:rFonts w:asciiTheme="minorEastAsia" w:hAnsiTheme="minorEastAsia"/>
          <w:sz w:val="24"/>
        </w:rPr>
      </w:pPr>
      <w:r w:rsidRPr="00466881">
        <w:rPr>
          <w:rFonts w:asciiTheme="minorEastAsia" w:hAnsiTheme="minorEastAsia" w:hint="eastAsia"/>
          <w:sz w:val="24"/>
        </w:rPr>
        <w:lastRenderedPageBreak/>
        <w:t>（三）基金的管理模式</w:t>
      </w:r>
    </w:p>
    <w:p w:rsidR="000D612F" w:rsidRDefault="000D612F" w:rsidP="000D612F">
      <w:pPr>
        <w:spacing w:line="360" w:lineRule="auto"/>
        <w:ind w:firstLineChars="200" w:firstLine="480"/>
        <w:rPr>
          <w:rFonts w:asciiTheme="minorEastAsia" w:hAnsiTheme="minorEastAsia"/>
          <w:sz w:val="24"/>
        </w:rPr>
      </w:pPr>
      <w:r>
        <w:rPr>
          <w:rFonts w:asciiTheme="minorEastAsia" w:hAnsiTheme="minorEastAsia" w:hint="eastAsia"/>
          <w:sz w:val="24"/>
        </w:rPr>
        <w:t>1、乙方作为基金的执行事务合伙人管理基金日常事务工作；</w:t>
      </w:r>
    </w:p>
    <w:p w:rsidR="000D612F" w:rsidRDefault="000D612F" w:rsidP="000D612F">
      <w:pPr>
        <w:spacing w:line="360" w:lineRule="auto"/>
        <w:ind w:firstLineChars="200" w:firstLine="480"/>
        <w:rPr>
          <w:rFonts w:asciiTheme="minorEastAsia" w:hAnsiTheme="minorEastAsia"/>
          <w:sz w:val="24"/>
        </w:rPr>
      </w:pPr>
      <w:r>
        <w:rPr>
          <w:rFonts w:asciiTheme="minorEastAsia" w:hAnsiTheme="minorEastAsia" w:hint="eastAsia"/>
          <w:sz w:val="24"/>
        </w:rPr>
        <w:t>2、投资决策方式</w:t>
      </w:r>
    </w:p>
    <w:p w:rsidR="000D612F" w:rsidRDefault="000D612F" w:rsidP="000D612F">
      <w:pPr>
        <w:spacing w:line="360" w:lineRule="auto"/>
        <w:ind w:firstLineChars="200" w:firstLine="480"/>
        <w:rPr>
          <w:rFonts w:asciiTheme="minorEastAsia" w:hAnsiTheme="minorEastAsia"/>
          <w:sz w:val="24"/>
        </w:rPr>
      </w:pPr>
      <w:r>
        <w:rPr>
          <w:rFonts w:asciiTheme="minorEastAsia" w:hAnsiTheme="minorEastAsia" w:hint="eastAsia"/>
          <w:sz w:val="24"/>
        </w:rPr>
        <w:t>基金</w:t>
      </w:r>
      <w:r>
        <w:rPr>
          <w:rFonts w:asciiTheme="minorEastAsia" w:hAnsiTheme="minorEastAsia"/>
          <w:sz w:val="24"/>
        </w:rPr>
        <w:t>设立</w:t>
      </w:r>
      <w:r>
        <w:rPr>
          <w:rFonts w:asciiTheme="minorEastAsia" w:hAnsiTheme="minorEastAsia" w:hint="eastAsia"/>
          <w:sz w:val="24"/>
        </w:rPr>
        <w:t>投资决策委员会（以下简称“投委会”），为基金的最高投资决策机构，由3名委员构成，甲乙双方均有权推荐一名委员。</w:t>
      </w:r>
      <w:proofErr w:type="gramStart"/>
      <w:r>
        <w:rPr>
          <w:rFonts w:asciiTheme="minorEastAsia" w:hAnsiTheme="minorEastAsia" w:hint="eastAsia"/>
          <w:sz w:val="24"/>
        </w:rPr>
        <w:t>投委会</w:t>
      </w:r>
      <w:proofErr w:type="gramEnd"/>
      <w:r>
        <w:rPr>
          <w:rFonts w:asciiTheme="minorEastAsia" w:hAnsiTheme="minorEastAsia" w:hint="eastAsia"/>
          <w:sz w:val="24"/>
        </w:rPr>
        <w:t>采取一人一票制，拟投资项目须经过半数以上委员表决通过方可实施。</w:t>
      </w:r>
    </w:p>
    <w:p w:rsidR="000D612F" w:rsidRDefault="000D612F" w:rsidP="000D612F">
      <w:pPr>
        <w:spacing w:line="360" w:lineRule="auto"/>
        <w:ind w:firstLineChars="200" w:firstLine="480"/>
        <w:rPr>
          <w:rFonts w:asciiTheme="minorEastAsia" w:hAnsiTheme="minorEastAsia"/>
          <w:sz w:val="24"/>
        </w:rPr>
      </w:pPr>
      <w:r>
        <w:rPr>
          <w:rFonts w:asciiTheme="minorEastAsia" w:hAnsiTheme="minorEastAsia" w:hint="eastAsia"/>
          <w:sz w:val="24"/>
        </w:rPr>
        <w:t>3、基金的费用</w:t>
      </w:r>
    </w:p>
    <w:p w:rsidR="000D612F" w:rsidRDefault="000D612F" w:rsidP="000D612F">
      <w:pPr>
        <w:spacing w:line="360" w:lineRule="auto"/>
        <w:ind w:firstLineChars="200" w:firstLine="480"/>
        <w:rPr>
          <w:rFonts w:asciiTheme="minorEastAsia" w:hAnsiTheme="minorEastAsia"/>
          <w:sz w:val="24"/>
        </w:rPr>
      </w:pPr>
      <w:r>
        <w:rPr>
          <w:rFonts w:asciiTheme="minorEastAsia" w:hAnsiTheme="minorEastAsia" w:hint="eastAsia"/>
          <w:sz w:val="24"/>
        </w:rPr>
        <w:t>基金管理费、托管费（若有）等费用以双方正式签订的合伙协议等相关协议为准。</w:t>
      </w:r>
    </w:p>
    <w:p w:rsidR="000D612F" w:rsidRDefault="000D612F" w:rsidP="000D612F">
      <w:pPr>
        <w:spacing w:line="360" w:lineRule="auto"/>
        <w:ind w:firstLineChars="200" w:firstLine="480"/>
        <w:rPr>
          <w:rFonts w:asciiTheme="minorEastAsia" w:hAnsiTheme="minorEastAsia"/>
          <w:sz w:val="24"/>
        </w:rPr>
      </w:pPr>
      <w:r>
        <w:rPr>
          <w:rFonts w:asciiTheme="minorEastAsia" w:hAnsiTheme="minorEastAsia" w:hint="eastAsia"/>
          <w:sz w:val="24"/>
        </w:rPr>
        <w:t>4、收益分配</w:t>
      </w:r>
    </w:p>
    <w:p w:rsidR="000D612F" w:rsidRDefault="000D612F" w:rsidP="000D612F">
      <w:pPr>
        <w:spacing w:line="360" w:lineRule="auto"/>
        <w:ind w:firstLineChars="200" w:firstLine="480"/>
        <w:outlineLvl w:val="0"/>
        <w:rPr>
          <w:rFonts w:asciiTheme="minorEastAsia" w:hAnsiTheme="minorEastAsia"/>
          <w:sz w:val="24"/>
        </w:rPr>
      </w:pPr>
      <w:r>
        <w:rPr>
          <w:rFonts w:asciiTheme="minorEastAsia" w:hAnsiTheme="minorEastAsia" w:hint="eastAsia"/>
          <w:sz w:val="24"/>
        </w:rPr>
        <w:t>基金存续期内收回的投资本金及收益，应按照合伙协议约定扣除费用后向全体合伙人进行分配。</w:t>
      </w:r>
    </w:p>
    <w:p w:rsidR="000D612F" w:rsidRPr="00466881" w:rsidRDefault="000D612F" w:rsidP="000D612F">
      <w:pPr>
        <w:spacing w:line="360" w:lineRule="auto"/>
        <w:ind w:firstLineChars="100" w:firstLine="240"/>
        <w:outlineLvl w:val="0"/>
        <w:rPr>
          <w:rFonts w:asciiTheme="minorEastAsia" w:hAnsiTheme="minorEastAsia"/>
          <w:sz w:val="24"/>
        </w:rPr>
      </w:pPr>
      <w:r w:rsidRPr="00466881">
        <w:rPr>
          <w:rFonts w:asciiTheme="minorEastAsia" w:hAnsiTheme="minorEastAsia" w:hint="eastAsia"/>
          <w:sz w:val="24"/>
        </w:rPr>
        <w:t>（四）基金的投资模式</w:t>
      </w:r>
    </w:p>
    <w:p w:rsidR="000D612F" w:rsidRDefault="000D612F" w:rsidP="000D612F">
      <w:pPr>
        <w:spacing w:line="360" w:lineRule="auto"/>
        <w:ind w:firstLineChars="200" w:firstLine="480"/>
        <w:rPr>
          <w:rFonts w:asciiTheme="minorEastAsia" w:hAnsiTheme="minorEastAsia"/>
          <w:sz w:val="24"/>
        </w:rPr>
      </w:pPr>
      <w:r>
        <w:rPr>
          <w:rFonts w:asciiTheme="minorEastAsia" w:hAnsiTheme="minorEastAsia" w:hint="eastAsia"/>
          <w:sz w:val="24"/>
        </w:rPr>
        <w:t>1、投资范围包括但不限于：医药、大健康、大消费、智能制造等领域以及其他符合上市公司战略发展方向的项目。根据拟投项目的规模和期限等实际需求，可通过</w:t>
      </w:r>
      <w:proofErr w:type="gramStart"/>
      <w:r>
        <w:rPr>
          <w:rFonts w:asciiTheme="minorEastAsia" w:hAnsiTheme="minorEastAsia" w:hint="eastAsia"/>
          <w:sz w:val="24"/>
        </w:rPr>
        <w:t>子基金</w:t>
      </w:r>
      <w:proofErr w:type="gramEnd"/>
      <w:r>
        <w:rPr>
          <w:rFonts w:asciiTheme="minorEastAsia" w:hAnsiTheme="minorEastAsia" w:hint="eastAsia"/>
          <w:sz w:val="24"/>
        </w:rPr>
        <w:t>等形式设立项目专项基金。</w:t>
      </w:r>
    </w:p>
    <w:p w:rsidR="000D612F" w:rsidRDefault="000D612F" w:rsidP="000D612F">
      <w:pPr>
        <w:spacing w:line="360" w:lineRule="auto"/>
        <w:ind w:firstLineChars="200" w:firstLine="480"/>
        <w:rPr>
          <w:rFonts w:asciiTheme="minorEastAsia" w:hAnsiTheme="minorEastAsia"/>
          <w:sz w:val="24"/>
        </w:rPr>
      </w:pPr>
      <w:r>
        <w:rPr>
          <w:rFonts w:asciiTheme="minorEastAsia" w:hAnsiTheme="minorEastAsia" w:hint="eastAsia"/>
          <w:sz w:val="24"/>
        </w:rPr>
        <w:t>2、投资形式：股权、可转债及法律法规允许的其他形式。</w:t>
      </w:r>
    </w:p>
    <w:p w:rsidR="000D612F" w:rsidRDefault="000D612F" w:rsidP="000D612F">
      <w:pPr>
        <w:shd w:val="clear" w:color="auto" w:fill="FFFFFF"/>
        <w:spacing w:line="360" w:lineRule="auto"/>
        <w:ind w:firstLineChars="200" w:firstLine="480"/>
        <w:rPr>
          <w:rFonts w:asciiTheme="minorEastAsia" w:hAnsiTheme="minorEastAsia"/>
          <w:sz w:val="24"/>
        </w:rPr>
      </w:pPr>
      <w:r>
        <w:rPr>
          <w:rFonts w:asciiTheme="minorEastAsia" w:hAnsiTheme="minorEastAsia" w:hint="eastAsia"/>
          <w:sz w:val="24"/>
        </w:rPr>
        <w:t>3、投资退出：投资退出的方式包括但不限于IPO、上市公司收购和第三方股权转让等方式。基金所投项目退出时，在</w:t>
      </w:r>
      <w:r>
        <w:rPr>
          <w:rFonts w:asciiTheme="minorEastAsia" w:hAnsiTheme="minorEastAsia"/>
          <w:sz w:val="24"/>
        </w:rPr>
        <w:t>同等条件下</w:t>
      </w:r>
      <w:r>
        <w:rPr>
          <w:rFonts w:asciiTheme="minorEastAsia" w:hAnsiTheme="minorEastAsia" w:hint="eastAsia"/>
          <w:sz w:val="24"/>
        </w:rPr>
        <w:t>甲方拥有该项目的优先购买权。</w:t>
      </w:r>
    </w:p>
    <w:p w:rsidR="000D612F" w:rsidRPr="000D612F" w:rsidRDefault="000D612F" w:rsidP="000D612F">
      <w:pPr>
        <w:spacing w:line="360" w:lineRule="auto"/>
        <w:ind w:firstLineChars="200" w:firstLine="480"/>
        <w:rPr>
          <w:rFonts w:ascii="宋体" w:hAnsi="宋体"/>
          <w:sz w:val="24"/>
        </w:rPr>
      </w:pPr>
      <w:r>
        <w:rPr>
          <w:rFonts w:ascii="宋体" w:hAnsi="宋体" w:hint="eastAsia"/>
          <w:sz w:val="24"/>
        </w:rPr>
        <w:t>（五）</w:t>
      </w:r>
      <w:r w:rsidRPr="000D612F">
        <w:rPr>
          <w:rFonts w:ascii="宋体" w:hAnsi="宋体" w:hint="eastAsia"/>
          <w:sz w:val="24"/>
        </w:rPr>
        <w:t>争议的解决</w:t>
      </w:r>
    </w:p>
    <w:p w:rsidR="000D612F" w:rsidRPr="000D612F" w:rsidRDefault="000D612F" w:rsidP="000D612F">
      <w:pPr>
        <w:spacing w:line="360" w:lineRule="auto"/>
        <w:ind w:firstLineChars="200" w:firstLine="480"/>
        <w:rPr>
          <w:rFonts w:ascii="宋体" w:hAnsi="宋体"/>
          <w:sz w:val="24"/>
        </w:rPr>
      </w:pPr>
      <w:r w:rsidRPr="000D612F">
        <w:rPr>
          <w:rFonts w:ascii="宋体" w:hAnsi="宋体" w:hint="eastAsia"/>
          <w:sz w:val="24"/>
        </w:rPr>
        <w:t>1、因履行本协议所发生的或与本协议有关的一切争议、纠纷、分歧或索赔，双方应首先通过友好协商方式解决，若自争议、纠纷、分歧或索赔发生之日起六十日内协商不成或未能协商时，则任何一方均有权将争议提交苏州仲裁委员会，按照提交仲裁时该会现行有效的仲裁规则进行仲裁，仲裁裁决是终局的，对双方均有约束力。</w:t>
      </w:r>
    </w:p>
    <w:p w:rsidR="000D612F" w:rsidRPr="000D612F" w:rsidRDefault="000D612F" w:rsidP="000D612F">
      <w:pPr>
        <w:spacing w:line="360" w:lineRule="auto"/>
        <w:ind w:firstLineChars="200" w:firstLine="480"/>
        <w:rPr>
          <w:rFonts w:ascii="宋体" w:hAnsi="宋体"/>
          <w:sz w:val="24"/>
        </w:rPr>
      </w:pPr>
      <w:r w:rsidRPr="000D612F">
        <w:rPr>
          <w:rFonts w:ascii="宋体" w:hAnsi="宋体" w:hint="eastAsia"/>
          <w:sz w:val="24"/>
        </w:rPr>
        <w:t>2、除双方有争议的部分外，双方应继续履行双方所认可的本协议其它部分。</w:t>
      </w:r>
    </w:p>
    <w:p w:rsidR="000D612F" w:rsidRPr="000D612F" w:rsidRDefault="000D612F" w:rsidP="000D612F">
      <w:pPr>
        <w:spacing w:line="360" w:lineRule="auto"/>
        <w:ind w:firstLineChars="200" w:firstLine="480"/>
        <w:rPr>
          <w:rFonts w:ascii="宋体" w:hAnsi="宋体"/>
          <w:sz w:val="24"/>
        </w:rPr>
      </w:pPr>
      <w:r>
        <w:rPr>
          <w:rFonts w:ascii="宋体" w:hAnsi="宋体" w:hint="eastAsia"/>
          <w:sz w:val="24"/>
        </w:rPr>
        <w:t>（六）</w:t>
      </w:r>
      <w:r w:rsidRPr="000D612F">
        <w:rPr>
          <w:rFonts w:ascii="宋体" w:hAnsi="宋体" w:hint="eastAsia"/>
          <w:sz w:val="24"/>
        </w:rPr>
        <w:t>其他</w:t>
      </w:r>
    </w:p>
    <w:p w:rsidR="000D612F" w:rsidRPr="000D612F" w:rsidRDefault="000D612F" w:rsidP="000D612F">
      <w:pPr>
        <w:spacing w:line="360" w:lineRule="auto"/>
        <w:ind w:firstLineChars="200" w:firstLine="480"/>
        <w:rPr>
          <w:rFonts w:ascii="宋体" w:hAnsi="宋体"/>
          <w:sz w:val="24"/>
        </w:rPr>
      </w:pPr>
      <w:r w:rsidRPr="000D612F">
        <w:rPr>
          <w:rFonts w:ascii="宋体" w:hAnsi="宋体" w:hint="eastAsia"/>
          <w:sz w:val="24"/>
        </w:rPr>
        <w:t>本协议为签署各方就相关原则问题的约定和陈述，具体条款以双方最终签订</w:t>
      </w:r>
      <w:r w:rsidRPr="000D612F">
        <w:rPr>
          <w:rFonts w:ascii="宋体" w:hAnsi="宋体" w:hint="eastAsia"/>
          <w:sz w:val="24"/>
        </w:rPr>
        <w:lastRenderedPageBreak/>
        <w:t>的相关协议为准。本协议一式两份，双方各执一份，每份具有同等效力，在双方签署后生效。</w:t>
      </w:r>
    </w:p>
    <w:p w:rsidR="00615BC1" w:rsidRPr="00615BC1" w:rsidRDefault="00615BC1" w:rsidP="00880ECF">
      <w:pPr>
        <w:spacing w:line="360" w:lineRule="auto"/>
        <w:ind w:firstLine="480"/>
        <w:rPr>
          <w:rFonts w:ascii="宋体" w:hAnsi="宋体"/>
          <w:b/>
          <w:sz w:val="24"/>
        </w:rPr>
      </w:pPr>
      <w:r w:rsidRPr="00615BC1">
        <w:rPr>
          <w:rFonts w:ascii="宋体" w:hAnsi="宋体" w:hint="eastAsia"/>
          <w:b/>
          <w:sz w:val="24"/>
        </w:rPr>
        <w:t>四、本次投资对公司的影响</w:t>
      </w:r>
    </w:p>
    <w:p w:rsidR="00E23BC2" w:rsidRDefault="000D612F" w:rsidP="000D612F">
      <w:pPr>
        <w:spacing w:line="360" w:lineRule="auto"/>
        <w:ind w:firstLineChars="200" w:firstLine="480"/>
        <w:rPr>
          <w:rFonts w:ascii="宋体" w:hAnsi="宋体"/>
          <w:sz w:val="24"/>
        </w:rPr>
      </w:pPr>
      <w:r w:rsidRPr="000D612F">
        <w:rPr>
          <w:rFonts w:ascii="宋体" w:hAnsi="宋体" w:hint="eastAsia"/>
          <w:sz w:val="24"/>
        </w:rPr>
        <w:t>医药产业投资公司此次签署产业基金，旨在进一步推进公司在</w:t>
      </w:r>
      <w:proofErr w:type="gramStart"/>
      <w:r w:rsidRPr="000D612F">
        <w:rPr>
          <w:rFonts w:ascii="宋体" w:hAnsi="宋体" w:hint="eastAsia"/>
          <w:sz w:val="24"/>
        </w:rPr>
        <w:t>医疗大</w:t>
      </w:r>
      <w:proofErr w:type="gramEnd"/>
      <w:r w:rsidRPr="000D612F">
        <w:rPr>
          <w:rFonts w:ascii="宋体" w:hAnsi="宋体" w:hint="eastAsia"/>
          <w:sz w:val="24"/>
        </w:rPr>
        <w:t>健康产业的战略布局，有利于引入市场化资本和外部资源，通过专业管理和市场化运作，实现优势互补，为公司培育新的利润增长点。同时利用产业基金的专业优势和风险控制能力，为公司储备和培养优质项目资源，有效过滤标的项目前期的各种潜在风险，推动公司积极稳健地并购整合及外延式扩张，实现持续、健康、快速成长。本次对外投资设立产业升级发展基金预计对公司2018年度的经营业绩不会产生重大影响。</w:t>
      </w:r>
    </w:p>
    <w:p w:rsidR="00880ECF" w:rsidRPr="00615BC1" w:rsidRDefault="00615BC1" w:rsidP="002461B3">
      <w:pPr>
        <w:spacing w:line="360" w:lineRule="auto"/>
        <w:rPr>
          <w:rFonts w:ascii="宋体" w:hAnsi="宋体"/>
          <w:b/>
          <w:sz w:val="24"/>
        </w:rPr>
      </w:pPr>
      <w:r>
        <w:rPr>
          <w:rFonts w:ascii="宋体" w:hAnsi="宋体" w:hint="eastAsia"/>
          <w:sz w:val="24"/>
        </w:rPr>
        <w:t xml:space="preserve">  </w:t>
      </w:r>
      <w:r w:rsidRPr="00615BC1">
        <w:rPr>
          <w:rFonts w:ascii="宋体" w:hAnsi="宋体" w:hint="eastAsia"/>
          <w:b/>
          <w:sz w:val="24"/>
        </w:rPr>
        <w:t xml:space="preserve">  五、风险揭示</w:t>
      </w:r>
    </w:p>
    <w:p w:rsidR="006E4A4C" w:rsidRPr="006E4A4C" w:rsidRDefault="006E4A4C" w:rsidP="006E4A4C">
      <w:pPr>
        <w:spacing w:line="360" w:lineRule="auto"/>
        <w:ind w:firstLineChars="200" w:firstLine="480"/>
        <w:rPr>
          <w:rFonts w:ascii="宋体" w:hAnsi="宋体"/>
          <w:sz w:val="24"/>
        </w:rPr>
      </w:pPr>
      <w:r w:rsidRPr="006E4A4C">
        <w:rPr>
          <w:rFonts w:ascii="宋体" w:hAnsi="宋体" w:hint="eastAsia"/>
          <w:sz w:val="24"/>
        </w:rPr>
        <w:t>1、本次对外投资设立产业升级发展基金可能存在出资额不能按时、足额募集进而影响后续产业基金设立的风险。</w:t>
      </w:r>
    </w:p>
    <w:p w:rsidR="006E4A4C" w:rsidRPr="006E4A4C" w:rsidRDefault="006E4A4C" w:rsidP="006E4A4C">
      <w:pPr>
        <w:spacing w:line="360" w:lineRule="auto"/>
        <w:ind w:firstLineChars="200" w:firstLine="480"/>
        <w:rPr>
          <w:rFonts w:ascii="宋体" w:hAnsi="宋体"/>
          <w:sz w:val="24"/>
        </w:rPr>
      </w:pPr>
      <w:r w:rsidRPr="006E4A4C">
        <w:rPr>
          <w:rFonts w:ascii="宋体" w:hAnsi="宋体" w:hint="eastAsia"/>
          <w:sz w:val="24"/>
        </w:rPr>
        <w:t>2、鉴于产业升级发展基金具有投资周期长，流动性较低等特点，在投资过程中将受宏观经济、行业周期、投资标的公司经营管理、交易方案等多种因素影响，如果不能对投资标的及交易方案进行充分有效的投前</w:t>
      </w:r>
      <w:proofErr w:type="gramStart"/>
      <w:r w:rsidRPr="006E4A4C">
        <w:rPr>
          <w:rFonts w:ascii="宋体" w:hAnsi="宋体" w:hint="eastAsia"/>
          <w:sz w:val="24"/>
        </w:rPr>
        <w:t>论证及投后</w:t>
      </w:r>
      <w:proofErr w:type="gramEnd"/>
      <w:r w:rsidRPr="006E4A4C">
        <w:rPr>
          <w:rFonts w:ascii="宋体" w:hAnsi="宋体" w:hint="eastAsia"/>
          <w:sz w:val="24"/>
        </w:rPr>
        <w:t>管理，将面临投资失败及亏损的风险。</w:t>
      </w:r>
    </w:p>
    <w:p w:rsidR="002461B3" w:rsidRDefault="006E4A4C" w:rsidP="006E4A4C">
      <w:pPr>
        <w:spacing w:line="360" w:lineRule="auto"/>
        <w:ind w:firstLineChars="200" w:firstLine="480"/>
        <w:rPr>
          <w:rFonts w:ascii="宋体" w:hAnsi="宋体"/>
          <w:sz w:val="24"/>
        </w:rPr>
      </w:pPr>
      <w:r w:rsidRPr="006E4A4C">
        <w:rPr>
          <w:rFonts w:ascii="宋体" w:hAnsi="宋体" w:hint="eastAsia"/>
          <w:sz w:val="24"/>
        </w:rPr>
        <w:t>公司董事会将密切关注产业升级发展基金的经营管理状况，加强投</w:t>
      </w:r>
      <w:proofErr w:type="gramStart"/>
      <w:r w:rsidRPr="006E4A4C">
        <w:rPr>
          <w:rFonts w:ascii="宋体" w:hAnsi="宋体" w:hint="eastAsia"/>
          <w:sz w:val="24"/>
        </w:rPr>
        <w:t>前风控论证</w:t>
      </w:r>
      <w:proofErr w:type="gramEnd"/>
      <w:r w:rsidRPr="006E4A4C">
        <w:rPr>
          <w:rFonts w:ascii="宋体" w:hAnsi="宋体" w:hint="eastAsia"/>
          <w:sz w:val="24"/>
        </w:rPr>
        <w:t>和投后管理，切实降低投资风险。</w:t>
      </w:r>
    </w:p>
    <w:p w:rsidR="00615BC1" w:rsidRDefault="006E4A4C" w:rsidP="006E4A4C">
      <w:pPr>
        <w:spacing w:line="360" w:lineRule="auto"/>
        <w:ind w:firstLineChars="200" w:firstLine="480"/>
        <w:rPr>
          <w:rFonts w:ascii="宋体" w:hAnsi="宋体"/>
          <w:sz w:val="24"/>
        </w:rPr>
      </w:pPr>
      <w:r w:rsidRPr="006E4A4C">
        <w:rPr>
          <w:rFonts w:ascii="宋体" w:hAnsi="宋体" w:hint="eastAsia"/>
          <w:sz w:val="24"/>
        </w:rPr>
        <w:t>公司将及时根据本项目未来的后续进展情况，按照上海证券交易所《上市公司与私募基金合作投资事项信息披露业务指引》</w:t>
      </w:r>
      <w:r>
        <w:rPr>
          <w:rFonts w:ascii="宋体" w:hAnsi="宋体" w:hint="eastAsia"/>
          <w:sz w:val="24"/>
        </w:rPr>
        <w:t>等</w:t>
      </w:r>
      <w:r w:rsidRPr="006E4A4C">
        <w:rPr>
          <w:rFonts w:ascii="宋体" w:hAnsi="宋体" w:hint="eastAsia"/>
          <w:sz w:val="24"/>
        </w:rPr>
        <w:t>相关要求，继续履行信息披露义务。请广大投资者理性投资，注意风险。</w:t>
      </w:r>
    </w:p>
    <w:p w:rsidR="00615BC1" w:rsidRDefault="00615BC1" w:rsidP="00615BC1">
      <w:pPr>
        <w:spacing w:line="360" w:lineRule="auto"/>
        <w:ind w:firstLine="480"/>
        <w:rPr>
          <w:rFonts w:ascii="宋体" w:hAnsi="宋体"/>
          <w:sz w:val="24"/>
        </w:rPr>
      </w:pPr>
      <w:r>
        <w:rPr>
          <w:rFonts w:ascii="宋体" w:hAnsi="宋体" w:hint="eastAsia"/>
          <w:sz w:val="24"/>
        </w:rPr>
        <w:t>特此公告。</w:t>
      </w:r>
    </w:p>
    <w:p w:rsidR="00615BC1" w:rsidRDefault="00615BC1" w:rsidP="00615BC1">
      <w:pPr>
        <w:spacing w:line="360" w:lineRule="auto"/>
        <w:ind w:firstLine="480"/>
        <w:rPr>
          <w:rFonts w:ascii="宋体" w:hAnsi="宋体"/>
          <w:sz w:val="24"/>
        </w:rPr>
      </w:pPr>
    </w:p>
    <w:p w:rsidR="00615BC1" w:rsidRPr="00656D99" w:rsidRDefault="00615BC1" w:rsidP="00615BC1">
      <w:pPr>
        <w:spacing w:line="360" w:lineRule="auto"/>
        <w:ind w:firstLineChars="200" w:firstLine="480"/>
        <w:jc w:val="right"/>
        <w:rPr>
          <w:rFonts w:ascii="宋体" w:hAnsi="宋体"/>
          <w:sz w:val="24"/>
        </w:rPr>
      </w:pPr>
      <w:r w:rsidRPr="00656D99">
        <w:rPr>
          <w:rFonts w:ascii="宋体" w:hAnsi="宋体" w:hint="eastAsia"/>
          <w:sz w:val="24"/>
        </w:rPr>
        <w:t>江苏吴中实业股份有限公司</w:t>
      </w:r>
    </w:p>
    <w:p w:rsidR="00615BC1" w:rsidRPr="00656D99" w:rsidRDefault="00615BC1" w:rsidP="00615BC1">
      <w:pPr>
        <w:wordWrap w:val="0"/>
        <w:spacing w:line="360" w:lineRule="auto"/>
        <w:ind w:firstLineChars="200" w:firstLine="480"/>
        <w:jc w:val="right"/>
        <w:rPr>
          <w:rFonts w:ascii="宋体" w:hAnsi="宋体"/>
          <w:sz w:val="24"/>
        </w:rPr>
      </w:pPr>
      <w:r w:rsidRPr="00656D99">
        <w:rPr>
          <w:rFonts w:ascii="宋体" w:hAnsi="宋体" w:hint="eastAsia"/>
          <w:sz w:val="24"/>
        </w:rPr>
        <w:t xml:space="preserve"> 董事会      </w:t>
      </w:r>
    </w:p>
    <w:p w:rsidR="00615BC1" w:rsidRPr="00127B5A" w:rsidRDefault="00615BC1" w:rsidP="00615BC1">
      <w:pPr>
        <w:spacing w:line="360" w:lineRule="auto"/>
        <w:ind w:firstLineChars="200" w:firstLine="480"/>
        <w:jc w:val="right"/>
        <w:rPr>
          <w:rFonts w:ascii="宋体" w:hAnsi="宋体"/>
          <w:sz w:val="24"/>
        </w:rPr>
      </w:pPr>
      <w:r w:rsidRPr="001616DE">
        <w:rPr>
          <w:rFonts w:ascii="宋体" w:hAnsi="宋体" w:hint="eastAsia"/>
          <w:sz w:val="24"/>
        </w:rPr>
        <w:t>2018年</w:t>
      </w:r>
      <w:r w:rsidR="006E4A4C" w:rsidRPr="001616DE">
        <w:rPr>
          <w:rFonts w:ascii="宋体" w:hAnsi="宋体" w:hint="eastAsia"/>
          <w:sz w:val="24"/>
        </w:rPr>
        <w:t>8月22</w:t>
      </w:r>
      <w:r w:rsidRPr="001616DE">
        <w:rPr>
          <w:rFonts w:ascii="宋体" w:hAnsi="宋体" w:hint="eastAsia"/>
          <w:sz w:val="24"/>
        </w:rPr>
        <w:t>日</w:t>
      </w:r>
    </w:p>
    <w:sectPr w:rsidR="00615BC1" w:rsidRPr="00127B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C95" w:rsidRDefault="003A1C95" w:rsidP="00F759F7">
      <w:r>
        <w:separator/>
      </w:r>
    </w:p>
  </w:endnote>
  <w:endnote w:type="continuationSeparator" w:id="0">
    <w:p w:rsidR="003A1C95" w:rsidRDefault="003A1C95" w:rsidP="00F7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C95" w:rsidRDefault="003A1C95" w:rsidP="00F759F7">
      <w:r>
        <w:separator/>
      </w:r>
    </w:p>
  </w:footnote>
  <w:footnote w:type="continuationSeparator" w:id="0">
    <w:p w:rsidR="003A1C95" w:rsidRDefault="003A1C95" w:rsidP="00F75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8F"/>
    <w:rsid w:val="0004169E"/>
    <w:rsid w:val="0005479D"/>
    <w:rsid w:val="00093008"/>
    <w:rsid w:val="000D2CA6"/>
    <w:rsid w:val="000D612F"/>
    <w:rsid w:val="00130A2C"/>
    <w:rsid w:val="001335D7"/>
    <w:rsid w:val="00133E05"/>
    <w:rsid w:val="001616DE"/>
    <w:rsid w:val="00165D1C"/>
    <w:rsid w:val="00183B74"/>
    <w:rsid w:val="001940E7"/>
    <w:rsid w:val="001E2770"/>
    <w:rsid w:val="00202A5A"/>
    <w:rsid w:val="00216961"/>
    <w:rsid w:val="00240C8F"/>
    <w:rsid w:val="002461B3"/>
    <w:rsid w:val="00263187"/>
    <w:rsid w:val="002977C4"/>
    <w:rsid w:val="002C495C"/>
    <w:rsid w:val="002D5E18"/>
    <w:rsid w:val="002F423C"/>
    <w:rsid w:val="0031471B"/>
    <w:rsid w:val="00335854"/>
    <w:rsid w:val="00341E1B"/>
    <w:rsid w:val="00352275"/>
    <w:rsid w:val="0038120C"/>
    <w:rsid w:val="00391D2B"/>
    <w:rsid w:val="003A1C95"/>
    <w:rsid w:val="003C40CC"/>
    <w:rsid w:val="004043A4"/>
    <w:rsid w:val="00416D26"/>
    <w:rsid w:val="0042013F"/>
    <w:rsid w:val="0043792E"/>
    <w:rsid w:val="00465487"/>
    <w:rsid w:val="004829FF"/>
    <w:rsid w:val="004B33BC"/>
    <w:rsid w:val="004D07C9"/>
    <w:rsid w:val="004E3FB0"/>
    <w:rsid w:val="004F608F"/>
    <w:rsid w:val="004F6654"/>
    <w:rsid w:val="00513277"/>
    <w:rsid w:val="0053015B"/>
    <w:rsid w:val="005447A6"/>
    <w:rsid w:val="00552565"/>
    <w:rsid w:val="0057366B"/>
    <w:rsid w:val="00591057"/>
    <w:rsid w:val="005962C4"/>
    <w:rsid w:val="005C0167"/>
    <w:rsid w:val="005E09A1"/>
    <w:rsid w:val="00615BC1"/>
    <w:rsid w:val="006308F8"/>
    <w:rsid w:val="00642A55"/>
    <w:rsid w:val="006C06BB"/>
    <w:rsid w:val="006D0CAB"/>
    <w:rsid w:val="006D4C54"/>
    <w:rsid w:val="006E4A4C"/>
    <w:rsid w:val="007016BD"/>
    <w:rsid w:val="0070457C"/>
    <w:rsid w:val="00725418"/>
    <w:rsid w:val="00754AD6"/>
    <w:rsid w:val="007A66EE"/>
    <w:rsid w:val="007B5C0C"/>
    <w:rsid w:val="0081134F"/>
    <w:rsid w:val="00821EB0"/>
    <w:rsid w:val="0082674C"/>
    <w:rsid w:val="008302D2"/>
    <w:rsid w:val="00877073"/>
    <w:rsid w:val="00880ECF"/>
    <w:rsid w:val="00883FF6"/>
    <w:rsid w:val="00893019"/>
    <w:rsid w:val="008B239E"/>
    <w:rsid w:val="00906884"/>
    <w:rsid w:val="00993309"/>
    <w:rsid w:val="009B325C"/>
    <w:rsid w:val="00A24B56"/>
    <w:rsid w:val="00A42BCA"/>
    <w:rsid w:val="00A57B00"/>
    <w:rsid w:val="00A645F0"/>
    <w:rsid w:val="00AA5284"/>
    <w:rsid w:val="00AA6967"/>
    <w:rsid w:val="00AC68E7"/>
    <w:rsid w:val="00AF3825"/>
    <w:rsid w:val="00B52686"/>
    <w:rsid w:val="00B540C2"/>
    <w:rsid w:val="00B7307A"/>
    <w:rsid w:val="00BC5343"/>
    <w:rsid w:val="00BC7A33"/>
    <w:rsid w:val="00BD14A2"/>
    <w:rsid w:val="00C67FF2"/>
    <w:rsid w:val="00C72026"/>
    <w:rsid w:val="00C72DA9"/>
    <w:rsid w:val="00C91DC2"/>
    <w:rsid w:val="00CA28C3"/>
    <w:rsid w:val="00CA4A2E"/>
    <w:rsid w:val="00D10A9E"/>
    <w:rsid w:val="00D7422E"/>
    <w:rsid w:val="00D85BFA"/>
    <w:rsid w:val="00D87489"/>
    <w:rsid w:val="00DA268D"/>
    <w:rsid w:val="00DA2DCC"/>
    <w:rsid w:val="00DA49C1"/>
    <w:rsid w:val="00DC4DA1"/>
    <w:rsid w:val="00DC72A7"/>
    <w:rsid w:val="00DE2EF5"/>
    <w:rsid w:val="00DE73DC"/>
    <w:rsid w:val="00E0777E"/>
    <w:rsid w:val="00E16ECD"/>
    <w:rsid w:val="00E23BC2"/>
    <w:rsid w:val="00E85452"/>
    <w:rsid w:val="00EA79B3"/>
    <w:rsid w:val="00ED38D1"/>
    <w:rsid w:val="00ED7AB8"/>
    <w:rsid w:val="00F55AC0"/>
    <w:rsid w:val="00F759F7"/>
    <w:rsid w:val="00F823EC"/>
    <w:rsid w:val="00F844B2"/>
    <w:rsid w:val="00F91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9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59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759F7"/>
    <w:rPr>
      <w:sz w:val="18"/>
      <w:szCs w:val="18"/>
    </w:rPr>
  </w:style>
  <w:style w:type="paragraph" w:styleId="a4">
    <w:name w:val="footer"/>
    <w:basedOn w:val="a"/>
    <w:link w:val="Char0"/>
    <w:uiPriority w:val="99"/>
    <w:unhideWhenUsed/>
    <w:rsid w:val="00F759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759F7"/>
    <w:rPr>
      <w:sz w:val="18"/>
      <w:szCs w:val="18"/>
    </w:rPr>
  </w:style>
  <w:style w:type="paragraph" w:styleId="a5">
    <w:name w:val="List Paragraph"/>
    <w:basedOn w:val="a"/>
    <w:uiPriority w:val="34"/>
    <w:qFormat/>
    <w:rsid w:val="002461B3"/>
    <w:pPr>
      <w:ind w:firstLineChars="200" w:firstLine="420"/>
    </w:pPr>
  </w:style>
  <w:style w:type="paragraph" w:styleId="a6">
    <w:name w:val="Balloon Text"/>
    <w:basedOn w:val="a"/>
    <w:link w:val="Char1"/>
    <w:uiPriority w:val="99"/>
    <w:semiHidden/>
    <w:unhideWhenUsed/>
    <w:rsid w:val="006D0CAB"/>
    <w:rPr>
      <w:sz w:val="18"/>
      <w:szCs w:val="18"/>
    </w:rPr>
  </w:style>
  <w:style w:type="character" w:customStyle="1" w:styleId="Char1">
    <w:name w:val="批注框文本 Char"/>
    <w:basedOn w:val="a0"/>
    <w:link w:val="a6"/>
    <w:uiPriority w:val="99"/>
    <w:semiHidden/>
    <w:rsid w:val="006D0CA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9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59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759F7"/>
    <w:rPr>
      <w:sz w:val="18"/>
      <w:szCs w:val="18"/>
    </w:rPr>
  </w:style>
  <w:style w:type="paragraph" w:styleId="a4">
    <w:name w:val="footer"/>
    <w:basedOn w:val="a"/>
    <w:link w:val="Char0"/>
    <w:uiPriority w:val="99"/>
    <w:unhideWhenUsed/>
    <w:rsid w:val="00F759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759F7"/>
    <w:rPr>
      <w:sz w:val="18"/>
      <w:szCs w:val="18"/>
    </w:rPr>
  </w:style>
  <w:style w:type="paragraph" w:styleId="a5">
    <w:name w:val="List Paragraph"/>
    <w:basedOn w:val="a"/>
    <w:uiPriority w:val="34"/>
    <w:qFormat/>
    <w:rsid w:val="002461B3"/>
    <w:pPr>
      <w:ind w:firstLineChars="200" w:firstLine="420"/>
    </w:pPr>
  </w:style>
  <w:style w:type="paragraph" w:styleId="a6">
    <w:name w:val="Balloon Text"/>
    <w:basedOn w:val="a"/>
    <w:link w:val="Char1"/>
    <w:uiPriority w:val="99"/>
    <w:semiHidden/>
    <w:unhideWhenUsed/>
    <w:rsid w:val="006D0CAB"/>
    <w:rPr>
      <w:sz w:val="18"/>
      <w:szCs w:val="18"/>
    </w:rPr>
  </w:style>
  <w:style w:type="character" w:customStyle="1" w:styleId="Char1">
    <w:name w:val="批注框文本 Char"/>
    <w:basedOn w:val="a0"/>
    <w:link w:val="a6"/>
    <w:uiPriority w:val="99"/>
    <w:semiHidden/>
    <w:rsid w:val="006D0CA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jswz</dc:creator>
  <cp:keywords/>
  <dc:description/>
  <cp:lastModifiedBy>LR</cp:lastModifiedBy>
  <cp:revision>37</cp:revision>
  <cp:lastPrinted>2018-08-20T05:41:00Z</cp:lastPrinted>
  <dcterms:created xsi:type="dcterms:W3CDTF">2018-08-09T08:37:00Z</dcterms:created>
  <dcterms:modified xsi:type="dcterms:W3CDTF">2018-08-21T01:49:00Z</dcterms:modified>
</cp:coreProperties>
</file>