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EE3" w:rsidRPr="00981997" w:rsidRDefault="009F1EE3" w:rsidP="00683074">
      <w:pPr>
        <w:autoSpaceDE w:val="0"/>
        <w:autoSpaceDN w:val="0"/>
        <w:adjustRightInd w:val="0"/>
        <w:spacing w:line="360" w:lineRule="auto"/>
        <w:rPr>
          <w:rFonts w:ascii="宋体" w:eastAsia="宋体" w:hAnsi="宋体" w:cs="Arial"/>
          <w:color w:val="000000"/>
          <w:kern w:val="0"/>
          <w:sz w:val="24"/>
        </w:rPr>
      </w:pPr>
      <w:r w:rsidRPr="00981997">
        <w:rPr>
          <w:rFonts w:ascii="宋体" w:eastAsia="宋体" w:hAnsi="宋体" w:cs="Arial"/>
          <w:color w:val="000000"/>
          <w:kern w:val="0"/>
          <w:sz w:val="24"/>
        </w:rPr>
        <w:t xml:space="preserve">证券代码：600200  </w:t>
      </w:r>
      <w:r w:rsidRPr="00981997">
        <w:rPr>
          <w:rFonts w:ascii="宋体" w:eastAsia="宋体" w:hAnsi="宋体" w:cs="Arial"/>
          <w:color w:val="000000"/>
          <w:kern w:val="0"/>
          <w:sz w:val="24"/>
        </w:rPr>
        <w:tab/>
      </w:r>
      <w:r>
        <w:rPr>
          <w:rFonts w:ascii="宋体" w:eastAsia="宋体" w:hAnsi="宋体" w:cs="Arial" w:hint="eastAsia"/>
          <w:color w:val="000000"/>
          <w:kern w:val="0"/>
          <w:sz w:val="24"/>
        </w:rPr>
        <w:t xml:space="preserve"> </w:t>
      </w:r>
      <w:r w:rsidR="00683074">
        <w:rPr>
          <w:rFonts w:ascii="宋体" w:eastAsia="宋体" w:hAnsi="宋体" w:cs="Arial" w:hint="eastAsia"/>
          <w:color w:val="000000"/>
          <w:kern w:val="0"/>
          <w:sz w:val="24"/>
        </w:rPr>
        <w:t xml:space="preserve"> </w:t>
      </w:r>
      <w:r w:rsidR="00575A61">
        <w:rPr>
          <w:rFonts w:ascii="宋体" w:eastAsia="宋体" w:hAnsi="宋体" w:cs="Arial" w:hint="eastAsia"/>
          <w:color w:val="000000"/>
          <w:kern w:val="0"/>
          <w:sz w:val="24"/>
        </w:rPr>
        <w:t xml:space="preserve"> </w:t>
      </w:r>
      <w:r>
        <w:rPr>
          <w:rFonts w:ascii="宋体" w:eastAsia="宋体" w:hAnsi="宋体" w:cs="Arial" w:hint="eastAsia"/>
          <w:color w:val="000000"/>
          <w:kern w:val="0"/>
          <w:sz w:val="24"/>
        </w:rPr>
        <w:t xml:space="preserve"> </w:t>
      </w:r>
      <w:r w:rsidRPr="00981997">
        <w:rPr>
          <w:rFonts w:ascii="宋体" w:eastAsia="宋体" w:hAnsi="宋体" w:cs="Arial"/>
          <w:color w:val="000000"/>
          <w:kern w:val="0"/>
          <w:sz w:val="24"/>
        </w:rPr>
        <w:t>证券简称：江苏吴中</w:t>
      </w:r>
      <w:r w:rsidR="00575A61">
        <w:rPr>
          <w:rFonts w:ascii="宋体" w:eastAsia="宋体" w:hAnsi="宋体" w:cs="Arial"/>
          <w:color w:val="000000"/>
          <w:kern w:val="0"/>
          <w:sz w:val="24"/>
        </w:rPr>
        <w:tab/>
        <w:t xml:space="preserve">  </w:t>
      </w:r>
      <w:r w:rsidRPr="00981997">
        <w:rPr>
          <w:rFonts w:ascii="宋体" w:eastAsia="宋体" w:hAnsi="宋体" w:cs="Arial"/>
          <w:color w:val="000000"/>
          <w:kern w:val="0"/>
          <w:sz w:val="24"/>
        </w:rPr>
        <w:t xml:space="preserve"> </w:t>
      </w:r>
      <w:r w:rsidR="00683074">
        <w:rPr>
          <w:rFonts w:ascii="宋体" w:eastAsia="宋体" w:hAnsi="宋体" w:cs="Arial" w:hint="eastAsia"/>
          <w:color w:val="000000"/>
          <w:kern w:val="0"/>
          <w:sz w:val="24"/>
        </w:rPr>
        <w:t xml:space="preserve"> </w:t>
      </w:r>
      <w:r w:rsidRPr="00DF1734">
        <w:rPr>
          <w:rFonts w:ascii="宋体" w:eastAsia="宋体" w:hAnsi="宋体" w:cs="Arial" w:hint="eastAsia"/>
          <w:color w:val="000000"/>
          <w:kern w:val="0"/>
          <w:sz w:val="24"/>
        </w:rPr>
        <w:t>公告</w:t>
      </w:r>
      <w:r w:rsidRPr="00DF1734">
        <w:rPr>
          <w:rFonts w:ascii="宋体" w:eastAsia="宋体" w:hAnsi="宋体" w:cs="Arial"/>
          <w:color w:val="000000"/>
          <w:kern w:val="0"/>
          <w:sz w:val="24"/>
        </w:rPr>
        <w:t>编号：临2016-</w:t>
      </w:r>
      <w:r w:rsidR="009E2D1D">
        <w:rPr>
          <w:rFonts w:ascii="宋体" w:eastAsia="宋体" w:hAnsi="宋体" w:cs="Arial" w:hint="eastAsia"/>
          <w:color w:val="000000"/>
          <w:kern w:val="0"/>
          <w:sz w:val="24"/>
        </w:rPr>
        <w:t>081</w:t>
      </w:r>
    </w:p>
    <w:p w:rsidR="009F1EE3" w:rsidRPr="007A6D08" w:rsidRDefault="009F1EE3" w:rsidP="009F1EE3">
      <w:pPr>
        <w:pStyle w:val="Default"/>
        <w:snapToGrid w:val="0"/>
      </w:pPr>
    </w:p>
    <w:p w:rsidR="00D83C11" w:rsidRDefault="009F1EE3" w:rsidP="006B49B3">
      <w:pPr>
        <w:ind w:rightChars="-73" w:right="-153"/>
        <w:jc w:val="center"/>
        <w:rPr>
          <w:rFonts w:ascii="黑体" w:eastAsia="黑体" w:hAnsi="宋体" w:cs="Times New Roman"/>
          <w:b/>
          <w:bCs/>
          <w:color w:val="FF0000"/>
          <w:sz w:val="32"/>
        </w:rPr>
      </w:pPr>
      <w:r w:rsidRPr="00981997">
        <w:rPr>
          <w:rFonts w:ascii="黑体" w:eastAsia="黑体" w:hAnsi="宋体" w:cs="Times New Roman" w:hint="eastAsia"/>
          <w:b/>
          <w:bCs/>
          <w:color w:val="FF0000"/>
          <w:sz w:val="32"/>
        </w:rPr>
        <w:t>江苏吴中实业股份有限公司</w:t>
      </w:r>
    </w:p>
    <w:p w:rsidR="009F1EE3" w:rsidRPr="00981997" w:rsidRDefault="009F1EE3" w:rsidP="006B49B3">
      <w:pPr>
        <w:ind w:rightChars="-73" w:right="-153"/>
        <w:jc w:val="center"/>
        <w:rPr>
          <w:rFonts w:ascii="黑体" w:eastAsia="黑体" w:hAnsi="宋体" w:cs="Times New Roman"/>
          <w:b/>
          <w:bCs/>
          <w:color w:val="FF0000"/>
          <w:sz w:val="32"/>
        </w:rPr>
      </w:pPr>
      <w:r w:rsidRPr="00981997">
        <w:rPr>
          <w:rFonts w:ascii="黑体" w:eastAsia="黑体" w:hAnsi="宋体" w:cs="Times New Roman" w:hint="eastAsia"/>
          <w:b/>
          <w:bCs/>
          <w:color w:val="FF0000"/>
          <w:sz w:val="32"/>
        </w:rPr>
        <w:t>关于</w:t>
      </w:r>
      <w:r w:rsidR="00675AC6">
        <w:rPr>
          <w:rFonts w:ascii="黑体" w:eastAsia="黑体" w:hAnsi="宋体" w:cs="Times New Roman" w:hint="eastAsia"/>
          <w:b/>
          <w:bCs/>
          <w:color w:val="FF0000"/>
          <w:sz w:val="32"/>
        </w:rPr>
        <w:t>使用</w:t>
      </w:r>
      <w:r w:rsidR="00B777B9">
        <w:rPr>
          <w:rFonts w:ascii="黑体" w:eastAsia="黑体" w:hAnsi="宋体" w:cs="Times New Roman" w:hint="eastAsia"/>
          <w:b/>
          <w:bCs/>
          <w:color w:val="FF0000"/>
          <w:sz w:val="32"/>
        </w:rPr>
        <w:t>募集</w:t>
      </w:r>
      <w:r w:rsidR="002E1D9A">
        <w:rPr>
          <w:rFonts w:ascii="黑体" w:eastAsia="黑体" w:hAnsi="宋体" w:cs="Times New Roman" w:hint="eastAsia"/>
          <w:b/>
          <w:bCs/>
          <w:color w:val="FF0000"/>
          <w:sz w:val="32"/>
        </w:rPr>
        <w:t>配套</w:t>
      </w:r>
      <w:r w:rsidR="00B777B9">
        <w:rPr>
          <w:rFonts w:ascii="黑体" w:eastAsia="黑体" w:hAnsi="宋体" w:cs="Times New Roman" w:hint="eastAsia"/>
          <w:b/>
          <w:bCs/>
          <w:color w:val="FF0000"/>
          <w:sz w:val="32"/>
        </w:rPr>
        <w:t>资金</w:t>
      </w:r>
      <w:r w:rsidR="00675AC6" w:rsidRPr="00675AC6">
        <w:rPr>
          <w:rFonts w:ascii="黑体" w:eastAsia="黑体" w:hAnsi="宋体" w:cs="Times New Roman" w:hint="eastAsia"/>
          <w:b/>
          <w:bCs/>
          <w:color w:val="FF0000"/>
          <w:sz w:val="32"/>
        </w:rPr>
        <w:t>向响水</w:t>
      </w:r>
      <w:proofErr w:type="gramStart"/>
      <w:r w:rsidR="00675AC6" w:rsidRPr="00675AC6">
        <w:rPr>
          <w:rFonts w:ascii="黑体" w:eastAsia="黑体" w:hAnsi="宋体" w:cs="Times New Roman" w:hint="eastAsia"/>
          <w:b/>
          <w:bCs/>
          <w:color w:val="FF0000"/>
          <w:sz w:val="32"/>
        </w:rPr>
        <w:t>恒</w:t>
      </w:r>
      <w:proofErr w:type="gramEnd"/>
      <w:r w:rsidR="00675AC6" w:rsidRPr="00675AC6">
        <w:rPr>
          <w:rFonts w:ascii="黑体" w:eastAsia="黑体" w:hAnsi="宋体" w:cs="Times New Roman" w:hint="eastAsia"/>
          <w:b/>
          <w:bCs/>
          <w:color w:val="FF0000"/>
          <w:sz w:val="32"/>
        </w:rPr>
        <w:t>利达科技化工有限公司增资的公告</w:t>
      </w:r>
    </w:p>
    <w:p w:rsidR="009F1EE3" w:rsidRPr="00981997" w:rsidRDefault="009F1EE3" w:rsidP="009F1EE3">
      <w:pPr>
        <w:autoSpaceDE w:val="0"/>
        <w:autoSpaceDN w:val="0"/>
        <w:adjustRightInd w:val="0"/>
        <w:spacing w:line="360" w:lineRule="auto"/>
        <w:ind w:firstLineChars="200" w:firstLine="482"/>
        <w:rPr>
          <w:rFonts w:ascii="宋体" w:eastAsia="宋体" w:hAnsi="宋体" w:cs="宋体"/>
          <w:b/>
          <w:color w:val="000000"/>
          <w:kern w:val="0"/>
          <w:sz w:val="24"/>
        </w:rPr>
      </w:pPr>
    </w:p>
    <w:p w:rsidR="009F1EE3" w:rsidRPr="00981997" w:rsidRDefault="009F1EE3" w:rsidP="009F1EE3">
      <w:pPr>
        <w:autoSpaceDE w:val="0"/>
        <w:autoSpaceDN w:val="0"/>
        <w:adjustRightInd w:val="0"/>
        <w:spacing w:line="360" w:lineRule="auto"/>
        <w:ind w:firstLineChars="200" w:firstLine="482"/>
        <w:rPr>
          <w:rFonts w:ascii="宋体" w:eastAsia="宋体" w:hAnsi="宋体" w:cs="宋体"/>
          <w:b/>
          <w:color w:val="000000"/>
          <w:kern w:val="0"/>
          <w:sz w:val="24"/>
        </w:rPr>
      </w:pPr>
      <w:r w:rsidRPr="00981997">
        <w:rPr>
          <w:rFonts w:ascii="宋体" w:eastAsia="宋体" w:hAnsi="宋体" w:cs="宋体"/>
          <w:b/>
          <w:color w:val="000000"/>
          <w:kern w:val="0"/>
          <w:sz w:val="24"/>
        </w:rPr>
        <w:t>本公司董事会及全体董事保证本公告内容不存在任何虚假记载、误导性陈述或者重大遗漏，并对其内容的真实性、准确性和完整性承担个别及连带责任。</w:t>
      </w:r>
    </w:p>
    <w:p w:rsidR="009F1EE3" w:rsidRDefault="009F1EE3" w:rsidP="009F1EE3">
      <w:pPr>
        <w:spacing w:line="336" w:lineRule="auto"/>
        <w:ind w:firstLine="540"/>
        <w:rPr>
          <w:rFonts w:ascii="宋体" w:eastAsia="宋体" w:hAnsi="宋体" w:cs="Times New Roman"/>
          <w:sz w:val="24"/>
        </w:rPr>
      </w:pPr>
    </w:p>
    <w:p w:rsidR="00675AC6" w:rsidRPr="00675AC6" w:rsidRDefault="00675AC6" w:rsidP="00D83C11">
      <w:pPr>
        <w:spacing w:line="360" w:lineRule="auto"/>
        <w:ind w:firstLine="540"/>
        <w:rPr>
          <w:rFonts w:ascii="宋体" w:eastAsia="宋体" w:hAnsi="宋体" w:cs="Times New Roman"/>
          <w:sz w:val="24"/>
        </w:rPr>
      </w:pPr>
      <w:r w:rsidRPr="00675AC6">
        <w:rPr>
          <w:rFonts w:ascii="宋体" w:eastAsia="宋体" w:hAnsi="宋体" w:cs="Times New Roman" w:hint="eastAsia"/>
          <w:sz w:val="24"/>
        </w:rPr>
        <w:t>2016年</w:t>
      </w:r>
      <w:r w:rsidR="00FB030F">
        <w:rPr>
          <w:rFonts w:ascii="宋体" w:eastAsia="宋体" w:hAnsi="宋体" w:cs="Times New Roman" w:hint="eastAsia"/>
          <w:sz w:val="24"/>
        </w:rPr>
        <w:t>10</w:t>
      </w:r>
      <w:r w:rsidRPr="00675AC6">
        <w:rPr>
          <w:rFonts w:ascii="宋体" w:eastAsia="宋体" w:hAnsi="宋体" w:cs="Times New Roman" w:hint="eastAsia"/>
          <w:sz w:val="24"/>
        </w:rPr>
        <w:t>月</w:t>
      </w:r>
      <w:r w:rsidR="006B49B3">
        <w:rPr>
          <w:rFonts w:ascii="宋体" w:eastAsia="宋体" w:hAnsi="宋体" w:cs="Times New Roman" w:hint="eastAsia"/>
          <w:sz w:val="24"/>
        </w:rPr>
        <w:t>28</w:t>
      </w:r>
      <w:r w:rsidRPr="00675AC6">
        <w:rPr>
          <w:rFonts w:ascii="宋体" w:eastAsia="宋体" w:hAnsi="宋体" w:cs="Times New Roman" w:hint="eastAsia"/>
          <w:sz w:val="24"/>
        </w:rPr>
        <w:t>日，</w:t>
      </w:r>
      <w:r>
        <w:rPr>
          <w:rFonts w:ascii="宋体" w:eastAsia="宋体" w:hAnsi="宋体" w:cs="Times New Roman" w:hint="eastAsia"/>
          <w:sz w:val="24"/>
        </w:rPr>
        <w:t>江苏吴中实业股份有限公司</w:t>
      </w:r>
      <w:r w:rsidRPr="00675AC6">
        <w:rPr>
          <w:rFonts w:ascii="宋体" w:eastAsia="宋体" w:hAnsi="宋体" w:cs="Times New Roman" w:hint="eastAsia"/>
          <w:sz w:val="24"/>
        </w:rPr>
        <w:t>（以下简称“公司”</w:t>
      </w:r>
      <w:r>
        <w:rPr>
          <w:rFonts w:ascii="宋体" w:eastAsia="宋体" w:hAnsi="宋体" w:cs="Times New Roman" w:hint="eastAsia"/>
          <w:sz w:val="24"/>
        </w:rPr>
        <w:t>或“本公司”</w:t>
      </w:r>
      <w:r w:rsidRPr="00675AC6">
        <w:rPr>
          <w:rFonts w:ascii="宋体" w:eastAsia="宋体" w:hAnsi="宋体" w:cs="Times New Roman" w:hint="eastAsia"/>
          <w:sz w:val="24"/>
        </w:rPr>
        <w:t>）召开第</w:t>
      </w:r>
      <w:r>
        <w:rPr>
          <w:rFonts w:ascii="宋体" w:eastAsia="宋体" w:hAnsi="宋体" w:cs="Times New Roman" w:hint="eastAsia"/>
          <w:sz w:val="24"/>
        </w:rPr>
        <w:t>八</w:t>
      </w:r>
      <w:r w:rsidRPr="00675AC6">
        <w:rPr>
          <w:rFonts w:ascii="宋体" w:eastAsia="宋体" w:hAnsi="宋体" w:cs="Times New Roman" w:hint="eastAsia"/>
          <w:sz w:val="24"/>
        </w:rPr>
        <w:t>届董事会</w:t>
      </w:r>
      <w:r w:rsidR="00FB030F">
        <w:rPr>
          <w:rFonts w:ascii="宋体" w:eastAsia="宋体" w:hAnsi="宋体" w:cs="Times New Roman" w:hint="eastAsia"/>
          <w:sz w:val="24"/>
        </w:rPr>
        <w:t>第十次</w:t>
      </w:r>
      <w:r w:rsidRPr="00675AC6">
        <w:rPr>
          <w:rFonts w:ascii="宋体" w:eastAsia="宋体" w:hAnsi="宋体" w:cs="Times New Roman" w:hint="eastAsia"/>
          <w:sz w:val="24"/>
        </w:rPr>
        <w:t>会议，审议通过了《</w:t>
      </w:r>
      <w:r w:rsidR="006B49B3" w:rsidRPr="006B49B3">
        <w:rPr>
          <w:rFonts w:ascii="宋体" w:eastAsia="宋体" w:hAnsi="宋体" w:cs="Times New Roman" w:hint="eastAsia"/>
          <w:sz w:val="24"/>
        </w:rPr>
        <w:t>江苏吴中实业股份有限公司关于使用募集配套资金向响水恒利达科技化工有限公司增资的议案</w:t>
      </w:r>
      <w:r w:rsidRPr="00675AC6">
        <w:rPr>
          <w:rFonts w:ascii="宋体" w:eastAsia="宋体" w:hAnsi="宋体" w:cs="Times New Roman" w:hint="eastAsia"/>
          <w:sz w:val="24"/>
        </w:rPr>
        <w:t>》，同意公司使用本次</w:t>
      </w:r>
      <w:r w:rsidR="002E1D9A" w:rsidRPr="00675AC6">
        <w:rPr>
          <w:rFonts w:ascii="宋体" w:eastAsia="宋体" w:hAnsi="宋体" w:cs="Times New Roman" w:hint="eastAsia"/>
          <w:sz w:val="24"/>
        </w:rPr>
        <w:t>募集</w:t>
      </w:r>
      <w:r>
        <w:rPr>
          <w:rFonts w:ascii="宋体" w:eastAsia="宋体" w:hAnsi="宋体" w:cs="Times New Roman" w:hint="eastAsia"/>
          <w:sz w:val="24"/>
        </w:rPr>
        <w:t>配套</w:t>
      </w:r>
      <w:r w:rsidRPr="00675AC6">
        <w:rPr>
          <w:rFonts w:ascii="宋体" w:eastAsia="宋体" w:hAnsi="宋体" w:cs="Times New Roman" w:hint="eastAsia"/>
          <w:sz w:val="24"/>
        </w:rPr>
        <w:t>资金向全资子公司响水</w:t>
      </w:r>
      <w:proofErr w:type="gramStart"/>
      <w:r w:rsidRPr="00675AC6">
        <w:rPr>
          <w:rFonts w:ascii="宋体" w:eastAsia="宋体" w:hAnsi="宋体" w:cs="Times New Roman" w:hint="eastAsia"/>
          <w:sz w:val="24"/>
        </w:rPr>
        <w:t>恒</w:t>
      </w:r>
      <w:proofErr w:type="gramEnd"/>
      <w:r w:rsidRPr="00675AC6">
        <w:rPr>
          <w:rFonts w:ascii="宋体" w:eastAsia="宋体" w:hAnsi="宋体" w:cs="Times New Roman" w:hint="eastAsia"/>
          <w:sz w:val="24"/>
        </w:rPr>
        <w:t>利达科技化工有限公司（以下简称“恒利达”）进行增资。</w:t>
      </w:r>
    </w:p>
    <w:p w:rsidR="00FB030F" w:rsidRDefault="00675AC6" w:rsidP="00D83C11">
      <w:pPr>
        <w:spacing w:line="360" w:lineRule="auto"/>
        <w:ind w:firstLine="540"/>
        <w:rPr>
          <w:rFonts w:ascii="宋体" w:eastAsia="宋体" w:hAnsi="宋体" w:cs="Times New Roman"/>
          <w:sz w:val="24"/>
        </w:rPr>
      </w:pPr>
      <w:r w:rsidRPr="00675AC6">
        <w:rPr>
          <w:rFonts w:ascii="宋体" w:eastAsia="宋体" w:hAnsi="宋体" w:cs="Times New Roman" w:hint="eastAsia"/>
          <w:sz w:val="24"/>
        </w:rPr>
        <w:t>本次增资事项无需提交公司股东大会批准，</w:t>
      </w:r>
      <w:r>
        <w:rPr>
          <w:rFonts w:ascii="宋体" w:eastAsia="宋体" w:hAnsi="宋体" w:cs="Times New Roman" w:hint="eastAsia"/>
          <w:sz w:val="24"/>
        </w:rPr>
        <w:t>未构成重大资产重组，也</w:t>
      </w:r>
      <w:r w:rsidRPr="00675AC6">
        <w:rPr>
          <w:rFonts w:ascii="宋体" w:eastAsia="宋体" w:hAnsi="宋体" w:cs="Times New Roman" w:hint="eastAsia"/>
          <w:sz w:val="24"/>
        </w:rPr>
        <w:t>不涉及关联交易。</w:t>
      </w:r>
    </w:p>
    <w:p w:rsidR="009B3132" w:rsidRDefault="009B3132" w:rsidP="00FB030F">
      <w:pPr>
        <w:spacing w:line="336" w:lineRule="auto"/>
        <w:ind w:firstLine="540"/>
        <w:rPr>
          <w:rFonts w:ascii="宋体" w:eastAsia="宋体" w:hAnsi="宋体" w:cs="Times New Roman"/>
          <w:sz w:val="24"/>
        </w:rPr>
      </w:pPr>
    </w:p>
    <w:p w:rsidR="003A4806" w:rsidRDefault="00850EAB" w:rsidP="00B44A0D">
      <w:pPr>
        <w:spacing w:beforeLines="30" w:before="93" w:afterLines="30" w:after="93" w:line="360" w:lineRule="auto"/>
        <w:ind w:firstLineChars="200" w:firstLine="482"/>
        <w:rPr>
          <w:rFonts w:asciiTheme="minorEastAsia" w:hAnsiTheme="minorEastAsia" w:cs="Times New Roman"/>
          <w:b/>
          <w:sz w:val="24"/>
        </w:rPr>
      </w:pPr>
      <w:r w:rsidRPr="00F67C43">
        <w:rPr>
          <w:rFonts w:asciiTheme="minorEastAsia" w:hAnsiTheme="minorEastAsia" w:cs="Times New Roman" w:hint="eastAsia"/>
          <w:b/>
          <w:sz w:val="24"/>
        </w:rPr>
        <w:t>一、</w:t>
      </w:r>
      <w:r w:rsidR="00675AC6">
        <w:rPr>
          <w:rFonts w:asciiTheme="minorEastAsia" w:hAnsiTheme="minorEastAsia" w:cs="Times New Roman" w:hint="eastAsia"/>
          <w:b/>
          <w:sz w:val="24"/>
        </w:rPr>
        <w:t>本次增资</w:t>
      </w:r>
      <w:r w:rsidRPr="00F67C43">
        <w:rPr>
          <w:rFonts w:asciiTheme="minorEastAsia" w:hAnsiTheme="minorEastAsia" w:cs="Times New Roman" w:hint="eastAsia"/>
          <w:b/>
          <w:sz w:val="24"/>
        </w:rPr>
        <w:t>基本情况</w:t>
      </w:r>
    </w:p>
    <w:p w:rsidR="00FB030F" w:rsidRPr="00FB030F" w:rsidRDefault="00FB030F" w:rsidP="00FB030F">
      <w:pPr>
        <w:autoSpaceDE w:val="0"/>
        <w:autoSpaceDN w:val="0"/>
        <w:adjustRightInd w:val="0"/>
        <w:spacing w:line="360" w:lineRule="auto"/>
        <w:ind w:rightChars="-68" w:right="-143" w:firstLineChars="200" w:firstLine="480"/>
        <w:rPr>
          <w:rFonts w:ascii="宋体" w:eastAsia="宋体" w:hAnsi="宋体" w:cs="Times New Roman"/>
          <w:sz w:val="24"/>
        </w:rPr>
      </w:pPr>
      <w:r w:rsidRPr="00FB030F">
        <w:rPr>
          <w:rFonts w:ascii="宋体" w:eastAsia="宋体" w:hAnsi="宋体" w:cs="Times New Roman" w:hint="eastAsia"/>
          <w:sz w:val="24"/>
        </w:rPr>
        <w:t>经中国证券监督管理委员会《关于核准江苏吴中实业股份有限公司向毕红芬等发行股份购买资产并募集配套资金的批复》（证监许可[2016]1448号）核准，公司获准非公开发行不超过34,324,942股新股募集本次发行股份购买资产的配套资金（以下简称“本次发行”）。本次发行实际发行数量为 34,305,300 股，发行对象为 6 名，发行价格为 17.49 元/股，募集资金总额为人民币 599,999,697.00 元，扣除发行费用合计人民币19,935,839.01元后,本次募集资金净额为人民币580,063,857.99 元。</w:t>
      </w:r>
    </w:p>
    <w:p w:rsidR="00FB030F" w:rsidRDefault="00FB030F" w:rsidP="00FB030F">
      <w:pPr>
        <w:autoSpaceDE w:val="0"/>
        <w:autoSpaceDN w:val="0"/>
        <w:adjustRightInd w:val="0"/>
        <w:spacing w:line="360" w:lineRule="auto"/>
        <w:ind w:rightChars="-68" w:right="-143" w:firstLineChars="200" w:firstLine="480"/>
        <w:rPr>
          <w:rFonts w:ascii="宋体" w:eastAsia="宋体" w:hAnsi="宋体" w:cs="Times New Roman"/>
          <w:sz w:val="24"/>
        </w:rPr>
      </w:pPr>
      <w:r w:rsidRPr="00FB030F">
        <w:rPr>
          <w:rFonts w:ascii="宋体" w:eastAsia="宋体" w:hAnsi="宋体" w:cs="Times New Roman" w:hint="eastAsia"/>
          <w:sz w:val="24"/>
        </w:rPr>
        <w:t>2016 年 9 月 29 日经立信会计师事务所（特殊普通合伙）审验，并出具《验资报告》（信会师报字[2016]第116251号）验证，确认本次募集资金已到账。</w:t>
      </w:r>
      <w:r w:rsidR="00A67016" w:rsidRPr="00A67016">
        <w:rPr>
          <w:rFonts w:ascii="宋体" w:eastAsia="宋体" w:hAnsi="宋体" w:cs="Times New Roman" w:hint="eastAsia"/>
          <w:sz w:val="24"/>
        </w:rPr>
        <w:t>公司对募集资金采取了专户存储制度。</w:t>
      </w:r>
    </w:p>
    <w:p w:rsidR="00FB030F" w:rsidRDefault="00675AC6" w:rsidP="00FB030F">
      <w:pPr>
        <w:autoSpaceDE w:val="0"/>
        <w:autoSpaceDN w:val="0"/>
        <w:adjustRightInd w:val="0"/>
        <w:spacing w:line="360" w:lineRule="auto"/>
        <w:ind w:rightChars="-68" w:right="-143" w:firstLineChars="200" w:firstLine="480"/>
        <w:rPr>
          <w:rFonts w:ascii="宋体" w:eastAsia="宋体" w:hAnsi="宋体" w:cs="Times New Roman"/>
          <w:sz w:val="24"/>
        </w:rPr>
      </w:pPr>
      <w:r w:rsidRPr="00675AC6">
        <w:rPr>
          <w:rFonts w:ascii="宋体" w:eastAsia="宋体" w:hAnsi="宋体" w:cs="Times New Roman" w:hint="eastAsia"/>
          <w:sz w:val="24"/>
        </w:rPr>
        <w:t>根据</w:t>
      </w:r>
      <w:r w:rsidR="008B14C6">
        <w:rPr>
          <w:rFonts w:ascii="宋体" w:eastAsia="宋体" w:hAnsi="宋体" w:cs="Times New Roman" w:hint="eastAsia"/>
          <w:sz w:val="24"/>
        </w:rPr>
        <w:t>《</w:t>
      </w:r>
      <w:r w:rsidRPr="00675AC6">
        <w:rPr>
          <w:rFonts w:ascii="宋体" w:eastAsia="宋体" w:hAnsi="宋体" w:cs="Times New Roman" w:hint="eastAsia"/>
          <w:sz w:val="24"/>
        </w:rPr>
        <w:t>江苏吴中实业股份有限公司发行股份及支付现金购买资产并募集配套</w:t>
      </w:r>
      <w:r w:rsidRPr="00675AC6">
        <w:rPr>
          <w:rFonts w:ascii="宋体" w:eastAsia="宋体" w:hAnsi="宋体" w:cs="Times New Roman" w:hint="eastAsia"/>
          <w:sz w:val="24"/>
        </w:rPr>
        <w:lastRenderedPageBreak/>
        <w:t>资金报告书（修订稿）</w:t>
      </w:r>
      <w:r w:rsidR="008B14C6">
        <w:rPr>
          <w:rFonts w:ascii="宋体" w:eastAsia="宋体" w:hAnsi="宋体" w:cs="Times New Roman" w:hint="eastAsia"/>
          <w:sz w:val="24"/>
        </w:rPr>
        <w:t>》</w:t>
      </w:r>
      <w:r w:rsidR="004C71A4" w:rsidRPr="00675AC6">
        <w:rPr>
          <w:rFonts w:ascii="宋体" w:eastAsia="宋体" w:hAnsi="宋体" w:cs="Times New Roman" w:hint="eastAsia"/>
          <w:sz w:val="24"/>
        </w:rPr>
        <w:t>全文</w:t>
      </w:r>
      <w:r w:rsidR="008B14C6">
        <w:rPr>
          <w:rFonts w:ascii="宋体" w:eastAsia="宋体" w:hAnsi="宋体" w:cs="Times New Roman" w:hint="eastAsia"/>
          <w:sz w:val="24"/>
        </w:rPr>
        <w:t>，本次</w:t>
      </w:r>
      <w:r w:rsidR="002E1D9A">
        <w:rPr>
          <w:rFonts w:ascii="宋体" w:eastAsia="宋体" w:hAnsi="宋体" w:cs="Times New Roman" w:hint="eastAsia"/>
          <w:sz w:val="24"/>
        </w:rPr>
        <w:t>募集</w:t>
      </w:r>
      <w:r w:rsidR="008B14C6">
        <w:rPr>
          <w:rFonts w:ascii="宋体" w:eastAsia="宋体" w:hAnsi="宋体" w:cs="Times New Roman" w:hint="eastAsia"/>
          <w:sz w:val="24"/>
        </w:rPr>
        <w:t>配套资金用于以下项目：</w:t>
      </w:r>
    </w:p>
    <w:p w:rsidR="008B14C6" w:rsidRPr="002E1D9A" w:rsidRDefault="008B14C6" w:rsidP="00D83C11">
      <w:pPr>
        <w:autoSpaceDE w:val="0"/>
        <w:autoSpaceDN w:val="0"/>
        <w:adjustRightInd w:val="0"/>
        <w:spacing w:line="360" w:lineRule="auto"/>
        <w:ind w:rightChars="-24" w:right="-50" w:firstLineChars="200" w:firstLine="480"/>
        <w:jc w:val="right"/>
        <w:rPr>
          <w:rFonts w:ascii="宋体" w:eastAsia="宋体" w:hAnsi="宋体" w:cs="Times New Roman"/>
          <w:sz w:val="24"/>
        </w:rPr>
      </w:pPr>
      <w:r w:rsidRPr="002E1D9A">
        <w:rPr>
          <w:rFonts w:ascii="宋体" w:eastAsia="宋体" w:hAnsi="宋体" w:cs="Times New Roman" w:hint="eastAsia"/>
          <w:sz w:val="24"/>
        </w:rPr>
        <w:t>单位：</w:t>
      </w:r>
      <w:r w:rsidR="00A3139C">
        <w:rPr>
          <w:rFonts w:ascii="宋体" w:eastAsia="宋体" w:hAnsi="宋体" w:cs="Times New Roman" w:hint="eastAsia"/>
          <w:sz w:val="24"/>
        </w:rPr>
        <w:t>人民币</w:t>
      </w:r>
      <w:r w:rsidRPr="002E1D9A">
        <w:rPr>
          <w:rFonts w:ascii="宋体" w:eastAsia="宋体" w:hAnsi="宋体" w:cs="Times New Roman" w:hint="eastAsia"/>
          <w:sz w:val="24"/>
        </w:rPr>
        <w:t>万元</w:t>
      </w:r>
    </w:p>
    <w:tbl>
      <w:tblPr>
        <w:tblW w:w="48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0"/>
        <w:gridCol w:w="3207"/>
        <w:gridCol w:w="4488"/>
      </w:tblGrid>
      <w:tr w:rsidR="008B14C6" w:rsidRPr="00D83C11" w:rsidTr="00D83C11">
        <w:trPr>
          <w:trHeight w:val="263"/>
          <w:jc w:val="center"/>
        </w:trPr>
        <w:tc>
          <w:tcPr>
            <w:tcW w:w="384" w:type="pct"/>
            <w:vAlign w:val="center"/>
          </w:tcPr>
          <w:p w:rsidR="008B14C6" w:rsidRPr="00D83C11" w:rsidRDefault="008B14C6" w:rsidP="00D83C11">
            <w:pPr>
              <w:spacing w:beforeLines="15" w:before="46" w:afterLines="15" w:after="46"/>
              <w:jc w:val="center"/>
              <w:rPr>
                <w:rFonts w:asciiTheme="minorEastAsia" w:hAnsiTheme="minorEastAsia"/>
                <w:szCs w:val="21"/>
              </w:rPr>
            </w:pPr>
            <w:r w:rsidRPr="00D83C11">
              <w:rPr>
                <w:rFonts w:asciiTheme="minorEastAsia" w:hAnsiTheme="minorEastAsia" w:hint="eastAsia"/>
                <w:szCs w:val="21"/>
              </w:rPr>
              <w:t>序号</w:t>
            </w:r>
          </w:p>
        </w:tc>
        <w:tc>
          <w:tcPr>
            <w:tcW w:w="1924" w:type="pct"/>
          </w:tcPr>
          <w:p w:rsidR="008B14C6" w:rsidRPr="00D83C11" w:rsidRDefault="008B14C6" w:rsidP="00D83C11">
            <w:pPr>
              <w:spacing w:beforeLines="15" w:before="46" w:afterLines="15" w:after="46"/>
              <w:jc w:val="center"/>
              <w:rPr>
                <w:rFonts w:asciiTheme="minorEastAsia" w:hAnsiTheme="minorEastAsia"/>
                <w:szCs w:val="21"/>
              </w:rPr>
            </w:pPr>
            <w:r w:rsidRPr="00D83C11">
              <w:rPr>
                <w:rFonts w:asciiTheme="minorEastAsia" w:hAnsiTheme="minorEastAsia" w:hint="eastAsia"/>
                <w:szCs w:val="21"/>
              </w:rPr>
              <w:t>募集</w:t>
            </w:r>
            <w:r w:rsidR="002E1D9A" w:rsidRPr="00D83C11">
              <w:rPr>
                <w:rFonts w:asciiTheme="minorEastAsia" w:hAnsiTheme="minorEastAsia" w:hint="eastAsia"/>
                <w:szCs w:val="21"/>
              </w:rPr>
              <w:t>配套</w:t>
            </w:r>
            <w:r w:rsidRPr="00D83C11">
              <w:rPr>
                <w:rFonts w:asciiTheme="minorEastAsia" w:hAnsiTheme="minorEastAsia" w:hint="eastAsia"/>
                <w:szCs w:val="21"/>
              </w:rPr>
              <w:t>资金用途</w:t>
            </w:r>
          </w:p>
        </w:tc>
        <w:tc>
          <w:tcPr>
            <w:tcW w:w="2692" w:type="pct"/>
            <w:vAlign w:val="center"/>
          </w:tcPr>
          <w:p w:rsidR="008B14C6" w:rsidRPr="00D83C11" w:rsidRDefault="008B14C6" w:rsidP="00D83C11">
            <w:pPr>
              <w:spacing w:beforeLines="15" w:before="46" w:afterLines="15" w:after="46"/>
              <w:jc w:val="center"/>
              <w:rPr>
                <w:rFonts w:asciiTheme="minorEastAsia" w:hAnsiTheme="minorEastAsia"/>
                <w:bCs/>
                <w:szCs w:val="21"/>
              </w:rPr>
            </w:pPr>
            <w:r w:rsidRPr="00D83C11">
              <w:rPr>
                <w:rFonts w:asciiTheme="minorEastAsia" w:hAnsiTheme="minorEastAsia" w:hint="eastAsia"/>
                <w:bCs/>
                <w:szCs w:val="21"/>
              </w:rPr>
              <w:t>金额</w:t>
            </w:r>
          </w:p>
        </w:tc>
      </w:tr>
      <w:tr w:rsidR="008B14C6" w:rsidRPr="00D83C11" w:rsidTr="00D83C11">
        <w:trPr>
          <w:trHeight w:val="263"/>
          <w:jc w:val="center"/>
        </w:trPr>
        <w:tc>
          <w:tcPr>
            <w:tcW w:w="384" w:type="pct"/>
            <w:vAlign w:val="center"/>
          </w:tcPr>
          <w:p w:rsidR="008B14C6" w:rsidRPr="00D83C11" w:rsidRDefault="008B14C6" w:rsidP="00D83C11">
            <w:pPr>
              <w:spacing w:beforeLines="15" w:before="46" w:afterLines="15" w:after="46"/>
              <w:jc w:val="center"/>
              <w:rPr>
                <w:rFonts w:asciiTheme="minorEastAsia" w:hAnsiTheme="minorEastAsia"/>
                <w:szCs w:val="21"/>
              </w:rPr>
            </w:pPr>
            <w:r w:rsidRPr="00D83C11">
              <w:rPr>
                <w:rFonts w:asciiTheme="minorEastAsia" w:hAnsiTheme="minorEastAsia" w:hint="eastAsia"/>
                <w:szCs w:val="21"/>
              </w:rPr>
              <w:t>1</w:t>
            </w:r>
          </w:p>
        </w:tc>
        <w:tc>
          <w:tcPr>
            <w:tcW w:w="1924" w:type="pct"/>
            <w:vAlign w:val="center"/>
          </w:tcPr>
          <w:p w:rsidR="008B14C6" w:rsidRPr="00D83C11" w:rsidRDefault="008B14C6" w:rsidP="00D83C11">
            <w:pPr>
              <w:spacing w:beforeLines="15" w:before="46" w:afterLines="15" w:after="46"/>
              <w:rPr>
                <w:rFonts w:asciiTheme="minorEastAsia" w:hAnsiTheme="minorEastAsia"/>
                <w:bCs/>
                <w:szCs w:val="21"/>
              </w:rPr>
            </w:pPr>
            <w:r w:rsidRPr="00D83C11">
              <w:rPr>
                <w:rFonts w:asciiTheme="minorEastAsia" w:hAnsiTheme="minorEastAsia" w:hint="eastAsia"/>
                <w:bCs/>
                <w:szCs w:val="21"/>
              </w:rPr>
              <w:t>支付现金对价</w:t>
            </w:r>
          </w:p>
        </w:tc>
        <w:tc>
          <w:tcPr>
            <w:tcW w:w="2692" w:type="pct"/>
            <w:vAlign w:val="center"/>
          </w:tcPr>
          <w:p w:rsidR="008B14C6" w:rsidRPr="00D83C11" w:rsidRDefault="008B14C6" w:rsidP="00D83C11">
            <w:pPr>
              <w:spacing w:beforeLines="15" w:before="46" w:afterLines="15" w:after="46"/>
              <w:jc w:val="right"/>
              <w:rPr>
                <w:rFonts w:asciiTheme="minorEastAsia" w:hAnsiTheme="minorEastAsia"/>
                <w:bCs/>
                <w:szCs w:val="21"/>
              </w:rPr>
            </w:pPr>
            <w:r w:rsidRPr="00D83C11">
              <w:rPr>
                <w:rFonts w:asciiTheme="minorEastAsia" w:hAnsiTheme="minorEastAsia" w:hint="eastAsia"/>
                <w:bCs/>
                <w:szCs w:val="21"/>
              </w:rPr>
              <w:t>20,000.00</w:t>
            </w:r>
          </w:p>
        </w:tc>
      </w:tr>
      <w:tr w:rsidR="008B14C6" w:rsidRPr="00D83C11" w:rsidTr="00D83C11">
        <w:trPr>
          <w:trHeight w:val="254"/>
          <w:jc w:val="center"/>
        </w:trPr>
        <w:tc>
          <w:tcPr>
            <w:tcW w:w="384" w:type="pct"/>
            <w:vAlign w:val="center"/>
          </w:tcPr>
          <w:p w:rsidR="008B14C6" w:rsidRPr="00D83C11" w:rsidRDefault="008B14C6" w:rsidP="00D83C11">
            <w:pPr>
              <w:spacing w:beforeLines="15" w:before="46" w:afterLines="15" w:after="46"/>
              <w:jc w:val="center"/>
              <w:rPr>
                <w:rFonts w:asciiTheme="minorEastAsia" w:hAnsiTheme="minorEastAsia"/>
                <w:szCs w:val="21"/>
              </w:rPr>
            </w:pPr>
            <w:r w:rsidRPr="00D83C11">
              <w:rPr>
                <w:rFonts w:asciiTheme="minorEastAsia" w:hAnsiTheme="minorEastAsia" w:hint="eastAsia"/>
                <w:szCs w:val="21"/>
              </w:rPr>
              <w:t>2</w:t>
            </w:r>
          </w:p>
        </w:tc>
        <w:tc>
          <w:tcPr>
            <w:tcW w:w="1924" w:type="pct"/>
            <w:vAlign w:val="center"/>
          </w:tcPr>
          <w:p w:rsidR="008B14C6" w:rsidRPr="00D83C11" w:rsidRDefault="008B14C6" w:rsidP="00D83C11">
            <w:pPr>
              <w:spacing w:beforeLines="15" w:before="46" w:afterLines="15" w:after="46"/>
              <w:rPr>
                <w:rFonts w:asciiTheme="minorEastAsia" w:hAnsiTheme="minorEastAsia"/>
                <w:bCs/>
                <w:szCs w:val="21"/>
              </w:rPr>
            </w:pPr>
            <w:r w:rsidRPr="00D83C11">
              <w:rPr>
                <w:rFonts w:asciiTheme="minorEastAsia" w:hAnsiTheme="minorEastAsia" w:hint="eastAsia"/>
                <w:szCs w:val="21"/>
              </w:rPr>
              <w:t>支付中介机构费用</w:t>
            </w:r>
          </w:p>
        </w:tc>
        <w:tc>
          <w:tcPr>
            <w:tcW w:w="2692" w:type="pct"/>
            <w:vAlign w:val="center"/>
          </w:tcPr>
          <w:p w:rsidR="008B14C6" w:rsidRPr="00D83C11" w:rsidRDefault="008B14C6" w:rsidP="00D83C11">
            <w:pPr>
              <w:spacing w:beforeLines="15" w:before="46" w:afterLines="15" w:after="46"/>
              <w:jc w:val="right"/>
              <w:rPr>
                <w:rFonts w:asciiTheme="minorEastAsia" w:hAnsiTheme="minorEastAsia"/>
                <w:bCs/>
                <w:szCs w:val="21"/>
              </w:rPr>
            </w:pPr>
            <w:r w:rsidRPr="00D83C11">
              <w:rPr>
                <w:rFonts w:asciiTheme="minorEastAsia" w:hAnsiTheme="minorEastAsia" w:hint="eastAsia"/>
                <w:szCs w:val="21"/>
              </w:rPr>
              <w:t>2,000.00</w:t>
            </w:r>
          </w:p>
        </w:tc>
      </w:tr>
      <w:tr w:rsidR="008B14C6" w:rsidRPr="00D83C11" w:rsidTr="00D83C11">
        <w:trPr>
          <w:trHeight w:val="263"/>
          <w:jc w:val="center"/>
        </w:trPr>
        <w:tc>
          <w:tcPr>
            <w:tcW w:w="384" w:type="pct"/>
            <w:vAlign w:val="center"/>
          </w:tcPr>
          <w:p w:rsidR="008B14C6" w:rsidRPr="00D83C11" w:rsidRDefault="008B14C6" w:rsidP="00D83C11">
            <w:pPr>
              <w:spacing w:beforeLines="15" w:before="46" w:afterLines="15" w:after="46"/>
              <w:jc w:val="center"/>
              <w:rPr>
                <w:rFonts w:asciiTheme="minorEastAsia" w:hAnsiTheme="minorEastAsia"/>
                <w:szCs w:val="21"/>
              </w:rPr>
            </w:pPr>
            <w:r w:rsidRPr="00D83C11">
              <w:rPr>
                <w:rFonts w:asciiTheme="minorEastAsia" w:hAnsiTheme="minorEastAsia" w:hint="eastAsia"/>
                <w:szCs w:val="21"/>
              </w:rPr>
              <w:t>3</w:t>
            </w:r>
          </w:p>
        </w:tc>
        <w:tc>
          <w:tcPr>
            <w:tcW w:w="1924" w:type="pct"/>
            <w:vAlign w:val="center"/>
          </w:tcPr>
          <w:p w:rsidR="008B14C6" w:rsidRPr="00D83C11" w:rsidRDefault="008B14C6" w:rsidP="00D83C11">
            <w:pPr>
              <w:spacing w:beforeLines="15" w:before="46" w:afterLines="15" w:after="46"/>
              <w:rPr>
                <w:rFonts w:asciiTheme="minorEastAsia" w:hAnsiTheme="minorEastAsia"/>
                <w:szCs w:val="21"/>
              </w:rPr>
            </w:pPr>
            <w:r w:rsidRPr="00D83C11">
              <w:rPr>
                <w:rFonts w:asciiTheme="minorEastAsia" w:hAnsiTheme="minorEastAsia" w:hint="eastAsia"/>
                <w:bCs/>
                <w:szCs w:val="21"/>
              </w:rPr>
              <w:t>二期项目</w:t>
            </w:r>
          </w:p>
        </w:tc>
        <w:tc>
          <w:tcPr>
            <w:tcW w:w="2692" w:type="pct"/>
            <w:vAlign w:val="center"/>
          </w:tcPr>
          <w:p w:rsidR="008B14C6" w:rsidRPr="00D83C11" w:rsidRDefault="008B14C6" w:rsidP="00D83C11">
            <w:pPr>
              <w:spacing w:beforeLines="15" w:before="46" w:afterLines="15" w:after="46"/>
              <w:jc w:val="right"/>
              <w:rPr>
                <w:rFonts w:asciiTheme="minorEastAsia" w:hAnsiTheme="minorEastAsia"/>
                <w:szCs w:val="21"/>
              </w:rPr>
            </w:pPr>
            <w:r w:rsidRPr="00D83C11">
              <w:rPr>
                <w:rFonts w:asciiTheme="minorEastAsia" w:hAnsiTheme="minorEastAsia" w:hint="eastAsia"/>
                <w:szCs w:val="21"/>
              </w:rPr>
              <w:t>35,000.00</w:t>
            </w:r>
          </w:p>
        </w:tc>
      </w:tr>
      <w:tr w:rsidR="008B14C6" w:rsidRPr="00D83C11" w:rsidTr="00D83C11">
        <w:trPr>
          <w:trHeight w:val="254"/>
          <w:jc w:val="center"/>
        </w:trPr>
        <w:tc>
          <w:tcPr>
            <w:tcW w:w="384" w:type="pct"/>
            <w:vAlign w:val="center"/>
          </w:tcPr>
          <w:p w:rsidR="008B14C6" w:rsidRPr="00D83C11" w:rsidRDefault="008B14C6" w:rsidP="00D83C11">
            <w:pPr>
              <w:spacing w:beforeLines="15" w:before="46" w:afterLines="15" w:after="46"/>
              <w:jc w:val="center"/>
              <w:rPr>
                <w:rFonts w:asciiTheme="minorEastAsia" w:hAnsiTheme="minorEastAsia"/>
                <w:szCs w:val="21"/>
              </w:rPr>
            </w:pPr>
            <w:r w:rsidRPr="00D83C11">
              <w:rPr>
                <w:rFonts w:asciiTheme="minorEastAsia" w:hAnsiTheme="minorEastAsia" w:hint="eastAsia"/>
                <w:szCs w:val="21"/>
              </w:rPr>
              <w:t>4</w:t>
            </w:r>
          </w:p>
        </w:tc>
        <w:tc>
          <w:tcPr>
            <w:tcW w:w="1924" w:type="pct"/>
            <w:vAlign w:val="center"/>
          </w:tcPr>
          <w:p w:rsidR="008B14C6" w:rsidRPr="00D83C11" w:rsidRDefault="008B14C6" w:rsidP="00D83C11">
            <w:pPr>
              <w:spacing w:beforeLines="15" w:before="46" w:afterLines="15" w:after="46"/>
              <w:rPr>
                <w:rFonts w:asciiTheme="minorEastAsia" w:hAnsiTheme="minorEastAsia"/>
                <w:szCs w:val="21"/>
              </w:rPr>
            </w:pPr>
            <w:r w:rsidRPr="00D83C11">
              <w:rPr>
                <w:rFonts w:asciiTheme="minorEastAsia" w:hAnsiTheme="minorEastAsia" w:hint="eastAsia"/>
                <w:szCs w:val="21"/>
              </w:rPr>
              <w:t>补充响水</w:t>
            </w:r>
            <w:proofErr w:type="gramStart"/>
            <w:r w:rsidRPr="00D83C11">
              <w:rPr>
                <w:rFonts w:asciiTheme="minorEastAsia" w:hAnsiTheme="minorEastAsia" w:hint="eastAsia"/>
                <w:szCs w:val="21"/>
              </w:rPr>
              <w:t>恒</w:t>
            </w:r>
            <w:proofErr w:type="gramEnd"/>
            <w:r w:rsidRPr="00D83C11">
              <w:rPr>
                <w:rFonts w:asciiTheme="minorEastAsia" w:hAnsiTheme="minorEastAsia" w:hint="eastAsia"/>
                <w:szCs w:val="21"/>
              </w:rPr>
              <w:t>利达营运资金</w:t>
            </w:r>
          </w:p>
        </w:tc>
        <w:tc>
          <w:tcPr>
            <w:tcW w:w="2692" w:type="pct"/>
            <w:vAlign w:val="center"/>
          </w:tcPr>
          <w:p w:rsidR="008B14C6" w:rsidRPr="00D83C11" w:rsidRDefault="008B14C6" w:rsidP="00D83C11">
            <w:pPr>
              <w:spacing w:beforeLines="15" w:before="46" w:afterLines="15" w:after="46"/>
              <w:jc w:val="right"/>
              <w:rPr>
                <w:rFonts w:asciiTheme="minorEastAsia" w:hAnsiTheme="minorEastAsia"/>
                <w:szCs w:val="21"/>
              </w:rPr>
            </w:pPr>
            <w:r w:rsidRPr="00D83C11">
              <w:rPr>
                <w:rFonts w:asciiTheme="minorEastAsia" w:hAnsiTheme="minorEastAsia" w:hint="eastAsia"/>
                <w:szCs w:val="21"/>
              </w:rPr>
              <w:t>3,000.00</w:t>
            </w:r>
          </w:p>
        </w:tc>
      </w:tr>
      <w:tr w:rsidR="008B14C6" w:rsidRPr="00D83C11" w:rsidTr="00D83C11">
        <w:trPr>
          <w:trHeight w:val="273"/>
          <w:jc w:val="center"/>
        </w:trPr>
        <w:tc>
          <w:tcPr>
            <w:tcW w:w="2308" w:type="pct"/>
            <w:gridSpan w:val="2"/>
            <w:vAlign w:val="center"/>
          </w:tcPr>
          <w:p w:rsidR="008B14C6" w:rsidRPr="00D83C11" w:rsidRDefault="008B14C6" w:rsidP="00D83C11">
            <w:pPr>
              <w:spacing w:beforeLines="15" w:before="46" w:afterLines="15" w:after="46"/>
              <w:jc w:val="center"/>
              <w:rPr>
                <w:rFonts w:asciiTheme="minorEastAsia" w:hAnsiTheme="minorEastAsia"/>
                <w:szCs w:val="21"/>
              </w:rPr>
            </w:pPr>
            <w:r w:rsidRPr="00D83C11">
              <w:rPr>
                <w:rFonts w:asciiTheme="minorEastAsia" w:hAnsiTheme="minorEastAsia" w:hint="eastAsia"/>
                <w:szCs w:val="21"/>
              </w:rPr>
              <w:t>合计</w:t>
            </w:r>
          </w:p>
        </w:tc>
        <w:tc>
          <w:tcPr>
            <w:tcW w:w="2692" w:type="pct"/>
            <w:vAlign w:val="center"/>
          </w:tcPr>
          <w:p w:rsidR="008B14C6" w:rsidRPr="00D83C11" w:rsidRDefault="008B14C6" w:rsidP="00D83C11">
            <w:pPr>
              <w:spacing w:beforeLines="15" w:before="46" w:afterLines="15" w:after="46"/>
              <w:jc w:val="right"/>
              <w:rPr>
                <w:rFonts w:asciiTheme="minorEastAsia" w:hAnsiTheme="minorEastAsia"/>
                <w:szCs w:val="21"/>
              </w:rPr>
            </w:pPr>
            <w:r w:rsidRPr="00D83C11">
              <w:rPr>
                <w:rFonts w:asciiTheme="minorEastAsia" w:hAnsiTheme="minorEastAsia" w:hint="eastAsia"/>
                <w:szCs w:val="21"/>
              </w:rPr>
              <w:t>60,000.00</w:t>
            </w:r>
          </w:p>
        </w:tc>
      </w:tr>
    </w:tbl>
    <w:p w:rsidR="00830522" w:rsidRDefault="00830522" w:rsidP="00E372B1">
      <w:pPr>
        <w:spacing w:line="336" w:lineRule="auto"/>
        <w:ind w:firstLine="540"/>
        <w:rPr>
          <w:rFonts w:ascii="宋体" w:eastAsia="宋体" w:hAnsi="宋体" w:cs="Times New Roman"/>
          <w:sz w:val="24"/>
        </w:rPr>
      </w:pPr>
      <w:r w:rsidRPr="000712EC">
        <w:rPr>
          <w:rFonts w:ascii="宋体" w:eastAsia="宋体" w:hAnsi="宋体" w:cs="Times New Roman" w:hint="eastAsia"/>
          <w:sz w:val="24"/>
        </w:rPr>
        <w:t>为了实现</w:t>
      </w:r>
      <w:proofErr w:type="gramStart"/>
      <w:r w:rsidRPr="000712EC">
        <w:rPr>
          <w:rFonts w:ascii="宋体" w:eastAsia="宋体" w:hAnsi="宋体" w:cs="Times New Roman" w:hint="eastAsia"/>
          <w:sz w:val="24"/>
        </w:rPr>
        <w:t>募投项目</w:t>
      </w:r>
      <w:proofErr w:type="gramEnd"/>
      <w:r w:rsidRPr="000712EC">
        <w:rPr>
          <w:rFonts w:ascii="宋体" w:eastAsia="宋体" w:hAnsi="宋体" w:cs="Times New Roman" w:hint="eastAsia"/>
          <w:sz w:val="24"/>
        </w:rPr>
        <w:t>按计划建设投产，公司使用募集配套资金向全资子公司响水</w:t>
      </w:r>
      <w:proofErr w:type="gramStart"/>
      <w:r w:rsidRPr="000712EC">
        <w:rPr>
          <w:rFonts w:ascii="宋体" w:eastAsia="宋体" w:hAnsi="宋体" w:cs="Times New Roman" w:hint="eastAsia"/>
          <w:sz w:val="24"/>
        </w:rPr>
        <w:t>恒</w:t>
      </w:r>
      <w:proofErr w:type="gramEnd"/>
      <w:r w:rsidRPr="000712EC">
        <w:rPr>
          <w:rFonts w:ascii="宋体" w:eastAsia="宋体" w:hAnsi="宋体" w:cs="Times New Roman" w:hint="eastAsia"/>
          <w:sz w:val="24"/>
        </w:rPr>
        <w:t>利达科技化工有限公司（以下简称“恒利达”）增资人民币30,000万元，用于二期项目建设。具体增资方案为30,000万元计入实收资本。</w:t>
      </w:r>
      <w:proofErr w:type="gramStart"/>
      <w:r w:rsidRPr="000712EC">
        <w:rPr>
          <w:rFonts w:ascii="宋体" w:eastAsia="宋体" w:hAnsi="宋体" w:cs="Times New Roman" w:hint="eastAsia"/>
          <w:sz w:val="24"/>
        </w:rPr>
        <w:t>恒</w:t>
      </w:r>
      <w:proofErr w:type="gramEnd"/>
      <w:r w:rsidRPr="000712EC">
        <w:rPr>
          <w:rFonts w:ascii="宋体" w:eastAsia="宋体" w:hAnsi="宋体" w:cs="Times New Roman" w:hint="eastAsia"/>
          <w:sz w:val="24"/>
        </w:rPr>
        <w:t>利达的注册资本由人民币11,300万元增加至人民币41,300万元。</w:t>
      </w:r>
    </w:p>
    <w:p w:rsidR="00E372B1" w:rsidRPr="00011454" w:rsidRDefault="00E372B1" w:rsidP="00E372B1">
      <w:pPr>
        <w:spacing w:line="336" w:lineRule="auto"/>
        <w:ind w:firstLine="540"/>
        <w:rPr>
          <w:rFonts w:asciiTheme="minorEastAsia" w:hAnsiTheme="minorEastAsia" w:cs="Times New Roman"/>
          <w:b/>
          <w:sz w:val="24"/>
        </w:rPr>
      </w:pPr>
      <w:r w:rsidRPr="00011454">
        <w:rPr>
          <w:rFonts w:ascii="宋体" w:eastAsia="宋体" w:hAnsi="宋体" w:cs="Times New Roman" w:hint="eastAsia"/>
          <w:sz w:val="24"/>
        </w:rPr>
        <w:t>本次增资前后，本公司缴纳的注册资本及持股比例如下：</w:t>
      </w:r>
    </w:p>
    <w:tbl>
      <w:tblPr>
        <w:tblStyle w:val="1"/>
        <w:tblW w:w="8350" w:type="dxa"/>
        <w:jc w:val="right"/>
        <w:tblLayout w:type="fixed"/>
        <w:tblLook w:val="04A0" w:firstRow="1" w:lastRow="0" w:firstColumn="1" w:lastColumn="0" w:noHBand="0" w:noVBand="1"/>
      </w:tblPr>
      <w:tblGrid>
        <w:gridCol w:w="1668"/>
        <w:gridCol w:w="1494"/>
        <w:gridCol w:w="900"/>
        <w:gridCol w:w="1842"/>
        <w:gridCol w:w="1652"/>
        <w:gridCol w:w="794"/>
      </w:tblGrid>
      <w:tr w:rsidR="00E372B1" w:rsidRPr="00D83C11" w:rsidTr="00C707B2">
        <w:trPr>
          <w:trHeight w:val="70"/>
          <w:jc w:val="right"/>
        </w:trPr>
        <w:tc>
          <w:tcPr>
            <w:tcW w:w="1668" w:type="dxa"/>
            <w:vMerge w:val="restart"/>
            <w:tcBorders>
              <w:bottom w:val="nil"/>
            </w:tcBorders>
            <w:vAlign w:val="center"/>
          </w:tcPr>
          <w:p w:rsidR="00E372B1" w:rsidRPr="00D83C11" w:rsidRDefault="00E372B1" w:rsidP="00D83C11">
            <w:pPr>
              <w:spacing w:beforeLines="15" w:before="46" w:afterLines="15" w:after="46"/>
              <w:jc w:val="center"/>
              <w:rPr>
                <w:rFonts w:ascii="Times New Roman" w:hAnsi="Times New Roman"/>
                <w:szCs w:val="21"/>
              </w:rPr>
            </w:pPr>
            <w:r w:rsidRPr="00D83C11">
              <w:rPr>
                <w:rFonts w:ascii="Times New Roman" w:hAnsi="Times New Roman" w:hint="eastAsia"/>
                <w:szCs w:val="21"/>
              </w:rPr>
              <w:t>股东名册</w:t>
            </w:r>
          </w:p>
        </w:tc>
        <w:tc>
          <w:tcPr>
            <w:tcW w:w="2394" w:type="dxa"/>
            <w:gridSpan w:val="2"/>
            <w:vAlign w:val="center"/>
          </w:tcPr>
          <w:p w:rsidR="00E372B1" w:rsidRPr="00D83C11" w:rsidRDefault="00E372B1" w:rsidP="00D83C11">
            <w:pPr>
              <w:spacing w:beforeLines="15" w:before="46" w:afterLines="15" w:after="46"/>
              <w:jc w:val="center"/>
              <w:rPr>
                <w:rFonts w:ascii="Times New Roman" w:hAnsi="Times New Roman"/>
                <w:szCs w:val="21"/>
              </w:rPr>
            </w:pPr>
            <w:r w:rsidRPr="00D83C11">
              <w:rPr>
                <w:rFonts w:ascii="Times New Roman" w:hAnsi="Times New Roman" w:hint="eastAsia"/>
                <w:szCs w:val="21"/>
              </w:rPr>
              <w:t>增资前注册资本</w:t>
            </w:r>
          </w:p>
        </w:tc>
        <w:tc>
          <w:tcPr>
            <w:tcW w:w="1842" w:type="dxa"/>
            <w:vMerge w:val="restart"/>
            <w:vAlign w:val="center"/>
          </w:tcPr>
          <w:p w:rsidR="00E372B1" w:rsidRPr="00D83C11" w:rsidRDefault="00E372B1" w:rsidP="00D83C11">
            <w:pPr>
              <w:spacing w:beforeLines="15" w:before="46" w:afterLines="15" w:after="46"/>
              <w:jc w:val="center"/>
              <w:rPr>
                <w:rFonts w:ascii="Times New Roman" w:hAnsi="Times New Roman"/>
                <w:szCs w:val="21"/>
              </w:rPr>
            </w:pPr>
            <w:r w:rsidRPr="00D83C11">
              <w:rPr>
                <w:rFonts w:ascii="Times New Roman" w:hAnsi="Times New Roman" w:hint="eastAsia"/>
                <w:szCs w:val="21"/>
              </w:rPr>
              <w:t>增加的注册资本（万元）</w:t>
            </w:r>
          </w:p>
        </w:tc>
        <w:tc>
          <w:tcPr>
            <w:tcW w:w="2446" w:type="dxa"/>
            <w:gridSpan w:val="2"/>
            <w:vAlign w:val="center"/>
          </w:tcPr>
          <w:p w:rsidR="00E372B1" w:rsidRPr="00D83C11" w:rsidRDefault="00E372B1" w:rsidP="00D83C11">
            <w:pPr>
              <w:spacing w:beforeLines="15" w:before="46" w:afterLines="15" w:after="46"/>
              <w:jc w:val="center"/>
              <w:rPr>
                <w:rFonts w:ascii="Times New Roman" w:hAnsi="Times New Roman"/>
                <w:szCs w:val="21"/>
              </w:rPr>
            </w:pPr>
            <w:r w:rsidRPr="00D83C11">
              <w:rPr>
                <w:rFonts w:ascii="Times New Roman" w:hAnsi="Times New Roman" w:hint="eastAsia"/>
                <w:szCs w:val="21"/>
              </w:rPr>
              <w:t>增资后注册资本</w:t>
            </w:r>
          </w:p>
        </w:tc>
      </w:tr>
      <w:tr w:rsidR="00E372B1" w:rsidRPr="00D83C11" w:rsidTr="00C707B2">
        <w:trPr>
          <w:trHeight w:val="70"/>
          <w:jc w:val="right"/>
        </w:trPr>
        <w:tc>
          <w:tcPr>
            <w:tcW w:w="1668" w:type="dxa"/>
            <w:vMerge/>
            <w:tcBorders>
              <w:bottom w:val="single" w:sz="4" w:space="0" w:color="auto"/>
            </w:tcBorders>
            <w:vAlign w:val="center"/>
          </w:tcPr>
          <w:p w:rsidR="00E372B1" w:rsidRPr="00D83C11" w:rsidRDefault="00E372B1" w:rsidP="00D83C11">
            <w:pPr>
              <w:spacing w:beforeLines="15" w:before="46" w:afterLines="15" w:after="46"/>
              <w:jc w:val="center"/>
              <w:rPr>
                <w:rFonts w:ascii="Times New Roman" w:hAnsi="Times New Roman"/>
                <w:szCs w:val="21"/>
              </w:rPr>
            </w:pPr>
          </w:p>
        </w:tc>
        <w:tc>
          <w:tcPr>
            <w:tcW w:w="1494" w:type="dxa"/>
            <w:vAlign w:val="center"/>
          </w:tcPr>
          <w:p w:rsidR="00E372B1" w:rsidRPr="00D83C11" w:rsidRDefault="00E372B1" w:rsidP="00D83C11">
            <w:pPr>
              <w:spacing w:beforeLines="15" w:before="46" w:afterLines="15" w:after="46"/>
              <w:jc w:val="center"/>
              <w:rPr>
                <w:rFonts w:ascii="Times New Roman" w:hAnsi="Times New Roman"/>
                <w:szCs w:val="21"/>
              </w:rPr>
            </w:pPr>
            <w:r w:rsidRPr="00D83C11">
              <w:rPr>
                <w:rFonts w:ascii="Times New Roman" w:hAnsi="Times New Roman" w:hint="eastAsia"/>
                <w:szCs w:val="21"/>
              </w:rPr>
              <w:t>金额（万元）</w:t>
            </w:r>
          </w:p>
        </w:tc>
        <w:tc>
          <w:tcPr>
            <w:tcW w:w="900" w:type="dxa"/>
            <w:vAlign w:val="center"/>
          </w:tcPr>
          <w:p w:rsidR="00E372B1" w:rsidRPr="00D83C11" w:rsidRDefault="00E372B1" w:rsidP="00D83C11">
            <w:pPr>
              <w:spacing w:beforeLines="15" w:before="46" w:afterLines="15" w:after="46"/>
              <w:jc w:val="center"/>
              <w:rPr>
                <w:rFonts w:ascii="Times New Roman" w:hAnsi="Times New Roman"/>
                <w:szCs w:val="21"/>
              </w:rPr>
            </w:pPr>
            <w:r w:rsidRPr="00D83C11">
              <w:rPr>
                <w:rFonts w:ascii="Times New Roman" w:hAnsi="Times New Roman" w:hint="eastAsia"/>
                <w:szCs w:val="21"/>
              </w:rPr>
              <w:t>比例</w:t>
            </w:r>
          </w:p>
        </w:tc>
        <w:tc>
          <w:tcPr>
            <w:tcW w:w="1842" w:type="dxa"/>
            <w:vMerge/>
            <w:vAlign w:val="center"/>
          </w:tcPr>
          <w:p w:rsidR="00E372B1" w:rsidRPr="00D83C11" w:rsidRDefault="00E372B1" w:rsidP="00D83C11">
            <w:pPr>
              <w:spacing w:beforeLines="15" w:before="46" w:afterLines="15" w:after="46"/>
              <w:jc w:val="center"/>
              <w:rPr>
                <w:rFonts w:ascii="Times New Roman" w:hAnsi="Times New Roman"/>
                <w:szCs w:val="21"/>
              </w:rPr>
            </w:pPr>
          </w:p>
        </w:tc>
        <w:tc>
          <w:tcPr>
            <w:tcW w:w="1652" w:type="dxa"/>
            <w:vAlign w:val="center"/>
          </w:tcPr>
          <w:p w:rsidR="00E372B1" w:rsidRPr="00D83C11" w:rsidRDefault="00E372B1" w:rsidP="00D83C11">
            <w:pPr>
              <w:spacing w:beforeLines="15" w:before="46" w:afterLines="15" w:after="46"/>
              <w:jc w:val="center"/>
              <w:rPr>
                <w:rFonts w:ascii="Times New Roman" w:hAnsi="Times New Roman"/>
                <w:szCs w:val="21"/>
              </w:rPr>
            </w:pPr>
            <w:r w:rsidRPr="00D83C11">
              <w:rPr>
                <w:rFonts w:ascii="Times New Roman" w:hAnsi="Times New Roman" w:hint="eastAsia"/>
                <w:szCs w:val="21"/>
              </w:rPr>
              <w:t>金额（万元）</w:t>
            </w:r>
          </w:p>
        </w:tc>
        <w:tc>
          <w:tcPr>
            <w:tcW w:w="794" w:type="dxa"/>
            <w:vAlign w:val="center"/>
          </w:tcPr>
          <w:p w:rsidR="00E372B1" w:rsidRPr="00D83C11" w:rsidRDefault="00E372B1" w:rsidP="00D83C11">
            <w:pPr>
              <w:spacing w:beforeLines="15" w:before="46" w:afterLines="15" w:after="46"/>
              <w:jc w:val="center"/>
              <w:rPr>
                <w:rFonts w:ascii="Times New Roman" w:hAnsi="Times New Roman"/>
                <w:szCs w:val="21"/>
              </w:rPr>
            </w:pPr>
            <w:r w:rsidRPr="00D83C11">
              <w:rPr>
                <w:rFonts w:ascii="Times New Roman" w:hAnsi="Times New Roman" w:hint="eastAsia"/>
                <w:szCs w:val="21"/>
              </w:rPr>
              <w:t>比例</w:t>
            </w:r>
          </w:p>
        </w:tc>
      </w:tr>
      <w:tr w:rsidR="00E372B1" w:rsidRPr="00D83C11" w:rsidTr="00C707B2">
        <w:trPr>
          <w:jc w:val="right"/>
        </w:trPr>
        <w:tc>
          <w:tcPr>
            <w:tcW w:w="1668" w:type="dxa"/>
            <w:tcBorders>
              <w:top w:val="single" w:sz="4" w:space="0" w:color="auto"/>
            </w:tcBorders>
            <w:vAlign w:val="center"/>
          </w:tcPr>
          <w:p w:rsidR="00E372B1" w:rsidRPr="00D83C11" w:rsidRDefault="00E372B1" w:rsidP="00D83C11">
            <w:pPr>
              <w:spacing w:beforeLines="15" w:before="46" w:afterLines="15" w:after="46"/>
              <w:jc w:val="center"/>
              <w:rPr>
                <w:rFonts w:ascii="Times New Roman" w:hAnsi="Times New Roman"/>
                <w:szCs w:val="21"/>
              </w:rPr>
            </w:pPr>
            <w:r w:rsidRPr="00D83C11">
              <w:rPr>
                <w:rFonts w:ascii="Times New Roman" w:hAnsi="Times New Roman" w:hint="eastAsia"/>
                <w:szCs w:val="21"/>
              </w:rPr>
              <w:t>江苏吴中实业股份有限公司</w:t>
            </w:r>
          </w:p>
        </w:tc>
        <w:tc>
          <w:tcPr>
            <w:tcW w:w="1494" w:type="dxa"/>
            <w:vAlign w:val="center"/>
          </w:tcPr>
          <w:p w:rsidR="00E372B1" w:rsidRPr="00D83C11" w:rsidRDefault="00E372B1" w:rsidP="00D83C11">
            <w:pPr>
              <w:spacing w:beforeLines="30" w:before="93" w:afterLines="30" w:after="93"/>
              <w:jc w:val="right"/>
              <w:rPr>
                <w:rFonts w:asciiTheme="minorEastAsia" w:hAnsiTheme="minorEastAsia" w:cs="Times New Roman"/>
                <w:szCs w:val="21"/>
              </w:rPr>
            </w:pPr>
            <w:r w:rsidRPr="00D83C11">
              <w:rPr>
                <w:rFonts w:asciiTheme="minorEastAsia" w:hAnsiTheme="minorEastAsia" w:cs="Times New Roman" w:hint="eastAsia"/>
                <w:szCs w:val="21"/>
              </w:rPr>
              <w:t>11,300</w:t>
            </w:r>
          </w:p>
        </w:tc>
        <w:tc>
          <w:tcPr>
            <w:tcW w:w="900" w:type="dxa"/>
            <w:vAlign w:val="center"/>
          </w:tcPr>
          <w:p w:rsidR="00E372B1" w:rsidRPr="00D83C11" w:rsidRDefault="00E372B1" w:rsidP="00D83C11">
            <w:pPr>
              <w:spacing w:beforeLines="30" w:before="93" w:afterLines="30" w:after="93"/>
              <w:jc w:val="right"/>
              <w:rPr>
                <w:rFonts w:asciiTheme="minorEastAsia" w:hAnsiTheme="minorEastAsia" w:cs="Times New Roman"/>
                <w:szCs w:val="21"/>
              </w:rPr>
            </w:pPr>
            <w:r w:rsidRPr="00D83C11">
              <w:rPr>
                <w:rFonts w:asciiTheme="minorEastAsia" w:hAnsiTheme="minorEastAsia" w:cs="Times New Roman" w:hint="eastAsia"/>
                <w:szCs w:val="21"/>
              </w:rPr>
              <w:t>100%</w:t>
            </w:r>
          </w:p>
        </w:tc>
        <w:tc>
          <w:tcPr>
            <w:tcW w:w="1842" w:type="dxa"/>
            <w:vAlign w:val="center"/>
          </w:tcPr>
          <w:p w:rsidR="00E372B1" w:rsidRPr="00D83C11" w:rsidRDefault="00E372B1" w:rsidP="00D83C11">
            <w:pPr>
              <w:spacing w:beforeLines="30" w:before="93" w:afterLines="30" w:after="93"/>
              <w:jc w:val="right"/>
              <w:rPr>
                <w:rFonts w:asciiTheme="minorEastAsia" w:hAnsiTheme="minorEastAsia" w:cs="Times New Roman"/>
                <w:szCs w:val="21"/>
              </w:rPr>
            </w:pPr>
            <w:r w:rsidRPr="00D83C11">
              <w:rPr>
                <w:rFonts w:ascii="宋体" w:eastAsia="宋体" w:hAnsi="宋体" w:cs="Times New Roman" w:hint="eastAsia"/>
                <w:szCs w:val="21"/>
              </w:rPr>
              <w:t>30,000</w:t>
            </w:r>
          </w:p>
        </w:tc>
        <w:tc>
          <w:tcPr>
            <w:tcW w:w="1652" w:type="dxa"/>
            <w:vAlign w:val="center"/>
          </w:tcPr>
          <w:p w:rsidR="00E372B1" w:rsidRPr="00D83C11" w:rsidRDefault="00E372B1" w:rsidP="00D83C11">
            <w:pPr>
              <w:spacing w:beforeLines="30" w:before="93" w:afterLines="30" w:after="93"/>
              <w:jc w:val="right"/>
              <w:rPr>
                <w:rFonts w:asciiTheme="minorEastAsia" w:hAnsiTheme="minorEastAsia" w:cs="Times New Roman"/>
                <w:szCs w:val="21"/>
              </w:rPr>
            </w:pPr>
            <w:r w:rsidRPr="00D83C11">
              <w:rPr>
                <w:rFonts w:asciiTheme="minorEastAsia" w:hAnsiTheme="minorEastAsia" w:cs="Times New Roman" w:hint="eastAsia"/>
                <w:szCs w:val="21"/>
              </w:rPr>
              <w:t>41,300</w:t>
            </w:r>
          </w:p>
        </w:tc>
        <w:tc>
          <w:tcPr>
            <w:tcW w:w="794" w:type="dxa"/>
            <w:vAlign w:val="center"/>
          </w:tcPr>
          <w:p w:rsidR="00E372B1" w:rsidRPr="00D83C11" w:rsidRDefault="00E372B1" w:rsidP="00D83C11">
            <w:pPr>
              <w:spacing w:beforeLines="30" w:before="93" w:afterLines="30" w:after="93"/>
              <w:jc w:val="right"/>
              <w:rPr>
                <w:rFonts w:asciiTheme="minorEastAsia" w:hAnsiTheme="minorEastAsia" w:cs="Times New Roman"/>
                <w:szCs w:val="21"/>
              </w:rPr>
            </w:pPr>
            <w:r w:rsidRPr="00D83C11">
              <w:rPr>
                <w:rFonts w:asciiTheme="minorEastAsia" w:hAnsiTheme="minorEastAsia" w:cs="Times New Roman" w:hint="eastAsia"/>
                <w:szCs w:val="21"/>
              </w:rPr>
              <w:t>100%</w:t>
            </w:r>
          </w:p>
        </w:tc>
      </w:tr>
      <w:tr w:rsidR="00E372B1" w:rsidRPr="00D83C11" w:rsidTr="00D83C11">
        <w:trPr>
          <w:trHeight w:val="70"/>
          <w:jc w:val="right"/>
        </w:trPr>
        <w:tc>
          <w:tcPr>
            <w:tcW w:w="1668" w:type="dxa"/>
            <w:vAlign w:val="center"/>
          </w:tcPr>
          <w:p w:rsidR="00E372B1" w:rsidRPr="00D83C11" w:rsidRDefault="00E372B1" w:rsidP="00D83C11">
            <w:pPr>
              <w:spacing w:beforeLines="15" w:before="46" w:afterLines="15" w:after="46"/>
              <w:jc w:val="center"/>
              <w:rPr>
                <w:rFonts w:ascii="Times New Roman" w:hAnsi="Times New Roman"/>
                <w:szCs w:val="21"/>
              </w:rPr>
            </w:pPr>
            <w:r w:rsidRPr="00D83C11">
              <w:rPr>
                <w:rFonts w:ascii="Times New Roman" w:hAnsi="Times New Roman" w:hint="eastAsia"/>
                <w:szCs w:val="21"/>
              </w:rPr>
              <w:t>合计</w:t>
            </w:r>
          </w:p>
        </w:tc>
        <w:tc>
          <w:tcPr>
            <w:tcW w:w="1494" w:type="dxa"/>
            <w:vAlign w:val="center"/>
          </w:tcPr>
          <w:p w:rsidR="00E372B1" w:rsidRPr="00D83C11" w:rsidRDefault="00E372B1" w:rsidP="00D83C11">
            <w:pPr>
              <w:spacing w:beforeLines="30" w:before="93" w:afterLines="30" w:after="93"/>
              <w:jc w:val="right"/>
              <w:rPr>
                <w:rFonts w:asciiTheme="minorEastAsia" w:hAnsiTheme="minorEastAsia" w:cs="Times New Roman"/>
                <w:szCs w:val="21"/>
              </w:rPr>
            </w:pPr>
            <w:r w:rsidRPr="00D83C11">
              <w:rPr>
                <w:rFonts w:asciiTheme="minorEastAsia" w:hAnsiTheme="minorEastAsia" w:cs="Times New Roman" w:hint="eastAsia"/>
                <w:szCs w:val="21"/>
              </w:rPr>
              <w:t>11,300</w:t>
            </w:r>
          </w:p>
        </w:tc>
        <w:tc>
          <w:tcPr>
            <w:tcW w:w="900" w:type="dxa"/>
            <w:vAlign w:val="center"/>
          </w:tcPr>
          <w:p w:rsidR="00E372B1" w:rsidRPr="00D83C11" w:rsidRDefault="00E372B1" w:rsidP="00D83C11">
            <w:pPr>
              <w:spacing w:beforeLines="30" w:before="93" w:afterLines="30" w:after="93"/>
              <w:jc w:val="right"/>
              <w:rPr>
                <w:rFonts w:asciiTheme="minorEastAsia" w:hAnsiTheme="minorEastAsia" w:cs="Times New Roman"/>
                <w:szCs w:val="21"/>
              </w:rPr>
            </w:pPr>
            <w:r w:rsidRPr="00D83C11">
              <w:rPr>
                <w:rFonts w:asciiTheme="minorEastAsia" w:hAnsiTheme="minorEastAsia" w:cs="Times New Roman" w:hint="eastAsia"/>
                <w:szCs w:val="21"/>
              </w:rPr>
              <w:t>100%</w:t>
            </w:r>
          </w:p>
        </w:tc>
        <w:tc>
          <w:tcPr>
            <w:tcW w:w="1842" w:type="dxa"/>
            <w:vAlign w:val="center"/>
          </w:tcPr>
          <w:p w:rsidR="00E372B1" w:rsidRPr="00D83C11" w:rsidRDefault="00E372B1" w:rsidP="00D83C11">
            <w:pPr>
              <w:spacing w:beforeLines="30" w:before="93" w:afterLines="30" w:after="93"/>
              <w:jc w:val="right"/>
              <w:rPr>
                <w:rFonts w:asciiTheme="minorEastAsia" w:hAnsiTheme="minorEastAsia" w:cs="Times New Roman"/>
                <w:szCs w:val="21"/>
              </w:rPr>
            </w:pPr>
            <w:r w:rsidRPr="00D83C11">
              <w:rPr>
                <w:rFonts w:ascii="宋体" w:eastAsia="宋体" w:hAnsi="宋体" w:cs="Times New Roman" w:hint="eastAsia"/>
                <w:szCs w:val="21"/>
              </w:rPr>
              <w:t>30,000</w:t>
            </w:r>
          </w:p>
        </w:tc>
        <w:tc>
          <w:tcPr>
            <w:tcW w:w="1652" w:type="dxa"/>
            <w:vAlign w:val="center"/>
          </w:tcPr>
          <w:p w:rsidR="00E372B1" w:rsidRPr="00D83C11" w:rsidRDefault="00E372B1" w:rsidP="00D83C11">
            <w:pPr>
              <w:spacing w:beforeLines="30" w:before="93" w:afterLines="30" w:after="93"/>
              <w:jc w:val="right"/>
              <w:rPr>
                <w:rFonts w:asciiTheme="minorEastAsia" w:hAnsiTheme="minorEastAsia" w:cs="Times New Roman"/>
                <w:szCs w:val="21"/>
              </w:rPr>
            </w:pPr>
            <w:r w:rsidRPr="00D83C11">
              <w:rPr>
                <w:rFonts w:asciiTheme="minorEastAsia" w:hAnsiTheme="minorEastAsia" w:cs="Times New Roman" w:hint="eastAsia"/>
                <w:szCs w:val="21"/>
              </w:rPr>
              <w:t>41,300</w:t>
            </w:r>
          </w:p>
        </w:tc>
        <w:tc>
          <w:tcPr>
            <w:tcW w:w="794" w:type="dxa"/>
            <w:vAlign w:val="center"/>
          </w:tcPr>
          <w:p w:rsidR="00E372B1" w:rsidRPr="00D83C11" w:rsidRDefault="00E372B1" w:rsidP="00D83C11">
            <w:pPr>
              <w:spacing w:beforeLines="30" w:before="93" w:afterLines="30" w:after="93"/>
              <w:jc w:val="right"/>
              <w:rPr>
                <w:rFonts w:asciiTheme="minorEastAsia" w:hAnsiTheme="minorEastAsia" w:cs="Times New Roman"/>
                <w:szCs w:val="21"/>
              </w:rPr>
            </w:pPr>
            <w:r w:rsidRPr="00D83C11">
              <w:rPr>
                <w:rFonts w:asciiTheme="minorEastAsia" w:hAnsiTheme="minorEastAsia" w:cs="Times New Roman" w:hint="eastAsia"/>
                <w:szCs w:val="21"/>
              </w:rPr>
              <w:t>100%</w:t>
            </w:r>
          </w:p>
        </w:tc>
      </w:tr>
    </w:tbl>
    <w:p w:rsidR="00675AC6" w:rsidRDefault="00675AC6" w:rsidP="00B44A0D">
      <w:pPr>
        <w:spacing w:beforeLines="30" w:before="93" w:afterLines="30" w:after="93" w:line="360" w:lineRule="auto"/>
        <w:ind w:firstLineChars="200" w:firstLine="482"/>
        <w:rPr>
          <w:rFonts w:asciiTheme="minorEastAsia" w:hAnsiTheme="minorEastAsia" w:cs="Times New Roman"/>
          <w:b/>
          <w:sz w:val="24"/>
        </w:rPr>
      </w:pPr>
    </w:p>
    <w:p w:rsidR="0006778F" w:rsidRDefault="00A51293" w:rsidP="00A51293">
      <w:pPr>
        <w:spacing w:beforeLines="30" w:before="93" w:afterLines="30" w:after="93" w:line="360" w:lineRule="auto"/>
        <w:ind w:firstLineChars="200" w:firstLine="482"/>
        <w:rPr>
          <w:rFonts w:asciiTheme="minorEastAsia" w:hAnsiTheme="minorEastAsia" w:cs="Times New Roman"/>
          <w:b/>
          <w:sz w:val="24"/>
        </w:rPr>
      </w:pPr>
      <w:r w:rsidRPr="00A51293">
        <w:rPr>
          <w:rFonts w:asciiTheme="minorEastAsia" w:hAnsiTheme="minorEastAsia" w:cs="Times New Roman" w:hint="eastAsia"/>
          <w:b/>
          <w:sz w:val="24"/>
        </w:rPr>
        <w:t>二、本次增资对象的基本情况</w:t>
      </w:r>
    </w:p>
    <w:p w:rsidR="00481401" w:rsidRDefault="00481401" w:rsidP="00481401">
      <w:pPr>
        <w:spacing w:beforeLines="30" w:before="93" w:afterLines="30" w:after="93" w:line="360" w:lineRule="auto"/>
        <w:ind w:firstLineChars="200" w:firstLine="480"/>
        <w:rPr>
          <w:rFonts w:ascii="宋体" w:eastAsia="宋体" w:hAnsi="宋体" w:cs="Times New Roman"/>
          <w:sz w:val="24"/>
        </w:rPr>
      </w:pPr>
      <w:r w:rsidRPr="00481401">
        <w:rPr>
          <w:rFonts w:asciiTheme="minorEastAsia" w:hAnsiTheme="minorEastAsia" w:cs="Times New Roman" w:hint="eastAsia"/>
          <w:sz w:val="24"/>
        </w:rPr>
        <w:t>企业名称：</w:t>
      </w:r>
      <w:r w:rsidRPr="00481401">
        <w:rPr>
          <w:rFonts w:ascii="宋体" w:eastAsia="宋体" w:hAnsi="宋体" w:cs="Times New Roman" w:hint="eastAsia"/>
          <w:sz w:val="24"/>
        </w:rPr>
        <w:t>响水</w:t>
      </w:r>
      <w:proofErr w:type="gramStart"/>
      <w:r w:rsidRPr="00481401">
        <w:rPr>
          <w:rFonts w:ascii="宋体" w:eastAsia="宋体" w:hAnsi="宋体" w:cs="Times New Roman" w:hint="eastAsia"/>
          <w:sz w:val="24"/>
        </w:rPr>
        <w:t>恒</w:t>
      </w:r>
      <w:proofErr w:type="gramEnd"/>
      <w:r w:rsidRPr="00675AC6">
        <w:rPr>
          <w:rFonts w:ascii="宋体" w:eastAsia="宋体" w:hAnsi="宋体" w:cs="Times New Roman" w:hint="eastAsia"/>
          <w:sz w:val="24"/>
        </w:rPr>
        <w:t>利达科技化工有限公司</w:t>
      </w:r>
    </w:p>
    <w:p w:rsidR="00481401" w:rsidRDefault="00481401" w:rsidP="00481401">
      <w:pPr>
        <w:spacing w:beforeLines="30" w:before="93" w:afterLines="30" w:after="93" w:line="360" w:lineRule="auto"/>
        <w:ind w:firstLineChars="200" w:firstLine="480"/>
        <w:rPr>
          <w:rFonts w:ascii="宋体" w:eastAsia="宋体" w:hAnsi="宋体" w:cs="Times New Roman"/>
          <w:sz w:val="24"/>
        </w:rPr>
      </w:pPr>
      <w:r>
        <w:rPr>
          <w:rFonts w:ascii="宋体" w:eastAsia="宋体" w:hAnsi="宋体" w:cs="Times New Roman" w:hint="eastAsia"/>
          <w:sz w:val="24"/>
        </w:rPr>
        <w:t>成立时间：</w:t>
      </w:r>
      <w:r w:rsidRPr="00481401">
        <w:rPr>
          <w:rFonts w:ascii="宋体" w:eastAsia="宋体" w:hAnsi="宋体" w:cs="Times New Roman" w:hint="eastAsia"/>
          <w:sz w:val="24"/>
        </w:rPr>
        <w:t>2010年7月21日</w:t>
      </w:r>
    </w:p>
    <w:p w:rsidR="00481401" w:rsidRDefault="00481401" w:rsidP="00481401">
      <w:pPr>
        <w:spacing w:beforeLines="30" w:before="93" w:afterLines="30" w:after="93" w:line="360" w:lineRule="auto"/>
        <w:ind w:firstLineChars="200" w:firstLine="480"/>
        <w:rPr>
          <w:rFonts w:ascii="宋体" w:eastAsia="宋体" w:hAnsi="宋体" w:cs="Times New Roman"/>
          <w:sz w:val="24"/>
        </w:rPr>
      </w:pPr>
      <w:r>
        <w:rPr>
          <w:rFonts w:ascii="宋体" w:eastAsia="宋体" w:hAnsi="宋体" w:cs="Times New Roman" w:hint="eastAsia"/>
          <w:sz w:val="24"/>
        </w:rPr>
        <w:t>注册资本：11,300万元</w:t>
      </w:r>
    </w:p>
    <w:p w:rsidR="00481401" w:rsidRDefault="00481401" w:rsidP="00481401">
      <w:pPr>
        <w:spacing w:beforeLines="30" w:before="93" w:afterLines="30" w:after="93" w:line="360" w:lineRule="auto"/>
        <w:ind w:firstLineChars="200" w:firstLine="480"/>
        <w:rPr>
          <w:rFonts w:asciiTheme="minorEastAsia" w:hAnsiTheme="minorEastAsia" w:cs="Times New Roman"/>
          <w:sz w:val="24"/>
        </w:rPr>
      </w:pPr>
      <w:r>
        <w:rPr>
          <w:rFonts w:asciiTheme="minorEastAsia" w:hAnsiTheme="minorEastAsia" w:cs="Times New Roman" w:hint="eastAsia"/>
          <w:sz w:val="24"/>
        </w:rPr>
        <w:t>法定代表人：</w:t>
      </w:r>
      <w:proofErr w:type="gramStart"/>
      <w:r>
        <w:rPr>
          <w:rFonts w:asciiTheme="minorEastAsia" w:hAnsiTheme="minorEastAsia" w:cs="Times New Roman" w:hint="eastAsia"/>
          <w:sz w:val="24"/>
        </w:rPr>
        <w:t>仲天荣</w:t>
      </w:r>
      <w:proofErr w:type="gramEnd"/>
    </w:p>
    <w:p w:rsidR="00481401" w:rsidRDefault="00481401" w:rsidP="00481401">
      <w:pPr>
        <w:spacing w:beforeLines="30" w:before="93" w:afterLines="30" w:after="93" w:line="360" w:lineRule="auto"/>
        <w:ind w:firstLineChars="200" w:firstLine="480"/>
        <w:rPr>
          <w:rFonts w:ascii="宋体" w:eastAsia="宋体" w:hAnsi="宋体" w:cs="Times New Roman"/>
          <w:sz w:val="24"/>
        </w:rPr>
      </w:pPr>
      <w:r>
        <w:rPr>
          <w:rFonts w:asciiTheme="minorEastAsia" w:hAnsiTheme="minorEastAsia" w:cs="Times New Roman" w:hint="eastAsia"/>
          <w:sz w:val="24"/>
        </w:rPr>
        <w:t>公司住所：</w:t>
      </w:r>
      <w:r>
        <w:rPr>
          <w:rFonts w:ascii="宋体" w:eastAsia="宋体" w:hAnsi="宋体" w:cs="Times New Roman" w:hint="eastAsia"/>
          <w:sz w:val="24"/>
        </w:rPr>
        <w:t>江苏响水生态化工园区内（大湾村七组）</w:t>
      </w:r>
    </w:p>
    <w:p w:rsidR="00675AC6" w:rsidRDefault="00A51293" w:rsidP="00481401">
      <w:pPr>
        <w:spacing w:beforeLines="30" w:before="93" w:afterLines="30" w:after="93" w:line="360" w:lineRule="auto"/>
        <w:ind w:firstLineChars="200" w:firstLine="480"/>
        <w:rPr>
          <w:rFonts w:asciiTheme="minorEastAsia" w:hAnsiTheme="minorEastAsia" w:cs="Times New Roman"/>
          <w:b/>
          <w:sz w:val="24"/>
        </w:rPr>
      </w:pPr>
      <w:r w:rsidRPr="00A51293">
        <w:rPr>
          <w:rFonts w:ascii="宋体" w:eastAsia="宋体" w:hAnsi="宋体" w:cs="Times New Roman" w:hint="eastAsia"/>
          <w:sz w:val="24"/>
        </w:rPr>
        <w:t>公司类型：有限责任公司</w:t>
      </w:r>
      <w:r>
        <w:rPr>
          <w:rFonts w:ascii="宋体" w:eastAsia="宋体" w:hAnsi="宋体" w:cs="Times New Roman" w:hint="eastAsia"/>
          <w:sz w:val="24"/>
        </w:rPr>
        <w:t>（法人独资）</w:t>
      </w:r>
      <w:r w:rsidRPr="00A51293">
        <w:rPr>
          <w:rFonts w:ascii="宋体" w:eastAsia="宋体" w:hAnsi="宋体" w:cs="Times New Roman" w:hint="eastAsia"/>
          <w:sz w:val="24"/>
        </w:rPr>
        <w:t>，经营范围：</w:t>
      </w:r>
      <w:r w:rsidR="0006778F" w:rsidRPr="0006778F">
        <w:rPr>
          <w:rFonts w:ascii="宋体" w:eastAsia="宋体" w:hAnsi="宋体" w:cs="Times New Roman" w:hint="eastAsia"/>
          <w:sz w:val="24"/>
        </w:rPr>
        <w:t>许可经营项目：有机颜料（色</w:t>
      </w:r>
      <w:proofErr w:type="gramStart"/>
      <w:r w:rsidR="0006778F" w:rsidRPr="0006778F">
        <w:rPr>
          <w:rFonts w:ascii="宋体" w:eastAsia="宋体" w:hAnsi="宋体" w:cs="Times New Roman" w:hint="eastAsia"/>
          <w:sz w:val="24"/>
        </w:rPr>
        <w:t>酚</w:t>
      </w:r>
      <w:proofErr w:type="gramEnd"/>
      <w:r w:rsidR="0006778F" w:rsidRPr="0006778F">
        <w:rPr>
          <w:rFonts w:ascii="宋体" w:eastAsia="宋体" w:hAnsi="宋体" w:cs="Times New Roman"/>
          <w:sz w:val="24"/>
        </w:rPr>
        <w:t>AS-IRG</w:t>
      </w:r>
      <w:r w:rsidR="0006778F" w:rsidRPr="0006778F">
        <w:rPr>
          <w:rFonts w:ascii="宋体" w:eastAsia="宋体" w:hAnsi="宋体" w:cs="Times New Roman" w:hint="eastAsia"/>
          <w:sz w:val="24"/>
        </w:rPr>
        <w:t>、</w:t>
      </w:r>
      <w:r w:rsidR="0006778F" w:rsidRPr="0006778F">
        <w:rPr>
          <w:rFonts w:ascii="宋体" w:eastAsia="宋体" w:hAnsi="宋体" w:cs="Times New Roman"/>
          <w:sz w:val="24"/>
        </w:rPr>
        <w:t>4-</w:t>
      </w:r>
      <w:r w:rsidR="0006778F" w:rsidRPr="0006778F">
        <w:rPr>
          <w:rFonts w:ascii="宋体" w:eastAsia="宋体" w:hAnsi="宋体" w:cs="Times New Roman" w:hint="eastAsia"/>
          <w:sz w:val="24"/>
        </w:rPr>
        <w:t>氯</w:t>
      </w:r>
      <w:r w:rsidR="0006778F" w:rsidRPr="0006778F">
        <w:rPr>
          <w:rFonts w:ascii="宋体" w:eastAsia="宋体" w:hAnsi="宋体" w:cs="Times New Roman"/>
          <w:sz w:val="24"/>
        </w:rPr>
        <w:t>-2,5-</w:t>
      </w:r>
      <w:r w:rsidR="0006778F" w:rsidRPr="0006778F">
        <w:rPr>
          <w:rFonts w:ascii="宋体" w:eastAsia="宋体" w:hAnsi="宋体" w:cs="Times New Roman" w:hint="eastAsia"/>
          <w:sz w:val="24"/>
        </w:rPr>
        <w:t>二甲氧基苯胺、色</w:t>
      </w:r>
      <w:proofErr w:type="gramStart"/>
      <w:r w:rsidR="0006778F" w:rsidRPr="0006778F">
        <w:rPr>
          <w:rFonts w:ascii="宋体" w:eastAsia="宋体" w:hAnsi="宋体" w:cs="Times New Roman" w:hint="eastAsia"/>
          <w:sz w:val="24"/>
        </w:rPr>
        <w:t>酚</w:t>
      </w:r>
      <w:proofErr w:type="gramEnd"/>
      <w:r w:rsidR="0006778F" w:rsidRPr="0006778F">
        <w:rPr>
          <w:rFonts w:ascii="宋体" w:eastAsia="宋体" w:hAnsi="宋体" w:cs="Times New Roman"/>
          <w:sz w:val="24"/>
        </w:rPr>
        <w:t>AS-PH</w:t>
      </w:r>
      <w:r w:rsidR="0006778F" w:rsidRPr="0006778F">
        <w:rPr>
          <w:rFonts w:ascii="宋体" w:eastAsia="宋体" w:hAnsi="宋体" w:cs="Times New Roman" w:hint="eastAsia"/>
          <w:sz w:val="24"/>
        </w:rPr>
        <w:t>系列、红色基</w:t>
      </w:r>
      <w:r w:rsidR="0006778F" w:rsidRPr="0006778F">
        <w:rPr>
          <w:rFonts w:ascii="宋体" w:eastAsia="宋体" w:hAnsi="宋体" w:cs="Times New Roman"/>
          <w:sz w:val="24"/>
        </w:rPr>
        <w:t>DB-70</w:t>
      </w:r>
      <w:r w:rsidR="0006778F" w:rsidRPr="0006778F">
        <w:rPr>
          <w:rFonts w:ascii="宋体" w:eastAsia="宋体" w:hAnsi="宋体" w:cs="Times New Roman" w:hint="eastAsia"/>
          <w:sz w:val="24"/>
        </w:rPr>
        <w:t>、红色基</w:t>
      </w:r>
      <w:r w:rsidR="0006778F" w:rsidRPr="0006778F">
        <w:rPr>
          <w:rFonts w:ascii="宋体" w:eastAsia="宋体" w:hAnsi="宋体" w:cs="Times New Roman"/>
          <w:sz w:val="24"/>
        </w:rPr>
        <w:t>KD</w:t>
      </w:r>
      <w:r w:rsidR="0006778F" w:rsidRPr="0006778F">
        <w:rPr>
          <w:rFonts w:ascii="宋体" w:eastAsia="宋体" w:hAnsi="宋体" w:cs="Times New Roman" w:hint="eastAsia"/>
          <w:sz w:val="24"/>
        </w:rPr>
        <w:t>、红色基</w:t>
      </w:r>
      <w:r w:rsidR="0006778F" w:rsidRPr="0006778F">
        <w:rPr>
          <w:rFonts w:ascii="宋体" w:eastAsia="宋体" w:hAnsi="宋体" w:cs="Times New Roman"/>
          <w:sz w:val="24"/>
        </w:rPr>
        <w:t>B</w:t>
      </w:r>
      <w:r w:rsidR="0006778F" w:rsidRPr="0006778F">
        <w:rPr>
          <w:rFonts w:ascii="宋体" w:eastAsia="宋体" w:hAnsi="宋体" w:cs="Times New Roman" w:hint="eastAsia"/>
          <w:sz w:val="24"/>
        </w:rPr>
        <w:t>、</w:t>
      </w:r>
      <w:r w:rsidR="0006778F" w:rsidRPr="0006778F">
        <w:rPr>
          <w:rFonts w:ascii="宋体" w:eastAsia="宋体" w:hAnsi="宋体" w:cs="Times New Roman"/>
          <w:sz w:val="24"/>
        </w:rPr>
        <w:t>2-</w:t>
      </w:r>
      <w:proofErr w:type="gramStart"/>
      <w:r w:rsidR="0006778F" w:rsidRPr="0006778F">
        <w:rPr>
          <w:rFonts w:ascii="宋体" w:eastAsia="宋体" w:hAnsi="宋体" w:cs="Times New Roman" w:hint="eastAsia"/>
          <w:sz w:val="24"/>
        </w:rPr>
        <w:t>萘</w:t>
      </w:r>
      <w:proofErr w:type="gramEnd"/>
      <w:r w:rsidR="0006778F" w:rsidRPr="0006778F">
        <w:rPr>
          <w:rFonts w:ascii="宋体" w:eastAsia="宋体" w:hAnsi="宋体" w:cs="Times New Roman" w:hint="eastAsia"/>
          <w:sz w:val="24"/>
        </w:rPr>
        <w:t>胺</w:t>
      </w:r>
      <w:r w:rsidR="0006778F" w:rsidRPr="0006778F">
        <w:rPr>
          <w:rFonts w:ascii="宋体" w:eastAsia="宋体" w:hAnsi="宋体" w:cs="Times New Roman"/>
          <w:sz w:val="24"/>
        </w:rPr>
        <w:t>-1-</w:t>
      </w:r>
      <w:r w:rsidR="0006778F" w:rsidRPr="0006778F">
        <w:rPr>
          <w:rFonts w:ascii="宋体" w:eastAsia="宋体" w:hAnsi="宋体" w:cs="Times New Roman" w:hint="eastAsia"/>
          <w:sz w:val="24"/>
        </w:rPr>
        <w:t>磺酸、</w:t>
      </w:r>
      <w:r w:rsidR="0006778F" w:rsidRPr="0006778F">
        <w:rPr>
          <w:rFonts w:ascii="宋体" w:eastAsia="宋体" w:hAnsi="宋体" w:cs="Times New Roman"/>
          <w:sz w:val="24"/>
        </w:rPr>
        <w:t>2-</w:t>
      </w:r>
      <w:r w:rsidR="0006778F" w:rsidRPr="0006778F">
        <w:rPr>
          <w:rFonts w:ascii="宋体" w:eastAsia="宋体" w:hAnsi="宋体" w:cs="Times New Roman" w:hint="eastAsia"/>
          <w:sz w:val="24"/>
        </w:rPr>
        <w:t>氨基</w:t>
      </w:r>
      <w:r w:rsidR="0006778F" w:rsidRPr="0006778F">
        <w:rPr>
          <w:rFonts w:ascii="宋体" w:eastAsia="宋体" w:hAnsi="宋体" w:cs="Times New Roman"/>
          <w:sz w:val="24"/>
        </w:rPr>
        <w:t>-5-</w:t>
      </w:r>
      <w:r w:rsidR="0006778F" w:rsidRPr="0006778F">
        <w:rPr>
          <w:rFonts w:ascii="宋体" w:eastAsia="宋体" w:hAnsi="宋体" w:cs="Times New Roman" w:hint="eastAsia"/>
          <w:sz w:val="24"/>
        </w:rPr>
        <w:t>萘酚</w:t>
      </w:r>
      <w:r w:rsidR="0006778F" w:rsidRPr="0006778F">
        <w:rPr>
          <w:rFonts w:ascii="宋体" w:eastAsia="宋体" w:hAnsi="宋体" w:cs="Times New Roman"/>
          <w:sz w:val="24"/>
        </w:rPr>
        <w:t>-7-</w:t>
      </w:r>
      <w:r w:rsidR="0006778F" w:rsidRPr="0006778F">
        <w:rPr>
          <w:rFonts w:ascii="宋体" w:eastAsia="宋体" w:hAnsi="宋体" w:cs="Times New Roman" w:hint="eastAsia"/>
          <w:sz w:val="24"/>
        </w:rPr>
        <w:t>磺酸）、分散染料（</w:t>
      </w:r>
      <w:proofErr w:type="gramStart"/>
      <w:r w:rsidR="0006778F" w:rsidRPr="0006778F">
        <w:rPr>
          <w:rFonts w:ascii="宋体" w:eastAsia="宋体" w:hAnsi="宋体" w:cs="Times New Roman" w:hint="eastAsia"/>
          <w:sz w:val="24"/>
        </w:rPr>
        <w:t>靛</w:t>
      </w:r>
      <w:proofErr w:type="gramEnd"/>
      <w:r w:rsidR="0006778F" w:rsidRPr="0006778F">
        <w:rPr>
          <w:rFonts w:ascii="宋体" w:eastAsia="宋体" w:hAnsi="宋体" w:cs="Times New Roman" w:hint="eastAsia"/>
          <w:sz w:val="24"/>
        </w:rPr>
        <w:t>红、</w:t>
      </w:r>
      <w:proofErr w:type="gramStart"/>
      <w:r w:rsidR="0006778F" w:rsidRPr="0006778F">
        <w:rPr>
          <w:rFonts w:ascii="宋体" w:eastAsia="宋体" w:hAnsi="宋体" w:cs="Times New Roman" w:hint="eastAsia"/>
          <w:sz w:val="24"/>
        </w:rPr>
        <w:t>喹</w:t>
      </w:r>
      <w:proofErr w:type="gramEnd"/>
      <w:r w:rsidR="0006778F" w:rsidRPr="0006778F">
        <w:rPr>
          <w:rFonts w:ascii="宋体" w:eastAsia="宋体" w:hAnsi="宋体" w:cs="Times New Roman" w:hint="eastAsia"/>
          <w:sz w:val="24"/>
        </w:rPr>
        <w:t>哪</w:t>
      </w:r>
      <w:proofErr w:type="gramStart"/>
      <w:r w:rsidR="0006778F" w:rsidRPr="0006778F">
        <w:rPr>
          <w:rFonts w:ascii="宋体" w:eastAsia="宋体" w:hAnsi="宋体" w:cs="Times New Roman" w:hint="eastAsia"/>
          <w:sz w:val="24"/>
        </w:rPr>
        <w:t>啶</w:t>
      </w:r>
      <w:proofErr w:type="gramEnd"/>
      <w:r w:rsidR="0006778F" w:rsidRPr="0006778F">
        <w:rPr>
          <w:rFonts w:ascii="宋体" w:eastAsia="宋体" w:hAnsi="宋体" w:cs="Times New Roman" w:hint="eastAsia"/>
          <w:sz w:val="24"/>
        </w:rPr>
        <w:t>、</w:t>
      </w:r>
      <w:proofErr w:type="gramStart"/>
      <w:r w:rsidR="0006778F" w:rsidRPr="0006778F">
        <w:rPr>
          <w:rFonts w:ascii="宋体" w:eastAsia="宋体" w:hAnsi="宋体" w:cs="Times New Roman" w:hint="eastAsia"/>
          <w:sz w:val="24"/>
        </w:rPr>
        <w:t>分散黄</w:t>
      </w:r>
      <w:proofErr w:type="gramEnd"/>
      <w:r w:rsidR="0006778F" w:rsidRPr="0006778F">
        <w:rPr>
          <w:rFonts w:ascii="宋体" w:eastAsia="宋体" w:hAnsi="宋体" w:cs="Times New Roman"/>
          <w:sz w:val="24"/>
        </w:rPr>
        <w:t>3G</w:t>
      </w:r>
      <w:r w:rsidR="0006778F" w:rsidRPr="0006778F">
        <w:rPr>
          <w:rFonts w:ascii="宋体" w:eastAsia="宋体" w:hAnsi="宋体" w:cs="Times New Roman" w:hint="eastAsia"/>
          <w:sz w:val="24"/>
        </w:rPr>
        <w:t>、分散橙</w:t>
      </w:r>
      <w:r w:rsidR="0006778F" w:rsidRPr="0006778F">
        <w:rPr>
          <w:rFonts w:ascii="宋体" w:eastAsia="宋体" w:hAnsi="宋体" w:cs="Times New Roman"/>
          <w:sz w:val="24"/>
        </w:rPr>
        <w:t>2RL</w:t>
      </w:r>
      <w:r w:rsidR="0006778F" w:rsidRPr="0006778F">
        <w:rPr>
          <w:rFonts w:ascii="宋体" w:eastAsia="宋体" w:hAnsi="宋体" w:cs="Times New Roman" w:hint="eastAsia"/>
          <w:sz w:val="24"/>
        </w:rPr>
        <w:t>、</w:t>
      </w:r>
      <w:proofErr w:type="gramStart"/>
      <w:r w:rsidR="0006778F" w:rsidRPr="0006778F">
        <w:rPr>
          <w:rFonts w:ascii="宋体" w:eastAsia="宋体" w:hAnsi="宋体" w:cs="Times New Roman" w:hint="eastAsia"/>
          <w:sz w:val="24"/>
        </w:rPr>
        <w:t>分散红</w:t>
      </w:r>
      <w:proofErr w:type="gramEnd"/>
      <w:r w:rsidR="0006778F" w:rsidRPr="0006778F">
        <w:rPr>
          <w:rFonts w:ascii="宋体" w:eastAsia="宋体" w:hAnsi="宋体" w:cs="Times New Roman"/>
          <w:sz w:val="24"/>
        </w:rPr>
        <w:t>60</w:t>
      </w:r>
      <w:r w:rsidR="0006778F" w:rsidRPr="0006778F">
        <w:rPr>
          <w:rFonts w:ascii="宋体" w:eastAsia="宋体" w:hAnsi="宋体" w:cs="Times New Roman" w:hint="eastAsia"/>
          <w:sz w:val="24"/>
        </w:rPr>
        <w:t>、</w:t>
      </w:r>
      <w:proofErr w:type="gramStart"/>
      <w:r w:rsidR="0006778F" w:rsidRPr="0006778F">
        <w:rPr>
          <w:rFonts w:ascii="宋体" w:eastAsia="宋体" w:hAnsi="宋体" w:cs="Times New Roman" w:hint="eastAsia"/>
          <w:sz w:val="24"/>
        </w:rPr>
        <w:t>分散蓝</w:t>
      </w:r>
      <w:proofErr w:type="gramEnd"/>
      <w:r w:rsidR="0006778F" w:rsidRPr="0006778F">
        <w:rPr>
          <w:rFonts w:ascii="宋体" w:eastAsia="宋体" w:hAnsi="宋体" w:cs="Times New Roman"/>
          <w:sz w:val="24"/>
        </w:rPr>
        <w:t>60</w:t>
      </w:r>
      <w:r w:rsidR="0006778F" w:rsidRPr="0006778F">
        <w:rPr>
          <w:rFonts w:ascii="宋体" w:eastAsia="宋体" w:hAnsi="宋体" w:cs="Times New Roman" w:hint="eastAsia"/>
          <w:sz w:val="24"/>
        </w:rPr>
        <w:t>）生产和销售；副</w:t>
      </w:r>
      <w:r w:rsidR="0006778F" w:rsidRPr="0006778F">
        <w:rPr>
          <w:rFonts w:ascii="宋体" w:eastAsia="宋体" w:hAnsi="宋体" w:cs="Times New Roman" w:hint="eastAsia"/>
          <w:sz w:val="24"/>
        </w:rPr>
        <w:lastRenderedPageBreak/>
        <w:t>产品：盐酸、亚硫酸氢铵。一般经营项目：化工产品（危险化学品除外）销售；化工技术信息咨询服务（以上范围依法须经批准的项目，经相关部门批准后方可开展经营活动）。</w:t>
      </w:r>
    </w:p>
    <w:p w:rsidR="00E372B1" w:rsidRPr="00011454" w:rsidRDefault="00E372B1" w:rsidP="00E372B1">
      <w:pPr>
        <w:spacing w:beforeLines="30" w:before="93" w:afterLines="30" w:after="93" w:line="360" w:lineRule="auto"/>
        <w:ind w:firstLineChars="200" w:firstLine="480"/>
        <w:rPr>
          <w:rFonts w:ascii="宋体" w:eastAsia="宋体" w:hAnsi="宋体" w:cs="Times New Roman"/>
          <w:sz w:val="24"/>
        </w:rPr>
      </w:pPr>
      <w:proofErr w:type="gramStart"/>
      <w:r w:rsidRPr="00011454">
        <w:rPr>
          <w:rFonts w:ascii="宋体" w:eastAsia="宋体" w:hAnsi="宋体" w:cs="Times New Roman" w:hint="eastAsia"/>
          <w:sz w:val="24"/>
        </w:rPr>
        <w:t>恒</w:t>
      </w:r>
      <w:proofErr w:type="gramEnd"/>
      <w:r w:rsidRPr="00011454">
        <w:rPr>
          <w:rFonts w:ascii="宋体" w:eastAsia="宋体" w:hAnsi="宋体" w:cs="Times New Roman" w:hint="eastAsia"/>
          <w:sz w:val="24"/>
        </w:rPr>
        <w:t>利达最近一年及一期主要财务状况：</w:t>
      </w:r>
    </w:p>
    <w:p w:rsidR="00830522" w:rsidRPr="000712EC" w:rsidRDefault="00830522" w:rsidP="00830522">
      <w:pPr>
        <w:spacing w:beforeLines="30" w:before="93" w:afterLines="30" w:after="93" w:line="360" w:lineRule="auto"/>
        <w:ind w:firstLineChars="200" w:firstLine="480"/>
        <w:jc w:val="right"/>
        <w:rPr>
          <w:rFonts w:ascii="宋体" w:eastAsia="宋体" w:hAnsi="宋体" w:cs="Times New Roman"/>
          <w:sz w:val="24"/>
        </w:rPr>
      </w:pPr>
      <w:r w:rsidRPr="000712EC">
        <w:rPr>
          <w:rFonts w:ascii="宋体" w:eastAsia="宋体" w:hAnsi="宋体" w:cs="Times New Roman" w:hint="eastAsia"/>
          <w:sz w:val="24"/>
        </w:rPr>
        <w:t>单位：人民币万元</w:t>
      </w:r>
    </w:p>
    <w:tbl>
      <w:tblPr>
        <w:tblStyle w:val="1"/>
        <w:tblW w:w="8151" w:type="dxa"/>
        <w:jc w:val="right"/>
        <w:tblLayout w:type="fixed"/>
        <w:tblLook w:val="04A0" w:firstRow="1" w:lastRow="0" w:firstColumn="1" w:lastColumn="0" w:noHBand="0" w:noVBand="1"/>
      </w:tblPr>
      <w:tblGrid>
        <w:gridCol w:w="1951"/>
        <w:gridCol w:w="1585"/>
        <w:gridCol w:w="1704"/>
        <w:gridCol w:w="1503"/>
        <w:gridCol w:w="1408"/>
      </w:tblGrid>
      <w:tr w:rsidR="00DC5E5E" w:rsidRPr="00D83C11" w:rsidTr="00D83C11">
        <w:trPr>
          <w:jc w:val="right"/>
        </w:trPr>
        <w:tc>
          <w:tcPr>
            <w:tcW w:w="1951" w:type="dxa"/>
          </w:tcPr>
          <w:p w:rsidR="00DC5E5E" w:rsidRPr="00D83C11" w:rsidRDefault="00DC5E5E" w:rsidP="008C47E7">
            <w:pPr>
              <w:spacing w:beforeLines="15" w:before="46" w:afterLines="15" w:after="46"/>
              <w:jc w:val="center"/>
              <w:rPr>
                <w:rFonts w:asciiTheme="minorEastAsia" w:hAnsiTheme="minorEastAsia"/>
                <w:szCs w:val="21"/>
              </w:rPr>
            </w:pPr>
          </w:p>
        </w:tc>
        <w:tc>
          <w:tcPr>
            <w:tcW w:w="1585" w:type="dxa"/>
          </w:tcPr>
          <w:p w:rsidR="00DC5E5E" w:rsidRPr="00D83C11" w:rsidRDefault="00DC5E5E" w:rsidP="008C47E7">
            <w:pPr>
              <w:spacing w:beforeLines="15" w:before="46" w:afterLines="15" w:after="46"/>
              <w:jc w:val="center"/>
              <w:rPr>
                <w:rFonts w:asciiTheme="minorEastAsia" w:hAnsiTheme="minorEastAsia"/>
                <w:szCs w:val="21"/>
              </w:rPr>
            </w:pPr>
            <w:r w:rsidRPr="00D83C11">
              <w:rPr>
                <w:rFonts w:asciiTheme="minorEastAsia" w:hAnsiTheme="minorEastAsia" w:hint="eastAsia"/>
                <w:szCs w:val="21"/>
              </w:rPr>
              <w:t>总资产</w:t>
            </w:r>
          </w:p>
        </w:tc>
        <w:tc>
          <w:tcPr>
            <w:tcW w:w="1704" w:type="dxa"/>
          </w:tcPr>
          <w:p w:rsidR="00DC5E5E" w:rsidRPr="00D83C11" w:rsidRDefault="00DC5E5E" w:rsidP="008C47E7">
            <w:pPr>
              <w:spacing w:beforeLines="15" w:before="46" w:afterLines="15" w:after="46"/>
              <w:jc w:val="center"/>
              <w:rPr>
                <w:rFonts w:asciiTheme="minorEastAsia" w:hAnsiTheme="minorEastAsia"/>
                <w:szCs w:val="21"/>
              </w:rPr>
            </w:pPr>
            <w:r w:rsidRPr="00D83C11">
              <w:rPr>
                <w:rFonts w:asciiTheme="minorEastAsia" w:hAnsiTheme="minorEastAsia" w:hint="eastAsia"/>
                <w:szCs w:val="21"/>
              </w:rPr>
              <w:t>净资产</w:t>
            </w:r>
          </w:p>
        </w:tc>
        <w:tc>
          <w:tcPr>
            <w:tcW w:w="1503" w:type="dxa"/>
          </w:tcPr>
          <w:p w:rsidR="00DC5E5E" w:rsidRPr="00D83C11" w:rsidRDefault="00DC5E5E" w:rsidP="008C47E7">
            <w:pPr>
              <w:spacing w:beforeLines="15" w:before="46" w:afterLines="15" w:after="46"/>
              <w:jc w:val="center"/>
              <w:rPr>
                <w:rFonts w:asciiTheme="minorEastAsia" w:hAnsiTheme="minorEastAsia"/>
                <w:szCs w:val="21"/>
              </w:rPr>
            </w:pPr>
            <w:r w:rsidRPr="00D83C11">
              <w:rPr>
                <w:rFonts w:asciiTheme="minorEastAsia" w:hAnsiTheme="minorEastAsia" w:hint="eastAsia"/>
                <w:szCs w:val="21"/>
              </w:rPr>
              <w:t>营业收入</w:t>
            </w:r>
          </w:p>
        </w:tc>
        <w:tc>
          <w:tcPr>
            <w:tcW w:w="1408" w:type="dxa"/>
          </w:tcPr>
          <w:p w:rsidR="00DC5E5E" w:rsidRPr="00D83C11" w:rsidRDefault="00DC5E5E" w:rsidP="008C47E7">
            <w:pPr>
              <w:spacing w:beforeLines="15" w:before="46" w:afterLines="15" w:after="46"/>
              <w:jc w:val="center"/>
              <w:rPr>
                <w:rFonts w:asciiTheme="minorEastAsia" w:hAnsiTheme="minorEastAsia"/>
                <w:szCs w:val="21"/>
              </w:rPr>
            </w:pPr>
            <w:r w:rsidRPr="00D83C11">
              <w:rPr>
                <w:rFonts w:asciiTheme="minorEastAsia" w:hAnsiTheme="minorEastAsia" w:hint="eastAsia"/>
                <w:szCs w:val="21"/>
              </w:rPr>
              <w:t>净利润</w:t>
            </w:r>
          </w:p>
        </w:tc>
      </w:tr>
      <w:tr w:rsidR="00DC5E5E" w:rsidRPr="00D83C11" w:rsidTr="008C47E7">
        <w:trPr>
          <w:jc w:val="right"/>
        </w:trPr>
        <w:tc>
          <w:tcPr>
            <w:tcW w:w="1951" w:type="dxa"/>
          </w:tcPr>
          <w:p w:rsidR="00DC5E5E" w:rsidRDefault="00DC5E5E" w:rsidP="008C47E7">
            <w:pPr>
              <w:spacing w:beforeLines="15" w:before="46" w:afterLines="15" w:after="46"/>
              <w:jc w:val="center"/>
              <w:rPr>
                <w:rFonts w:asciiTheme="minorEastAsia" w:hAnsiTheme="minorEastAsia"/>
                <w:szCs w:val="21"/>
              </w:rPr>
            </w:pPr>
            <w:r w:rsidRPr="00D83C11">
              <w:rPr>
                <w:rFonts w:asciiTheme="minorEastAsia" w:hAnsiTheme="minorEastAsia" w:hint="eastAsia"/>
                <w:szCs w:val="21"/>
              </w:rPr>
              <w:t>2015年12月31日</w:t>
            </w:r>
          </w:p>
          <w:p w:rsidR="008C47E7" w:rsidRPr="00D83C11" w:rsidRDefault="008C47E7" w:rsidP="008C47E7">
            <w:pPr>
              <w:spacing w:beforeLines="15" w:before="46" w:afterLines="15" w:after="46"/>
              <w:jc w:val="center"/>
              <w:rPr>
                <w:rFonts w:asciiTheme="minorEastAsia" w:hAnsiTheme="minorEastAsia"/>
                <w:szCs w:val="21"/>
              </w:rPr>
            </w:pPr>
            <w:r>
              <w:rPr>
                <w:rFonts w:asciiTheme="minorEastAsia" w:hAnsiTheme="minorEastAsia" w:hint="eastAsia"/>
                <w:szCs w:val="21"/>
              </w:rPr>
              <w:t>(</w:t>
            </w:r>
            <w:bookmarkStart w:id="0" w:name="_GoBack"/>
            <w:bookmarkEnd w:id="0"/>
            <w:r>
              <w:rPr>
                <w:rFonts w:asciiTheme="minorEastAsia" w:hAnsiTheme="minorEastAsia" w:hint="eastAsia"/>
                <w:szCs w:val="21"/>
              </w:rPr>
              <w:t>经审计)</w:t>
            </w:r>
          </w:p>
        </w:tc>
        <w:tc>
          <w:tcPr>
            <w:tcW w:w="1585" w:type="dxa"/>
            <w:vAlign w:val="center"/>
          </w:tcPr>
          <w:p w:rsidR="00DC5E5E" w:rsidRPr="00D83C11" w:rsidRDefault="00DC5E5E" w:rsidP="008C47E7">
            <w:pPr>
              <w:spacing w:beforeLines="15" w:before="46" w:afterLines="15" w:after="46"/>
              <w:jc w:val="right"/>
              <w:rPr>
                <w:rFonts w:asciiTheme="minorEastAsia" w:hAnsiTheme="minorEastAsia"/>
                <w:szCs w:val="21"/>
              </w:rPr>
            </w:pPr>
            <w:r w:rsidRPr="00D83C11">
              <w:rPr>
                <w:rFonts w:asciiTheme="minorEastAsia" w:hAnsiTheme="minorEastAsia" w:hint="eastAsia"/>
                <w:szCs w:val="21"/>
              </w:rPr>
              <w:t>36,594.52</w:t>
            </w:r>
          </w:p>
        </w:tc>
        <w:tc>
          <w:tcPr>
            <w:tcW w:w="1704" w:type="dxa"/>
            <w:vAlign w:val="center"/>
          </w:tcPr>
          <w:p w:rsidR="00DC5E5E" w:rsidRPr="00D83C11" w:rsidRDefault="00DC5E5E" w:rsidP="008C47E7">
            <w:pPr>
              <w:spacing w:beforeLines="15" w:before="46" w:afterLines="15" w:after="46"/>
              <w:jc w:val="right"/>
              <w:rPr>
                <w:rFonts w:asciiTheme="minorEastAsia" w:hAnsiTheme="minorEastAsia"/>
                <w:szCs w:val="21"/>
              </w:rPr>
            </w:pPr>
            <w:r w:rsidRPr="00D83C11">
              <w:rPr>
                <w:rFonts w:asciiTheme="minorEastAsia" w:hAnsiTheme="minorEastAsia" w:hint="eastAsia"/>
                <w:szCs w:val="21"/>
              </w:rPr>
              <w:t>16,442.03</w:t>
            </w:r>
          </w:p>
        </w:tc>
        <w:tc>
          <w:tcPr>
            <w:tcW w:w="1503" w:type="dxa"/>
            <w:vAlign w:val="center"/>
          </w:tcPr>
          <w:p w:rsidR="00DC5E5E" w:rsidRPr="00D83C11" w:rsidRDefault="00DC5E5E" w:rsidP="008C47E7">
            <w:pPr>
              <w:spacing w:beforeLines="15" w:before="46" w:afterLines="15" w:after="46"/>
              <w:jc w:val="right"/>
              <w:rPr>
                <w:rFonts w:asciiTheme="minorEastAsia" w:hAnsiTheme="minorEastAsia"/>
                <w:szCs w:val="21"/>
              </w:rPr>
            </w:pPr>
            <w:r w:rsidRPr="00D83C11">
              <w:rPr>
                <w:rFonts w:asciiTheme="minorEastAsia" w:hAnsiTheme="minorEastAsia" w:hint="eastAsia"/>
                <w:szCs w:val="21"/>
              </w:rPr>
              <w:t>49,705.85</w:t>
            </w:r>
          </w:p>
        </w:tc>
        <w:tc>
          <w:tcPr>
            <w:tcW w:w="1408" w:type="dxa"/>
            <w:vAlign w:val="center"/>
          </w:tcPr>
          <w:p w:rsidR="00DC5E5E" w:rsidRPr="00D83C11" w:rsidRDefault="00DC5E5E" w:rsidP="008C47E7">
            <w:pPr>
              <w:spacing w:beforeLines="15" w:before="46" w:afterLines="15" w:after="46"/>
              <w:jc w:val="right"/>
              <w:rPr>
                <w:rFonts w:asciiTheme="minorEastAsia" w:hAnsiTheme="minorEastAsia"/>
                <w:szCs w:val="21"/>
              </w:rPr>
            </w:pPr>
            <w:r w:rsidRPr="00D83C11">
              <w:rPr>
                <w:rFonts w:asciiTheme="minorEastAsia" w:hAnsiTheme="minorEastAsia" w:hint="eastAsia"/>
                <w:szCs w:val="21"/>
              </w:rPr>
              <w:t>5,094.29</w:t>
            </w:r>
          </w:p>
        </w:tc>
      </w:tr>
      <w:tr w:rsidR="00DC5E5E" w:rsidRPr="00D83C11" w:rsidTr="008C47E7">
        <w:trPr>
          <w:jc w:val="right"/>
        </w:trPr>
        <w:tc>
          <w:tcPr>
            <w:tcW w:w="1951" w:type="dxa"/>
          </w:tcPr>
          <w:p w:rsidR="00DC5E5E" w:rsidRDefault="00DC5E5E" w:rsidP="008C47E7">
            <w:pPr>
              <w:spacing w:beforeLines="15" w:before="46" w:afterLines="15" w:after="46"/>
              <w:jc w:val="center"/>
              <w:rPr>
                <w:rFonts w:asciiTheme="minorEastAsia" w:hAnsiTheme="minorEastAsia"/>
                <w:szCs w:val="21"/>
              </w:rPr>
            </w:pPr>
            <w:r w:rsidRPr="00D83C11">
              <w:rPr>
                <w:rFonts w:asciiTheme="minorEastAsia" w:hAnsiTheme="minorEastAsia" w:hint="eastAsia"/>
                <w:szCs w:val="21"/>
              </w:rPr>
              <w:t>2016年9月30日</w:t>
            </w:r>
          </w:p>
          <w:p w:rsidR="008C47E7" w:rsidRPr="00D83C11" w:rsidRDefault="008C47E7" w:rsidP="008C47E7">
            <w:pPr>
              <w:spacing w:beforeLines="15" w:before="46" w:afterLines="15" w:after="46"/>
              <w:jc w:val="center"/>
              <w:rPr>
                <w:rFonts w:asciiTheme="minorEastAsia" w:hAnsiTheme="minorEastAsia"/>
                <w:szCs w:val="21"/>
              </w:rPr>
            </w:pPr>
            <w:r>
              <w:rPr>
                <w:rFonts w:asciiTheme="minorEastAsia" w:hAnsiTheme="minorEastAsia" w:hint="eastAsia"/>
                <w:szCs w:val="21"/>
              </w:rPr>
              <w:t>（未经审计）</w:t>
            </w:r>
          </w:p>
        </w:tc>
        <w:tc>
          <w:tcPr>
            <w:tcW w:w="1585" w:type="dxa"/>
            <w:vAlign w:val="center"/>
          </w:tcPr>
          <w:p w:rsidR="00DC5E5E" w:rsidRPr="00D83C11" w:rsidRDefault="00DC5E5E" w:rsidP="008C47E7">
            <w:pPr>
              <w:spacing w:beforeLines="15" w:before="46" w:afterLines="15" w:after="46"/>
              <w:jc w:val="right"/>
              <w:rPr>
                <w:rFonts w:asciiTheme="minorEastAsia" w:hAnsiTheme="minorEastAsia"/>
                <w:szCs w:val="21"/>
              </w:rPr>
            </w:pPr>
            <w:r w:rsidRPr="00D83C11">
              <w:rPr>
                <w:rFonts w:asciiTheme="minorEastAsia" w:hAnsiTheme="minorEastAsia" w:hint="eastAsia"/>
                <w:szCs w:val="21"/>
              </w:rPr>
              <w:t>50,667.85</w:t>
            </w:r>
          </w:p>
        </w:tc>
        <w:tc>
          <w:tcPr>
            <w:tcW w:w="1704" w:type="dxa"/>
            <w:vAlign w:val="center"/>
          </w:tcPr>
          <w:p w:rsidR="00DC5E5E" w:rsidRPr="00D83C11" w:rsidRDefault="00DC5E5E" w:rsidP="008C47E7">
            <w:pPr>
              <w:spacing w:beforeLines="15" w:before="46" w:afterLines="15" w:after="46"/>
              <w:jc w:val="right"/>
              <w:rPr>
                <w:rFonts w:asciiTheme="minorEastAsia" w:hAnsiTheme="minorEastAsia"/>
                <w:szCs w:val="21"/>
              </w:rPr>
            </w:pPr>
            <w:r w:rsidRPr="00D83C11">
              <w:rPr>
                <w:rFonts w:asciiTheme="minorEastAsia" w:hAnsiTheme="minorEastAsia" w:hint="eastAsia"/>
                <w:szCs w:val="21"/>
              </w:rPr>
              <w:t>21,006.82</w:t>
            </w:r>
          </w:p>
        </w:tc>
        <w:tc>
          <w:tcPr>
            <w:tcW w:w="1503" w:type="dxa"/>
            <w:vAlign w:val="center"/>
          </w:tcPr>
          <w:p w:rsidR="00DC5E5E" w:rsidRPr="00D83C11" w:rsidRDefault="00DC5E5E" w:rsidP="008C47E7">
            <w:pPr>
              <w:spacing w:beforeLines="15" w:before="46" w:afterLines="15" w:after="46"/>
              <w:jc w:val="right"/>
              <w:rPr>
                <w:rFonts w:asciiTheme="minorEastAsia" w:hAnsiTheme="minorEastAsia"/>
                <w:szCs w:val="21"/>
              </w:rPr>
            </w:pPr>
            <w:r w:rsidRPr="00D83C11">
              <w:rPr>
                <w:rFonts w:asciiTheme="minorEastAsia" w:hAnsiTheme="minorEastAsia" w:hint="eastAsia"/>
                <w:szCs w:val="21"/>
              </w:rPr>
              <w:t>30,092.43</w:t>
            </w:r>
          </w:p>
        </w:tc>
        <w:tc>
          <w:tcPr>
            <w:tcW w:w="1408" w:type="dxa"/>
            <w:vAlign w:val="center"/>
          </w:tcPr>
          <w:p w:rsidR="00DC5E5E" w:rsidRPr="00D83C11" w:rsidRDefault="00DC5E5E" w:rsidP="008C47E7">
            <w:pPr>
              <w:spacing w:beforeLines="15" w:before="46" w:afterLines="15" w:after="46"/>
              <w:jc w:val="right"/>
              <w:rPr>
                <w:rFonts w:asciiTheme="minorEastAsia" w:hAnsiTheme="minorEastAsia"/>
                <w:szCs w:val="21"/>
              </w:rPr>
            </w:pPr>
            <w:r w:rsidRPr="00D83C11">
              <w:rPr>
                <w:rFonts w:asciiTheme="minorEastAsia" w:hAnsiTheme="minorEastAsia" w:hint="eastAsia"/>
                <w:szCs w:val="21"/>
              </w:rPr>
              <w:t>3,175.40</w:t>
            </w:r>
          </w:p>
        </w:tc>
      </w:tr>
    </w:tbl>
    <w:p w:rsidR="0006778F" w:rsidRDefault="0006778F" w:rsidP="00B44A0D">
      <w:pPr>
        <w:spacing w:beforeLines="30" w:before="93" w:afterLines="30" w:after="93" w:line="360" w:lineRule="auto"/>
        <w:ind w:firstLineChars="200" w:firstLine="482"/>
        <w:rPr>
          <w:rFonts w:asciiTheme="minorEastAsia" w:hAnsiTheme="minorEastAsia" w:cs="Times New Roman"/>
          <w:b/>
          <w:sz w:val="24"/>
        </w:rPr>
      </w:pPr>
    </w:p>
    <w:p w:rsidR="0006778F" w:rsidRPr="0006778F" w:rsidRDefault="0006778F" w:rsidP="0006778F">
      <w:pPr>
        <w:spacing w:beforeLines="30" w:before="93" w:afterLines="30" w:after="93" w:line="360" w:lineRule="auto"/>
        <w:ind w:firstLineChars="200" w:firstLine="482"/>
        <w:rPr>
          <w:rFonts w:asciiTheme="minorEastAsia" w:hAnsiTheme="minorEastAsia" w:cs="Times New Roman"/>
          <w:b/>
          <w:sz w:val="24"/>
        </w:rPr>
      </w:pPr>
      <w:r>
        <w:rPr>
          <w:rFonts w:asciiTheme="minorEastAsia" w:hAnsiTheme="minorEastAsia" w:cs="Times New Roman" w:hint="eastAsia"/>
          <w:b/>
          <w:sz w:val="24"/>
        </w:rPr>
        <w:t>三、</w:t>
      </w:r>
      <w:r w:rsidRPr="0006778F">
        <w:rPr>
          <w:rFonts w:asciiTheme="minorEastAsia" w:hAnsiTheme="minorEastAsia" w:cs="Times New Roman" w:hint="eastAsia"/>
          <w:b/>
          <w:sz w:val="24"/>
        </w:rPr>
        <w:t xml:space="preserve">本次增资的目的和影响 </w:t>
      </w:r>
    </w:p>
    <w:p w:rsidR="0006778F" w:rsidRPr="0006778F" w:rsidRDefault="0006778F" w:rsidP="0006778F">
      <w:pPr>
        <w:spacing w:beforeLines="30" w:before="93" w:afterLines="30" w:after="93" w:line="360" w:lineRule="auto"/>
        <w:ind w:firstLineChars="200" w:firstLine="480"/>
        <w:rPr>
          <w:rFonts w:ascii="宋体" w:eastAsia="宋体" w:hAnsi="宋体" w:cs="Times New Roman"/>
          <w:sz w:val="24"/>
        </w:rPr>
      </w:pPr>
      <w:r w:rsidRPr="0006778F">
        <w:rPr>
          <w:rFonts w:ascii="宋体" w:eastAsia="宋体" w:hAnsi="宋体" w:cs="Times New Roman" w:hint="eastAsia"/>
          <w:sz w:val="24"/>
        </w:rPr>
        <w:t>本次增资的资金来源为公司</w:t>
      </w:r>
      <w:r w:rsidRPr="00675AC6">
        <w:rPr>
          <w:rFonts w:ascii="宋体" w:eastAsia="宋体" w:hAnsi="宋体" w:cs="Times New Roman" w:hint="eastAsia"/>
          <w:sz w:val="24"/>
        </w:rPr>
        <w:t>发行股份及支付现金购买资产并募集配套资金</w:t>
      </w:r>
      <w:r>
        <w:rPr>
          <w:rFonts w:ascii="宋体" w:eastAsia="宋体" w:hAnsi="宋体" w:cs="Times New Roman" w:hint="eastAsia"/>
          <w:sz w:val="24"/>
        </w:rPr>
        <w:t>之募集配套资金部分</w:t>
      </w:r>
      <w:r w:rsidRPr="0006778F">
        <w:rPr>
          <w:rFonts w:ascii="宋体" w:eastAsia="宋体" w:hAnsi="宋体" w:cs="Times New Roman" w:hint="eastAsia"/>
          <w:sz w:val="24"/>
        </w:rPr>
        <w:t>。</w:t>
      </w:r>
    </w:p>
    <w:p w:rsidR="00830522" w:rsidRDefault="00830522" w:rsidP="00C102A3">
      <w:pPr>
        <w:spacing w:beforeLines="30" w:before="93" w:afterLines="30" w:after="93" w:line="360" w:lineRule="auto"/>
        <w:ind w:firstLineChars="225" w:firstLine="540"/>
        <w:rPr>
          <w:rFonts w:ascii="宋体" w:eastAsia="宋体" w:hAnsi="宋体" w:cs="Times New Roman"/>
          <w:sz w:val="24"/>
        </w:rPr>
      </w:pPr>
      <w:r w:rsidRPr="000712EC">
        <w:rPr>
          <w:rFonts w:ascii="宋体" w:eastAsia="宋体" w:hAnsi="宋体" w:cs="Times New Roman" w:hint="eastAsia"/>
          <w:sz w:val="24"/>
        </w:rPr>
        <w:t>本次增资是基于募集配套资金投资项目的实际需要，符合募集配套资金使用计划，有利于募集配套资金建设项目按计划建成投产，符合公司的发展战略和长远规划，符合公司及全体股东的利益。</w:t>
      </w:r>
    </w:p>
    <w:p w:rsidR="009F1EE3" w:rsidRPr="00F67C43" w:rsidRDefault="009F1EE3" w:rsidP="00C102A3">
      <w:pPr>
        <w:spacing w:beforeLines="30" w:before="93" w:afterLines="30" w:after="93" w:line="360" w:lineRule="auto"/>
        <w:ind w:firstLineChars="225" w:firstLine="540"/>
        <w:rPr>
          <w:rFonts w:asciiTheme="minorEastAsia" w:hAnsiTheme="minorEastAsia" w:cs="Times New Roman"/>
          <w:color w:val="000000"/>
          <w:kern w:val="0"/>
          <w:sz w:val="24"/>
          <w:szCs w:val="24"/>
        </w:rPr>
      </w:pPr>
      <w:r w:rsidRPr="00F67C43">
        <w:rPr>
          <w:rFonts w:asciiTheme="minorEastAsia" w:hAnsiTheme="minorEastAsia" w:cs="Times New Roman"/>
          <w:color w:val="000000"/>
          <w:kern w:val="0"/>
          <w:sz w:val="24"/>
          <w:szCs w:val="24"/>
        </w:rPr>
        <w:t>特此公告。</w:t>
      </w:r>
    </w:p>
    <w:p w:rsidR="0040284D" w:rsidRPr="00F67C43" w:rsidRDefault="0040284D" w:rsidP="009651EE">
      <w:pPr>
        <w:spacing w:beforeLines="30" w:before="93" w:afterLines="30" w:after="93" w:line="360" w:lineRule="auto"/>
        <w:ind w:firstLineChars="200" w:firstLine="480"/>
        <w:rPr>
          <w:rFonts w:asciiTheme="minorEastAsia" w:hAnsiTheme="minorEastAsia" w:cs="宋体"/>
          <w:color w:val="000000"/>
          <w:kern w:val="0"/>
          <w:sz w:val="24"/>
          <w:szCs w:val="24"/>
        </w:rPr>
      </w:pPr>
    </w:p>
    <w:p w:rsidR="009F1EE3" w:rsidRPr="00F67C43" w:rsidRDefault="009F1EE3" w:rsidP="009F1EE3">
      <w:pPr>
        <w:spacing w:beforeLines="30" w:before="93" w:afterLines="30" w:after="93" w:line="276" w:lineRule="auto"/>
        <w:ind w:firstLineChars="200" w:firstLine="480"/>
        <w:jc w:val="right"/>
        <w:rPr>
          <w:rFonts w:asciiTheme="minorEastAsia" w:hAnsiTheme="minorEastAsia" w:cs="宋体"/>
          <w:color w:val="000000"/>
          <w:kern w:val="0"/>
          <w:sz w:val="24"/>
          <w:szCs w:val="24"/>
        </w:rPr>
      </w:pPr>
      <w:r w:rsidRPr="00F67C43">
        <w:rPr>
          <w:rFonts w:asciiTheme="minorEastAsia" w:hAnsiTheme="minorEastAsia" w:cs="宋体" w:hint="eastAsia"/>
          <w:color w:val="000000"/>
          <w:kern w:val="0"/>
          <w:sz w:val="24"/>
          <w:szCs w:val="24"/>
        </w:rPr>
        <w:t>江苏吴中实业股份有限公司</w:t>
      </w:r>
    </w:p>
    <w:p w:rsidR="009F1EE3" w:rsidRPr="00F67C43" w:rsidRDefault="009F1EE3" w:rsidP="009F1EE3">
      <w:pPr>
        <w:wordWrap w:val="0"/>
        <w:spacing w:beforeLines="30" w:before="93" w:afterLines="30" w:after="93" w:line="276" w:lineRule="auto"/>
        <w:ind w:firstLineChars="200" w:firstLine="480"/>
        <w:jc w:val="right"/>
        <w:rPr>
          <w:rFonts w:asciiTheme="minorEastAsia" w:hAnsiTheme="minorEastAsia" w:cs="宋体"/>
          <w:color w:val="000000"/>
          <w:kern w:val="0"/>
          <w:sz w:val="24"/>
          <w:szCs w:val="24"/>
        </w:rPr>
      </w:pPr>
      <w:r w:rsidRPr="00F67C43">
        <w:rPr>
          <w:rFonts w:asciiTheme="minorEastAsia" w:hAnsiTheme="minorEastAsia" w:cs="宋体" w:hint="eastAsia"/>
          <w:color w:val="000000"/>
          <w:kern w:val="0"/>
          <w:sz w:val="24"/>
          <w:szCs w:val="24"/>
        </w:rPr>
        <w:t xml:space="preserve">董事会      </w:t>
      </w:r>
    </w:p>
    <w:p w:rsidR="009F1EE3" w:rsidRPr="00F67C43" w:rsidRDefault="007D367E" w:rsidP="007D367E">
      <w:pPr>
        <w:wordWrap w:val="0"/>
        <w:spacing w:beforeLines="30" w:before="93" w:afterLines="30" w:after="93" w:line="276" w:lineRule="auto"/>
        <w:ind w:firstLineChars="200" w:firstLine="480"/>
        <w:jc w:val="righ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 xml:space="preserve"> </w:t>
      </w:r>
      <w:r w:rsidR="009F1EE3" w:rsidRPr="00F67C43">
        <w:rPr>
          <w:rFonts w:asciiTheme="minorEastAsia" w:hAnsiTheme="minorEastAsia" w:cs="宋体" w:hint="eastAsia"/>
          <w:color w:val="000000"/>
          <w:kern w:val="0"/>
          <w:sz w:val="24"/>
          <w:szCs w:val="24"/>
        </w:rPr>
        <w:t>2016年</w:t>
      </w:r>
      <w:r w:rsidR="00103CAC">
        <w:rPr>
          <w:rFonts w:asciiTheme="minorEastAsia" w:hAnsiTheme="minorEastAsia" w:cs="宋体" w:hint="eastAsia"/>
          <w:color w:val="000000"/>
          <w:kern w:val="0"/>
          <w:sz w:val="24"/>
          <w:szCs w:val="24"/>
        </w:rPr>
        <w:t>10</w:t>
      </w:r>
      <w:r w:rsidR="009F1EE3" w:rsidRPr="00F67C43">
        <w:rPr>
          <w:rFonts w:asciiTheme="minorEastAsia" w:hAnsiTheme="minorEastAsia" w:cs="宋体" w:hint="eastAsia"/>
          <w:color w:val="000000"/>
          <w:kern w:val="0"/>
          <w:sz w:val="24"/>
          <w:szCs w:val="24"/>
        </w:rPr>
        <w:t>月</w:t>
      </w:r>
      <w:r w:rsidR="006B49B3">
        <w:rPr>
          <w:rFonts w:asciiTheme="minorEastAsia" w:hAnsiTheme="minorEastAsia" w:cs="宋体" w:hint="eastAsia"/>
          <w:color w:val="000000"/>
          <w:kern w:val="0"/>
          <w:sz w:val="24"/>
          <w:szCs w:val="24"/>
        </w:rPr>
        <w:t>29</w:t>
      </w:r>
      <w:r w:rsidR="009F1EE3" w:rsidRPr="00F67C43">
        <w:rPr>
          <w:rFonts w:asciiTheme="minorEastAsia" w:hAnsiTheme="minorEastAsia" w:cs="宋体" w:hint="eastAsia"/>
          <w:color w:val="000000"/>
          <w:kern w:val="0"/>
          <w:sz w:val="24"/>
          <w:szCs w:val="24"/>
        </w:rPr>
        <w:t>日</w:t>
      </w:r>
    </w:p>
    <w:sectPr w:rsidR="009F1EE3" w:rsidRPr="00F67C43" w:rsidSect="00D83C11">
      <w:footerReference w:type="default" r:id="rId8"/>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40F6" w:rsidRDefault="00C840F6" w:rsidP="00B6189A">
      <w:r>
        <w:separator/>
      </w:r>
    </w:p>
  </w:endnote>
  <w:endnote w:type="continuationSeparator" w:id="0">
    <w:p w:rsidR="00C840F6" w:rsidRDefault="00C840F6" w:rsidP="00B61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5737774"/>
      <w:docPartObj>
        <w:docPartGallery w:val="Page Numbers (Bottom of Page)"/>
        <w:docPartUnique/>
      </w:docPartObj>
    </w:sdtPr>
    <w:sdtEndPr/>
    <w:sdtContent>
      <w:p w:rsidR="00FE02F8" w:rsidRDefault="00FE02F8">
        <w:pPr>
          <w:pStyle w:val="a9"/>
          <w:jc w:val="center"/>
        </w:pPr>
        <w:r>
          <w:fldChar w:fldCharType="begin"/>
        </w:r>
        <w:r>
          <w:instrText>PAGE   \* MERGEFORMAT</w:instrText>
        </w:r>
        <w:r>
          <w:fldChar w:fldCharType="separate"/>
        </w:r>
        <w:r w:rsidR="00D60F09" w:rsidRPr="00D60F09">
          <w:rPr>
            <w:noProof/>
            <w:lang w:val="zh-CN"/>
          </w:rPr>
          <w:t>3</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40F6" w:rsidRDefault="00C840F6" w:rsidP="00B6189A">
      <w:r>
        <w:separator/>
      </w:r>
    </w:p>
  </w:footnote>
  <w:footnote w:type="continuationSeparator" w:id="0">
    <w:p w:rsidR="00C840F6" w:rsidRDefault="00C840F6" w:rsidP="00B618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203"/>
    <w:rsid w:val="0001083C"/>
    <w:rsid w:val="00030C0F"/>
    <w:rsid w:val="000443B5"/>
    <w:rsid w:val="0005324B"/>
    <w:rsid w:val="0006778F"/>
    <w:rsid w:val="000939D2"/>
    <w:rsid w:val="000B0E42"/>
    <w:rsid w:val="000B6294"/>
    <w:rsid w:val="000C47D2"/>
    <w:rsid w:val="000E574F"/>
    <w:rsid w:val="00103CAC"/>
    <w:rsid w:val="00105D59"/>
    <w:rsid w:val="0012086F"/>
    <w:rsid w:val="001236B0"/>
    <w:rsid w:val="00136494"/>
    <w:rsid w:val="001A4EC3"/>
    <w:rsid w:val="001B22B1"/>
    <w:rsid w:val="001B54A8"/>
    <w:rsid w:val="001B6492"/>
    <w:rsid w:val="001E3078"/>
    <w:rsid w:val="001F7BDC"/>
    <w:rsid w:val="00207EF6"/>
    <w:rsid w:val="002138DA"/>
    <w:rsid w:val="002154D8"/>
    <w:rsid w:val="00222E59"/>
    <w:rsid w:val="00227F0D"/>
    <w:rsid w:val="00241892"/>
    <w:rsid w:val="002618CB"/>
    <w:rsid w:val="002729F2"/>
    <w:rsid w:val="0028331F"/>
    <w:rsid w:val="00295801"/>
    <w:rsid w:val="002B572E"/>
    <w:rsid w:val="002E001F"/>
    <w:rsid w:val="002E1D9A"/>
    <w:rsid w:val="003204F0"/>
    <w:rsid w:val="00333B45"/>
    <w:rsid w:val="00334208"/>
    <w:rsid w:val="00337A3C"/>
    <w:rsid w:val="00355E12"/>
    <w:rsid w:val="003A4806"/>
    <w:rsid w:val="003A7240"/>
    <w:rsid w:val="003B1AED"/>
    <w:rsid w:val="003B6467"/>
    <w:rsid w:val="003E50E4"/>
    <w:rsid w:val="0040284D"/>
    <w:rsid w:val="004374E1"/>
    <w:rsid w:val="00440B04"/>
    <w:rsid w:val="0046523C"/>
    <w:rsid w:val="00481401"/>
    <w:rsid w:val="00494222"/>
    <w:rsid w:val="0049655D"/>
    <w:rsid w:val="004A2267"/>
    <w:rsid w:val="004C59F2"/>
    <w:rsid w:val="004C71A4"/>
    <w:rsid w:val="004F3234"/>
    <w:rsid w:val="005027F2"/>
    <w:rsid w:val="00512491"/>
    <w:rsid w:val="0051756C"/>
    <w:rsid w:val="0052397F"/>
    <w:rsid w:val="00536E6D"/>
    <w:rsid w:val="00560BFE"/>
    <w:rsid w:val="00575A61"/>
    <w:rsid w:val="00576772"/>
    <w:rsid w:val="005844DC"/>
    <w:rsid w:val="005A2A00"/>
    <w:rsid w:val="005C135C"/>
    <w:rsid w:val="00612B51"/>
    <w:rsid w:val="00637E74"/>
    <w:rsid w:val="006515D2"/>
    <w:rsid w:val="00675AC6"/>
    <w:rsid w:val="00676A0D"/>
    <w:rsid w:val="00683074"/>
    <w:rsid w:val="006837E1"/>
    <w:rsid w:val="006B07A7"/>
    <w:rsid w:val="006B49B3"/>
    <w:rsid w:val="0072379D"/>
    <w:rsid w:val="00730B9D"/>
    <w:rsid w:val="00734636"/>
    <w:rsid w:val="00753203"/>
    <w:rsid w:val="0077165D"/>
    <w:rsid w:val="007C3699"/>
    <w:rsid w:val="007D32B4"/>
    <w:rsid w:val="007D367E"/>
    <w:rsid w:val="007F43DB"/>
    <w:rsid w:val="0082593F"/>
    <w:rsid w:val="00827654"/>
    <w:rsid w:val="00830522"/>
    <w:rsid w:val="00844AA8"/>
    <w:rsid w:val="00846C19"/>
    <w:rsid w:val="00850EAB"/>
    <w:rsid w:val="008538CC"/>
    <w:rsid w:val="008A26ED"/>
    <w:rsid w:val="008B14C6"/>
    <w:rsid w:val="008B1F0E"/>
    <w:rsid w:val="008C47E7"/>
    <w:rsid w:val="008D066A"/>
    <w:rsid w:val="008E1826"/>
    <w:rsid w:val="00911694"/>
    <w:rsid w:val="009651EE"/>
    <w:rsid w:val="00981997"/>
    <w:rsid w:val="009A2542"/>
    <w:rsid w:val="009B3132"/>
    <w:rsid w:val="009C246C"/>
    <w:rsid w:val="009E13A1"/>
    <w:rsid w:val="009E2D1D"/>
    <w:rsid w:val="009F1EE3"/>
    <w:rsid w:val="00A12ACE"/>
    <w:rsid w:val="00A3139C"/>
    <w:rsid w:val="00A51293"/>
    <w:rsid w:val="00A550A2"/>
    <w:rsid w:val="00A63496"/>
    <w:rsid w:val="00A67016"/>
    <w:rsid w:val="00A967F4"/>
    <w:rsid w:val="00A96BCA"/>
    <w:rsid w:val="00AA04B0"/>
    <w:rsid w:val="00AB26C2"/>
    <w:rsid w:val="00AE4396"/>
    <w:rsid w:val="00B1038C"/>
    <w:rsid w:val="00B17499"/>
    <w:rsid w:val="00B44A0D"/>
    <w:rsid w:val="00B6189A"/>
    <w:rsid w:val="00B71FFD"/>
    <w:rsid w:val="00B777B9"/>
    <w:rsid w:val="00B94C92"/>
    <w:rsid w:val="00C102A3"/>
    <w:rsid w:val="00C25B76"/>
    <w:rsid w:val="00C40829"/>
    <w:rsid w:val="00C54967"/>
    <w:rsid w:val="00C60E98"/>
    <w:rsid w:val="00C62C25"/>
    <w:rsid w:val="00C67714"/>
    <w:rsid w:val="00C81B27"/>
    <w:rsid w:val="00C840F6"/>
    <w:rsid w:val="00C84A88"/>
    <w:rsid w:val="00CA3697"/>
    <w:rsid w:val="00CA7C53"/>
    <w:rsid w:val="00CB0DF0"/>
    <w:rsid w:val="00CE2A12"/>
    <w:rsid w:val="00CF10DC"/>
    <w:rsid w:val="00D0344D"/>
    <w:rsid w:val="00D105C5"/>
    <w:rsid w:val="00D50F76"/>
    <w:rsid w:val="00D60F09"/>
    <w:rsid w:val="00D8059B"/>
    <w:rsid w:val="00D83C11"/>
    <w:rsid w:val="00DA125E"/>
    <w:rsid w:val="00DA2EB2"/>
    <w:rsid w:val="00DB001D"/>
    <w:rsid w:val="00DC4AF2"/>
    <w:rsid w:val="00DC5E5E"/>
    <w:rsid w:val="00DD2757"/>
    <w:rsid w:val="00DD718F"/>
    <w:rsid w:val="00DF1734"/>
    <w:rsid w:val="00E05D09"/>
    <w:rsid w:val="00E372B1"/>
    <w:rsid w:val="00E41024"/>
    <w:rsid w:val="00E82F7C"/>
    <w:rsid w:val="00EB1EF2"/>
    <w:rsid w:val="00EC4D8D"/>
    <w:rsid w:val="00ED5015"/>
    <w:rsid w:val="00EF549E"/>
    <w:rsid w:val="00EF5517"/>
    <w:rsid w:val="00F22BFD"/>
    <w:rsid w:val="00F25550"/>
    <w:rsid w:val="00F50185"/>
    <w:rsid w:val="00F57748"/>
    <w:rsid w:val="00F623B6"/>
    <w:rsid w:val="00F67C43"/>
    <w:rsid w:val="00F97C34"/>
    <w:rsid w:val="00FB030F"/>
    <w:rsid w:val="00FD1FE3"/>
    <w:rsid w:val="00FE02F8"/>
    <w:rsid w:val="00FF6D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1E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532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53203"/>
    <w:pPr>
      <w:widowControl w:val="0"/>
      <w:autoSpaceDE w:val="0"/>
      <w:autoSpaceDN w:val="0"/>
      <w:adjustRightInd w:val="0"/>
    </w:pPr>
    <w:rPr>
      <w:rFonts w:ascii="宋体" w:eastAsia="宋体" w:cs="宋体"/>
      <w:color w:val="000000"/>
      <w:kern w:val="0"/>
      <w:sz w:val="24"/>
      <w:szCs w:val="24"/>
    </w:rPr>
  </w:style>
  <w:style w:type="paragraph" w:customStyle="1" w:styleId="2">
    <w:name w:val="样式 首行缩进:  2 字符"/>
    <w:basedOn w:val="a"/>
    <w:rsid w:val="00753203"/>
    <w:pPr>
      <w:widowControl/>
      <w:snapToGrid w:val="0"/>
      <w:spacing w:before="60" w:after="60" w:line="360" w:lineRule="auto"/>
      <w:ind w:firstLine="480"/>
    </w:pPr>
    <w:rPr>
      <w:rFonts w:ascii="Times New Roman" w:eastAsia="宋体" w:hAnsi="Times New Roman" w:cs="Times New Roman"/>
      <w:kern w:val="0"/>
      <w:sz w:val="24"/>
      <w:szCs w:val="24"/>
    </w:rPr>
  </w:style>
  <w:style w:type="character" w:styleId="a4">
    <w:name w:val="annotation reference"/>
    <w:basedOn w:val="a0"/>
    <w:uiPriority w:val="99"/>
    <w:semiHidden/>
    <w:unhideWhenUsed/>
    <w:rsid w:val="00753203"/>
    <w:rPr>
      <w:sz w:val="21"/>
      <w:szCs w:val="21"/>
    </w:rPr>
  </w:style>
  <w:style w:type="paragraph" w:styleId="a5">
    <w:name w:val="annotation text"/>
    <w:basedOn w:val="a"/>
    <w:link w:val="Char"/>
    <w:uiPriority w:val="99"/>
    <w:semiHidden/>
    <w:unhideWhenUsed/>
    <w:rsid w:val="00753203"/>
    <w:pPr>
      <w:jc w:val="left"/>
    </w:pPr>
  </w:style>
  <w:style w:type="character" w:customStyle="1" w:styleId="Char">
    <w:name w:val="批注文字 Char"/>
    <w:basedOn w:val="a0"/>
    <w:link w:val="a5"/>
    <w:uiPriority w:val="99"/>
    <w:semiHidden/>
    <w:rsid w:val="00753203"/>
  </w:style>
  <w:style w:type="paragraph" w:styleId="a6">
    <w:name w:val="annotation subject"/>
    <w:basedOn w:val="a5"/>
    <w:next w:val="a5"/>
    <w:link w:val="Char0"/>
    <w:uiPriority w:val="99"/>
    <w:semiHidden/>
    <w:unhideWhenUsed/>
    <w:rsid w:val="00753203"/>
    <w:rPr>
      <w:b/>
      <w:bCs/>
    </w:rPr>
  </w:style>
  <w:style w:type="character" w:customStyle="1" w:styleId="Char0">
    <w:name w:val="批注主题 Char"/>
    <w:basedOn w:val="Char"/>
    <w:link w:val="a6"/>
    <w:uiPriority w:val="99"/>
    <w:semiHidden/>
    <w:rsid w:val="00753203"/>
    <w:rPr>
      <w:b/>
      <w:bCs/>
    </w:rPr>
  </w:style>
  <w:style w:type="paragraph" w:styleId="a7">
    <w:name w:val="Balloon Text"/>
    <w:basedOn w:val="a"/>
    <w:link w:val="Char1"/>
    <w:uiPriority w:val="99"/>
    <w:semiHidden/>
    <w:unhideWhenUsed/>
    <w:rsid w:val="00753203"/>
    <w:rPr>
      <w:sz w:val="18"/>
      <w:szCs w:val="18"/>
    </w:rPr>
  </w:style>
  <w:style w:type="character" w:customStyle="1" w:styleId="Char1">
    <w:name w:val="批注框文本 Char"/>
    <w:basedOn w:val="a0"/>
    <w:link w:val="a7"/>
    <w:uiPriority w:val="99"/>
    <w:semiHidden/>
    <w:rsid w:val="00753203"/>
    <w:rPr>
      <w:sz w:val="18"/>
      <w:szCs w:val="18"/>
    </w:rPr>
  </w:style>
  <w:style w:type="paragraph" w:styleId="a8">
    <w:name w:val="header"/>
    <w:basedOn w:val="a"/>
    <w:link w:val="Char2"/>
    <w:uiPriority w:val="99"/>
    <w:unhideWhenUsed/>
    <w:rsid w:val="00B6189A"/>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rsid w:val="00B6189A"/>
    <w:rPr>
      <w:sz w:val="18"/>
      <w:szCs w:val="18"/>
    </w:rPr>
  </w:style>
  <w:style w:type="paragraph" w:styleId="a9">
    <w:name w:val="footer"/>
    <w:basedOn w:val="a"/>
    <w:link w:val="Char3"/>
    <w:uiPriority w:val="99"/>
    <w:unhideWhenUsed/>
    <w:rsid w:val="00B6189A"/>
    <w:pPr>
      <w:tabs>
        <w:tab w:val="center" w:pos="4153"/>
        <w:tab w:val="right" w:pos="8306"/>
      </w:tabs>
      <w:snapToGrid w:val="0"/>
      <w:jc w:val="left"/>
    </w:pPr>
    <w:rPr>
      <w:sz w:val="18"/>
      <w:szCs w:val="18"/>
    </w:rPr>
  </w:style>
  <w:style w:type="character" w:customStyle="1" w:styleId="Char3">
    <w:name w:val="页脚 Char"/>
    <w:basedOn w:val="a0"/>
    <w:link w:val="a9"/>
    <w:uiPriority w:val="99"/>
    <w:rsid w:val="00B6189A"/>
    <w:rPr>
      <w:sz w:val="18"/>
      <w:szCs w:val="18"/>
    </w:rPr>
  </w:style>
  <w:style w:type="paragraph" w:styleId="aa">
    <w:name w:val="List Paragraph"/>
    <w:basedOn w:val="a"/>
    <w:uiPriority w:val="34"/>
    <w:qFormat/>
    <w:rsid w:val="00850EAB"/>
    <w:pPr>
      <w:ind w:firstLineChars="200" w:firstLine="420"/>
    </w:pPr>
  </w:style>
  <w:style w:type="paragraph" w:customStyle="1" w:styleId="CharCharCharChar">
    <w:name w:val="Char Char Char Char"/>
    <w:basedOn w:val="a"/>
    <w:autoRedefine/>
    <w:rsid w:val="00F67C43"/>
    <w:pPr>
      <w:widowControl/>
      <w:spacing w:line="300" w:lineRule="auto"/>
      <w:jc w:val="left"/>
    </w:pPr>
    <w:rPr>
      <w:rFonts w:ascii="Times New Roman" w:eastAsia="宋体" w:hAnsi="Times New Roman" w:cs="华文楷体"/>
      <w:color w:val="000000"/>
      <w:kern w:val="0"/>
      <w:sz w:val="24"/>
      <w:szCs w:val="24"/>
      <w:lang w:eastAsia="en-US"/>
    </w:rPr>
  </w:style>
  <w:style w:type="paragraph" w:customStyle="1" w:styleId="CharCharCharChar0">
    <w:name w:val="Char Char Char Char"/>
    <w:basedOn w:val="a"/>
    <w:autoRedefine/>
    <w:rsid w:val="00355E12"/>
    <w:pPr>
      <w:widowControl/>
      <w:spacing w:line="300" w:lineRule="auto"/>
      <w:jc w:val="left"/>
    </w:pPr>
    <w:rPr>
      <w:rFonts w:ascii="Times New Roman" w:eastAsia="宋体" w:hAnsi="Times New Roman" w:cs="华文楷体"/>
      <w:color w:val="000000"/>
      <w:kern w:val="0"/>
      <w:sz w:val="24"/>
      <w:szCs w:val="24"/>
      <w:lang w:eastAsia="en-US"/>
    </w:rPr>
  </w:style>
  <w:style w:type="table" w:customStyle="1" w:styleId="1">
    <w:name w:val="网格型1"/>
    <w:basedOn w:val="a1"/>
    <w:next w:val="a3"/>
    <w:uiPriority w:val="59"/>
    <w:rsid w:val="00E372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1E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532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53203"/>
    <w:pPr>
      <w:widowControl w:val="0"/>
      <w:autoSpaceDE w:val="0"/>
      <w:autoSpaceDN w:val="0"/>
      <w:adjustRightInd w:val="0"/>
    </w:pPr>
    <w:rPr>
      <w:rFonts w:ascii="宋体" w:eastAsia="宋体" w:cs="宋体"/>
      <w:color w:val="000000"/>
      <w:kern w:val="0"/>
      <w:sz w:val="24"/>
      <w:szCs w:val="24"/>
    </w:rPr>
  </w:style>
  <w:style w:type="paragraph" w:customStyle="1" w:styleId="2">
    <w:name w:val="样式 首行缩进:  2 字符"/>
    <w:basedOn w:val="a"/>
    <w:rsid w:val="00753203"/>
    <w:pPr>
      <w:widowControl/>
      <w:snapToGrid w:val="0"/>
      <w:spacing w:before="60" w:after="60" w:line="360" w:lineRule="auto"/>
      <w:ind w:firstLine="480"/>
    </w:pPr>
    <w:rPr>
      <w:rFonts w:ascii="Times New Roman" w:eastAsia="宋体" w:hAnsi="Times New Roman" w:cs="Times New Roman"/>
      <w:kern w:val="0"/>
      <w:sz w:val="24"/>
      <w:szCs w:val="24"/>
    </w:rPr>
  </w:style>
  <w:style w:type="character" w:styleId="a4">
    <w:name w:val="annotation reference"/>
    <w:basedOn w:val="a0"/>
    <w:uiPriority w:val="99"/>
    <w:semiHidden/>
    <w:unhideWhenUsed/>
    <w:rsid w:val="00753203"/>
    <w:rPr>
      <w:sz w:val="21"/>
      <w:szCs w:val="21"/>
    </w:rPr>
  </w:style>
  <w:style w:type="paragraph" w:styleId="a5">
    <w:name w:val="annotation text"/>
    <w:basedOn w:val="a"/>
    <w:link w:val="Char"/>
    <w:uiPriority w:val="99"/>
    <w:semiHidden/>
    <w:unhideWhenUsed/>
    <w:rsid w:val="00753203"/>
    <w:pPr>
      <w:jc w:val="left"/>
    </w:pPr>
  </w:style>
  <w:style w:type="character" w:customStyle="1" w:styleId="Char">
    <w:name w:val="批注文字 Char"/>
    <w:basedOn w:val="a0"/>
    <w:link w:val="a5"/>
    <w:uiPriority w:val="99"/>
    <w:semiHidden/>
    <w:rsid w:val="00753203"/>
  </w:style>
  <w:style w:type="paragraph" w:styleId="a6">
    <w:name w:val="annotation subject"/>
    <w:basedOn w:val="a5"/>
    <w:next w:val="a5"/>
    <w:link w:val="Char0"/>
    <w:uiPriority w:val="99"/>
    <w:semiHidden/>
    <w:unhideWhenUsed/>
    <w:rsid w:val="00753203"/>
    <w:rPr>
      <w:b/>
      <w:bCs/>
    </w:rPr>
  </w:style>
  <w:style w:type="character" w:customStyle="1" w:styleId="Char0">
    <w:name w:val="批注主题 Char"/>
    <w:basedOn w:val="Char"/>
    <w:link w:val="a6"/>
    <w:uiPriority w:val="99"/>
    <w:semiHidden/>
    <w:rsid w:val="00753203"/>
    <w:rPr>
      <w:b/>
      <w:bCs/>
    </w:rPr>
  </w:style>
  <w:style w:type="paragraph" w:styleId="a7">
    <w:name w:val="Balloon Text"/>
    <w:basedOn w:val="a"/>
    <w:link w:val="Char1"/>
    <w:uiPriority w:val="99"/>
    <w:semiHidden/>
    <w:unhideWhenUsed/>
    <w:rsid w:val="00753203"/>
    <w:rPr>
      <w:sz w:val="18"/>
      <w:szCs w:val="18"/>
    </w:rPr>
  </w:style>
  <w:style w:type="character" w:customStyle="1" w:styleId="Char1">
    <w:name w:val="批注框文本 Char"/>
    <w:basedOn w:val="a0"/>
    <w:link w:val="a7"/>
    <w:uiPriority w:val="99"/>
    <w:semiHidden/>
    <w:rsid w:val="00753203"/>
    <w:rPr>
      <w:sz w:val="18"/>
      <w:szCs w:val="18"/>
    </w:rPr>
  </w:style>
  <w:style w:type="paragraph" w:styleId="a8">
    <w:name w:val="header"/>
    <w:basedOn w:val="a"/>
    <w:link w:val="Char2"/>
    <w:uiPriority w:val="99"/>
    <w:unhideWhenUsed/>
    <w:rsid w:val="00B6189A"/>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rsid w:val="00B6189A"/>
    <w:rPr>
      <w:sz w:val="18"/>
      <w:szCs w:val="18"/>
    </w:rPr>
  </w:style>
  <w:style w:type="paragraph" w:styleId="a9">
    <w:name w:val="footer"/>
    <w:basedOn w:val="a"/>
    <w:link w:val="Char3"/>
    <w:uiPriority w:val="99"/>
    <w:unhideWhenUsed/>
    <w:rsid w:val="00B6189A"/>
    <w:pPr>
      <w:tabs>
        <w:tab w:val="center" w:pos="4153"/>
        <w:tab w:val="right" w:pos="8306"/>
      </w:tabs>
      <w:snapToGrid w:val="0"/>
      <w:jc w:val="left"/>
    </w:pPr>
    <w:rPr>
      <w:sz w:val="18"/>
      <w:szCs w:val="18"/>
    </w:rPr>
  </w:style>
  <w:style w:type="character" w:customStyle="1" w:styleId="Char3">
    <w:name w:val="页脚 Char"/>
    <w:basedOn w:val="a0"/>
    <w:link w:val="a9"/>
    <w:uiPriority w:val="99"/>
    <w:rsid w:val="00B6189A"/>
    <w:rPr>
      <w:sz w:val="18"/>
      <w:szCs w:val="18"/>
    </w:rPr>
  </w:style>
  <w:style w:type="paragraph" w:styleId="aa">
    <w:name w:val="List Paragraph"/>
    <w:basedOn w:val="a"/>
    <w:uiPriority w:val="34"/>
    <w:qFormat/>
    <w:rsid w:val="00850EAB"/>
    <w:pPr>
      <w:ind w:firstLineChars="200" w:firstLine="420"/>
    </w:pPr>
  </w:style>
  <w:style w:type="paragraph" w:customStyle="1" w:styleId="CharCharCharChar">
    <w:name w:val="Char Char Char Char"/>
    <w:basedOn w:val="a"/>
    <w:autoRedefine/>
    <w:rsid w:val="00F67C43"/>
    <w:pPr>
      <w:widowControl/>
      <w:spacing w:line="300" w:lineRule="auto"/>
      <w:jc w:val="left"/>
    </w:pPr>
    <w:rPr>
      <w:rFonts w:ascii="Times New Roman" w:eastAsia="宋体" w:hAnsi="Times New Roman" w:cs="华文楷体"/>
      <w:color w:val="000000"/>
      <w:kern w:val="0"/>
      <w:sz w:val="24"/>
      <w:szCs w:val="24"/>
      <w:lang w:eastAsia="en-US"/>
    </w:rPr>
  </w:style>
  <w:style w:type="paragraph" w:customStyle="1" w:styleId="CharCharCharChar0">
    <w:name w:val="Char Char Char Char"/>
    <w:basedOn w:val="a"/>
    <w:autoRedefine/>
    <w:rsid w:val="00355E12"/>
    <w:pPr>
      <w:widowControl/>
      <w:spacing w:line="300" w:lineRule="auto"/>
      <w:jc w:val="left"/>
    </w:pPr>
    <w:rPr>
      <w:rFonts w:ascii="Times New Roman" w:eastAsia="宋体" w:hAnsi="Times New Roman" w:cs="华文楷体"/>
      <w:color w:val="000000"/>
      <w:kern w:val="0"/>
      <w:sz w:val="24"/>
      <w:szCs w:val="24"/>
      <w:lang w:eastAsia="en-US"/>
    </w:rPr>
  </w:style>
  <w:style w:type="table" w:customStyle="1" w:styleId="1">
    <w:name w:val="网格型1"/>
    <w:basedOn w:val="a1"/>
    <w:next w:val="a3"/>
    <w:uiPriority w:val="59"/>
    <w:rsid w:val="00E372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54928-6B58-4668-B984-4F303035C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650</TotalTime>
  <Pages>3</Pages>
  <Words>283</Words>
  <Characters>1614</Characters>
  <Application>Microsoft Office Word</Application>
  <DocSecurity>0</DocSecurity>
  <Lines>13</Lines>
  <Paragraphs>3</Paragraphs>
  <ScaleCrop>false</ScaleCrop>
  <Company/>
  <LinksUpToDate>false</LinksUpToDate>
  <CharactersWithSpaces>1894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Chenjh</cp:lastModifiedBy>
  <cp:revision>71</cp:revision>
  <cp:lastPrinted>2016-07-22T02:11:00Z</cp:lastPrinted>
  <dcterms:created xsi:type="dcterms:W3CDTF">2016-05-12T04:31:00Z</dcterms:created>
  <dcterms:modified xsi:type="dcterms:W3CDTF">2016-10-27T06:23:00Z</dcterms:modified>
</cp:coreProperties>
</file>