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316" w:rsidRPr="001015DE" w:rsidRDefault="00305316" w:rsidP="00305316">
      <w:pPr>
        <w:autoSpaceDE w:val="0"/>
        <w:autoSpaceDN w:val="0"/>
        <w:adjustRightInd w:val="0"/>
        <w:spacing w:line="360" w:lineRule="auto"/>
        <w:ind w:firstLineChars="50" w:firstLine="120"/>
        <w:rPr>
          <w:rFonts w:ascii="宋体" w:hAnsi="宋体" w:cs="Arial"/>
          <w:color w:val="000000"/>
          <w:kern w:val="0"/>
          <w:sz w:val="24"/>
        </w:rPr>
      </w:pPr>
      <w:r w:rsidRPr="00EC40BE">
        <w:rPr>
          <w:rFonts w:ascii="宋体" w:hAnsi="宋体" w:cs="宋体" w:hint="eastAsia"/>
          <w:color w:val="000000"/>
          <w:kern w:val="0"/>
          <w:sz w:val="24"/>
        </w:rPr>
        <w:t>证券代码：</w:t>
      </w:r>
      <w:r w:rsidRPr="00EC40BE">
        <w:rPr>
          <w:rFonts w:ascii="宋体" w:hAnsi="宋体" w:cs="Arial"/>
          <w:color w:val="000000"/>
          <w:kern w:val="0"/>
          <w:sz w:val="24"/>
        </w:rPr>
        <w:t>600</w:t>
      </w:r>
      <w:r w:rsidRPr="00EC40BE">
        <w:rPr>
          <w:rFonts w:ascii="宋体" w:hAnsi="宋体" w:cs="Arial" w:hint="eastAsia"/>
          <w:color w:val="000000"/>
          <w:kern w:val="0"/>
          <w:sz w:val="24"/>
        </w:rPr>
        <w:t xml:space="preserve">200  </w:t>
      </w:r>
      <w:r w:rsidRPr="00EC40BE">
        <w:rPr>
          <w:rFonts w:ascii="宋体" w:hAnsi="宋体" w:cs="Arial"/>
          <w:color w:val="000000"/>
          <w:kern w:val="0"/>
          <w:sz w:val="24"/>
        </w:rPr>
        <w:t xml:space="preserve"> </w:t>
      </w:r>
      <w:r>
        <w:rPr>
          <w:rFonts w:ascii="宋体" w:hAnsi="宋体" w:cs="Arial" w:hint="eastAsia"/>
          <w:color w:val="000000"/>
          <w:kern w:val="0"/>
          <w:sz w:val="24"/>
        </w:rPr>
        <w:t xml:space="preserve">     </w:t>
      </w:r>
      <w:r w:rsidRPr="00EC40BE">
        <w:rPr>
          <w:rFonts w:ascii="宋体" w:hAnsi="宋体" w:cs="宋体" w:hint="eastAsia"/>
          <w:color w:val="000000"/>
          <w:kern w:val="0"/>
          <w:sz w:val="24"/>
        </w:rPr>
        <w:t>证券简称：江苏吴中</w:t>
      </w:r>
      <w:r w:rsidRPr="00EC40BE">
        <w:rPr>
          <w:rFonts w:ascii="宋体" w:hAnsi="宋体" w:cs="宋体"/>
          <w:color w:val="000000"/>
          <w:kern w:val="0"/>
          <w:sz w:val="24"/>
        </w:rPr>
        <w:t xml:space="preserve"> </w:t>
      </w:r>
      <w:r>
        <w:rPr>
          <w:rFonts w:ascii="宋体" w:hAnsi="宋体" w:cs="宋体" w:hint="eastAsia"/>
          <w:color w:val="000000"/>
          <w:kern w:val="0"/>
          <w:sz w:val="24"/>
        </w:rPr>
        <w:t xml:space="preserve">      </w:t>
      </w:r>
      <w:r w:rsidRPr="0064755D">
        <w:rPr>
          <w:rFonts w:ascii="宋体" w:hAnsi="宋体" w:cs="Arial" w:hint="eastAsia"/>
          <w:color w:val="000000"/>
          <w:kern w:val="0"/>
          <w:sz w:val="24"/>
        </w:rPr>
        <w:t>公告编号：临2016-</w:t>
      </w:r>
      <w:r w:rsidR="004F0C7D">
        <w:rPr>
          <w:rFonts w:ascii="宋体" w:hAnsi="宋体" w:cs="Arial" w:hint="eastAsia"/>
          <w:color w:val="000000"/>
          <w:kern w:val="0"/>
          <w:sz w:val="24"/>
        </w:rPr>
        <w:t>080</w:t>
      </w:r>
    </w:p>
    <w:p w:rsidR="00305316" w:rsidRDefault="00305316" w:rsidP="00305316">
      <w:pPr>
        <w:ind w:rightChars="-73" w:right="-153"/>
        <w:jc w:val="center"/>
        <w:rPr>
          <w:rFonts w:ascii="黑体" w:eastAsia="黑体" w:hAnsi="宋体"/>
          <w:b/>
          <w:bCs/>
          <w:color w:val="FF0000"/>
          <w:sz w:val="32"/>
        </w:rPr>
      </w:pPr>
    </w:p>
    <w:p w:rsidR="00433755" w:rsidRDefault="00305316" w:rsidP="00F92771">
      <w:pPr>
        <w:ind w:rightChars="-73" w:right="-153"/>
        <w:jc w:val="center"/>
        <w:rPr>
          <w:rFonts w:ascii="黑体" w:eastAsia="黑体" w:hAnsi="宋体"/>
          <w:b/>
          <w:bCs/>
          <w:color w:val="FF0000"/>
          <w:sz w:val="32"/>
        </w:rPr>
      </w:pPr>
      <w:r w:rsidRPr="00AA37A7">
        <w:rPr>
          <w:rFonts w:ascii="黑体" w:eastAsia="黑体" w:hAnsi="宋体" w:hint="eastAsia"/>
          <w:b/>
          <w:bCs/>
          <w:color w:val="FF0000"/>
          <w:sz w:val="32"/>
        </w:rPr>
        <w:t>江苏吴中实业股份有限公司</w:t>
      </w:r>
    </w:p>
    <w:p w:rsidR="00F92771" w:rsidRDefault="00305316" w:rsidP="00F92771">
      <w:pPr>
        <w:ind w:rightChars="-73" w:right="-153"/>
        <w:jc w:val="center"/>
        <w:rPr>
          <w:rFonts w:ascii="黑体" w:eastAsia="黑体" w:hAnsi="宋体"/>
          <w:b/>
          <w:bCs/>
          <w:color w:val="FF0000"/>
          <w:sz w:val="32"/>
        </w:rPr>
      </w:pPr>
      <w:r w:rsidRPr="00B71D98">
        <w:rPr>
          <w:rFonts w:ascii="黑体" w:eastAsia="黑体" w:hAnsi="宋体" w:hint="eastAsia"/>
          <w:b/>
          <w:bCs/>
          <w:color w:val="FF0000"/>
          <w:sz w:val="32"/>
        </w:rPr>
        <w:t>关于</w:t>
      </w:r>
      <w:r w:rsidR="00736692" w:rsidRPr="00736692">
        <w:rPr>
          <w:rFonts w:ascii="黑体" w:eastAsia="黑体" w:hAnsi="宋体" w:hint="eastAsia"/>
          <w:b/>
          <w:bCs/>
          <w:color w:val="FF0000"/>
          <w:sz w:val="32"/>
        </w:rPr>
        <w:t>以部分暂时</w:t>
      </w:r>
      <w:r w:rsidR="00736692">
        <w:rPr>
          <w:rFonts w:ascii="黑体" w:eastAsia="黑体" w:hAnsi="宋体" w:hint="eastAsia"/>
          <w:b/>
          <w:bCs/>
          <w:color w:val="FF0000"/>
          <w:sz w:val="32"/>
        </w:rPr>
        <w:t>闲置</w:t>
      </w:r>
      <w:r w:rsidR="00E406C5">
        <w:rPr>
          <w:rFonts w:ascii="黑体" w:eastAsia="黑体" w:hAnsi="宋体" w:hint="eastAsia"/>
          <w:b/>
          <w:bCs/>
          <w:color w:val="FF0000"/>
          <w:sz w:val="32"/>
        </w:rPr>
        <w:t>的</w:t>
      </w:r>
      <w:r w:rsidR="00736692" w:rsidRPr="00736692">
        <w:rPr>
          <w:rFonts w:ascii="黑体" w:eastAsia="黑体" w:hAnsi="宋体" w:hint="eastAsia"/>
          <w:b/>
          <w:bCs/>
          <w:color w:val="FF0000"/>
          <w:sz w:val="32"/>
        </w:rPr>
        <w:t>募集配套资金短期用于</w:t>
      </w:r>
    </w:p>
    <w:p w:rsidR="00305316" w:rsidRPr="00B71D98" w:rsidRDefault="00BA4672" w:rsidP="00F92771">
      <w:pPr>
        <w:ind w:rightChars="-73" w:right="-153"/>
        <w:jc w:val="center"/>
        <w:rPr>
          <w:rFonts w:ascii="黑体" w:eastAsia="黑体" w:hAnsi="宋体"/>
          <w:b/>
          <w:bCs/>
          <w:color w:val="FF0000"/>
          <w:sz w:val="32"/>
        </w:rPr>
      </w:pPr>
      <w:r>
        <w:rPr>
          <w:rFonts w:ascii="黑体" w:eastAsia="黑体" w:hAnsi="宋体" w:hint="eastAsia"/>
          <w:b/>
          <w:bCs/>
          <w:color w:val="FF0000"/>
          <w:sz w:val="32"/>
        </w:rPr>
        <w:t>补充</w:t>
      </w:r>
      <w:r w:rsidR="00F92771">
        <w:rPr>
          <w:rFonts w:ascii="黑体" w:eastAsia="黑体" w:hAnsi="宋体" w:hint="eastAsia"/>
          <w:b/>
          <w:bCs/>
          <w:color w:val="FF0000"/>
          <w:sz w:val="32"/>
        </w:rPr>
        <w:t>响水</w:t>
      </w:r>
      <w:proofErr w:type="gramStart"/>
      <w:r w:rsidR="00F92771">
        <w:rPr>
          <w:rFonts w:ascii="黑体" w:eastAsia="黑体" w:hAnsi="宋体" w:hint="eastAsia"/>
          <w:b/>
          <w:bCs/>
          <w:color w:val="FF0000"/>
          <w:sz w:val="32"/>
        </w:rPr>
        <w:t>恒</w:t>
      </w:r>
      <w:proofErr w:type="gramEnd"/>
      <w:r w:rsidR="00F92771">
        <w:rPr>
          <w:rFonts w:ascii="黑体" w:eastAsia="黑体" w:hAnsi="宋体" w:hint="eastAsia"/>
          <w:b/>
          <w:bCs/>
          <w:color w:val="FF0000"/>
          <w:sz w:val="32"/>
        </w:rPr>
        <w:t>利达科技化工有限公司</w:t>
      </w:r>
      <w:r w:rsidR="00305316">
        <w:rPr>
          <w:rFonts w:ascii="黑体" w:eastAsia="黑体" w:hAnsi="宋体" w:hint="eastAsia"/>
          <w:b/>
          <w:bCs/>
          <w:color w:val="FF0000"/>
          <w:sz w:val="32"/>
        </w:rPr>
        <w:t>流动资金</w:t>
      </w:r>
      <w:r w:rsidR="00305316" w:rsidRPr="00B26CA1">
        <w:rPr>
          <w:rFonts w:ascii="黑体" w:eastAsia="黑体" w:hAnsi="宋体" w:hint="eastAsia"/>
          <w:b/>
          <w:bCs/>
          <w:color w:val="FF0000"/>
          <w:sz w:val="32"/>
        </w:rPr>
        <w:t>的公告</w:t>
      </w:r>
    </w:p>
    <w:p w:rsidR="00305316" w:rsidRDefault="00305316" w:rsidP="00305316">
      <w:pPr>
        <w:autoSpaceDE w:val="0"/>
        <w:autoSpaceDN w:val="0"/>
        <w:adjustRightInd w:val="0"/>
        <w:spacing w:line="360" w:lineRule="auto"/>
        <w:ind w:firstLineChars="200" w:firstLine="482"/>
        <w:rPr>
          <w:rFonts w:ascii="宋体" w:hAnsi="宋体" w:cs="宋体"/>
          <w:b/>
          <w:color w:val="000000"/>
          <w:kern w:val="0"/>
          <w:sz w:val="24"/>
        </w:rPr>
      </w:pPr>
    </w:p>
    <w:p w:rsidR="00305316" w:rsidRPr="00C64350" w:rsidRDefault="00305316" w:rsidP="00305316">
      <w:pPr>
        <w:autoSpaceDE w:val="0"/>
        <w:autoSpaceDN w:val="0"/>
        <w:adjustRightInd w:val="0"/>
        <w:spacing w:line="360" w:lineRule="auto"/>
        <w:ind w:firstLineChars="200" w:firstLine="482"/>
        <w:rPr>
          <w:rFonts w:ascii="宋体" w:hAnsi="宋体" w:cs="Arial"/>
          <w:b/>
          <w:color w:val="000000"/>
          <w:kern w:val="0"/>
          <w:sz w:val="24"/>
        </w:rPr>
      </w:pPr>
      <w:r w:rsidRPr="0020622E">
        <w:rPr>
          <w:rFonts w:ascii="宋体" w:hAnsi="宋体" w:cs="宋体" w:hint="eastAsia"/>
          <w:b/>
          <w:color w:val="000000"/>
          <w:kern w:val="0"/>
          <w:sz w:val="24"/>
        </w:rPr>
        <w:t>本公司</w:t>
      </w:r>
      <w:r>
        <w:rPr>
          <w:rFonts w:ascii="宋体" w:hAnsi="宋体" w:cs="宋体" w:hint="eastAsia"/>
          <w:b/>
          <w:color w:val="000000"/>
          <w:kern w:val="0"/>
          <w:sz w:val="24"/>
        </w:rPr>
        <w:t>董</w:t>
      </w:r>
      <w:r w:rsidRPr="0020622E">
        <w:rPr>
          <w:rFonts w:ascii="宋体" w:hAnsi="宋体" w:cs="宋体" w:hint="eastAsia"/>
          <w:b/>
          <w:color w:val="000000"/>
          <w:kern w:val="0"/>
          <w:sz w:val="24"/>
        </w:rPr>
        <w:t>事会及全体</w:t>
      </w:r>
      <w:r>
        <w:rPr>
          <w:rFonts w:ascii="宋体" w:hAnsi="宋体" w:cs="宋体" w:hint="eastAsia"/>
          <w:b/>
          <w:color w:val="000000"/>
          <w:kern w:val="0"/>
          <w:sz w:val="24"/>
        </w:rPr>
        <w:t>董</w:t>
      </w:r>
      <w:r w:rsidRPr="0020622E">
        <w:rPr>
          <w:rFonts w:ascii="宋体" w:hAnsi="宋体" w:cs="宋体" w:hint="eastAsia"/>
          <w:b/>
          <w:color w:val="000000"/>
          <w:kern w:val="0"/>
          <w:sz w:val="24"/>
        </w:rPr>
        <w:t>事保证</w:t>
      </w:r>
      <w:r w:rsidRPr="0020622E">
        <w:rPr>
          <w:rFonts w:ascii="ˎ̥" w:hAnsi="ˎ̥"/>
          <w:b/>
          <w:sz w:val="24"/>
        </w:rPr>
        <w:t>本公告内容不存在任何虚假记载、误导性陈述或者重大遗漏，并对其内容的真实性、准确性和完整性承担个别及连带责任。</w:t>
      </w:r>
    </w:p>
    <w:p w:rsidR="00305316" w:rsidRDefault="00305316" w:rsidP="00305316">
      <w:pPr>
        <w:spacing w:line="360" w:lineRule="auto"/>
        <w:ind w:rightChars="15" w:right="31" w:firstLineChars="200" w:firstLine="480"/>
        <w:rPr>
          <w:rFonts w:ascii="宋体" w:hAnsi="宋体"/>
          <w:sz w:val="24"/>
        </w:rPr>
      </w:pPr>
    </w:p>
    <w:p w:rsidR="00736692" w:rsidRPr="00D42146" w:rsidRDefault="00736692" w:rsidP="00736692">
      <w:pPr>
        <w:spacing w:line="336" w:lineRule="auto"/>
        <w:ind w:firstLine="540"/>
        <w:rPr>
          <w:rFonts w:ascii="宋体" w:hAnsi="宋体"/>
          <w:b/>
          <w:sz w:val="24"/>
        </w:rPr>
      </w:pPr>
      <w:r w:rsidRPr="00D42146">
        <w:rPr>
          <w:rFonts w:ascii="宋体" w:hAnsi="宋体" w:hint="eastAsia"/>
          <w:b/>
          <w:sz w:val="24"/>
        </w:rPr>
        <w:t>重要内容提示：</w:t>
      </w:r>
    </w:p>
    <w:p w:rsidR="00736692" w:rsidRPr="00433755" w:rsidRDefault="00736692" w:rsidP="00433755">
      <w:pPr>
        <w:pStyle w:val="a5"/>
        <w:numPr>
          <w:ilvl w:val="0"/>
          <w:numId w:val="2"/>
        </w:numPr>
        <w:adjustRightInd w:val="0"/>
        <w:snapToGrid w:val="0"/>
        <w:spacing w:line="360" w:lineRule="auto"/>
        <w:ind w:left="0" w:firstLineChars="0" w:firstLine="480"/>
        <w:rPr>
          <w:rFonts w:asciiTheme="minorEastAsia" w:hAnsiTheme="minorEastAsia"/>
          <w:color w:val="000000"/>
          <w:sz w:val="24"/>
        </w:rPr>
      </w:pPr>
      <w:r w:rsidRPr="00433755">
        <w:rPr>
          <w:rFonts w:asciiTheme="minorEastAsia" w:hAnsiTheme="minorEastAsia" w:hint="eastAsia"/>
          <w:color w:val="000000"/>
          <w:sz w:val="24"/>
        </w:rPr>
        <w:t>公司将</w:t>
      </w:r>
      <w:r w:rsidR="00BA4672" w:rsidRPr="00433755">
        <w:rPr>
          <w:rFonts w:asciiTheme="minorEastAsia" w:hAnsiTheme="minorEastAsia" w:hint="eastAsia"/>
          <w:color w:val="000000"/>
          <w:sz w:val="24"/>
        </w:rPr>
        <w:t>以部分暂时闲置的募集配套资金</w:t>
      </w:r>
      <w:r w:rsidR="00942813" w:rsidRPr="00433755">
        <w:rPr>
          <w:rFonts w:asciiTheme="minorEastAsia" w:hAnsiTheme="minorEastAsia" w:hint="eastAsia"/>
          <w:color w:val="000000"/>
          <w:sz w:val="24"/>
        </w:rPr>
        <w:t>10,000</w:t>
      </w:r>
      <w:r w:rsidR="00BA4672" w:rsidRPr="00433755">
        <w:rPr>
          <w:rFonts w:asciiTheme="minorEastAsia" w:hAnsiTheme="minorEastAsia" w:hint="eastAsia"/>
          <w:color w:val="000000"/>
          <w:sz w:val="24"/>
        </w:rPr>
        <w:t>万元短期用于补充</w:t>
      </w:r>
      <w:r w:rsidR="00F92771" w:rsidRPr="00433755">
        <w:rPr>
          <w:rFonts w:asciiTheme="minorEastAsia" w:hAnsiTheme="minorEastAsia" w:hint="eastAsia"/>
          <w:color w:val="000000"/>
          <w:sz w:val="24"/>
        </w:rPr>
        <w:t>响水</w:t>
      </w:r>
      <w:proofErr w:type="gramStart"/>
      <w:r w:rsidR="00F92771" w:rsidRPr="00433755">
        <w:rPr>
          <w:rFonts w:asciiTheme="minorEastAsia" w:hAnsiTheme="minorEastAsia" w:hint="eastAsia"/>
          <w:color w:val="000000"/>
          <w:sz w:val="24"/>
        </w:rPr>
        <w:t>恒</w:t>
      </w:r>
      <w:proofErr w:type="gramEnd"/>
      <w:r w:rsidR="00F92771" w:rsidRPr="00433755">
        <w:rPr>
          <w:rFonts w:asciiTheme="minorEastAsia" w:hAnsiTheme="minorEastAsia" w:hint="eastAsia"/>
          <w:color w:val="000000"/>
          <w:sz w:val="24"/>
        </w:rPr>
        <w:t>利达科技化工有限公司</w:t>
      </w:r>
      <w:r w:rsidR="00BA4672" w:rsidRPr="00433755">
        <w:rPr>
          <w:rFonts w:asciiTheme="minorEastAsia" w:hAnsiTheme="minorEastAsia" w:hint="eastAsia"/>
          <w:color w:val="000000"/>
          <w:sz w:val="24"/>
        </w:rPr>
        <w:t>流动资金，使用期限自董事会审议通过之日起不超过</w:t>
      </w:r>
      <w:r w:rsidR="00942813" w:rsidRPr="00433755">
        <w:rPr>
          <w:rFonts w:asciiTheme="minorEastAsia" w:hAnsiTheme="minorEastAsia" w:hint="eastAsia"/>
          <w:color w:val="000000"/>
          <w:sz w:val="24"/>
        </w:rPr>
        <w:t>9</w:t>
      </w:r>
      <w:r w:rsidR="00A84080" w:rsidRPr="00433755">
        <w:rPr>
          <w:rFonts w:asciiTheme="minorEastAsia" w:hAnsiTheme="minorEastAsia" w:hint="eastAsia"/>
          <w:color w:val="000000"/>
          <w:sz w:val="24"/>
        </w:rPr>
        <w:t>个</w:t>
      </w:r>
      <w:r w:rsidR="00BA4672" w:rsidRPr="00433755">
        <w:rPr>
          <w:rFonts w:asciiTheme="minorEastAsia" w:hAnsiTheme="minorEastAsia" w:hint="eastAsia"/>
          <w:color w:val="000000"/>
          <w:sz w:val="24"/>
        </w:rPr>
        <w:t>月。</w:t>
      </w:r>
    </w:p>
    <w:p w:rsidR="004305DD" w:rsidRDefault="004305DD" w:rsidP="00BA4672">
      <w:pPr>
        <w:adjustRightInd w:val="0"/>
        <w:snapToGrid w:val="0"/>
        <w:spacing w:line="360" w:lineRule="auto"/>
        <w:ind w:left="480"/>
        <w:rPr>
          <w:rFonts w:asciiTheme="minorEastAsia" w:hAnsiTheme="minorEastAsia"/>
          <w:color w:val="000000"/>
          <w:sz w:val="24"/>
        </w:rPr>
      </w:pPr>
    </w:p>
    <w:p w:rsidR="00BA4672" w:rsidRPr="00C034C4" w:rsidRDefault="00BA4672" w:rsidP="00205E73">
      <w:pPr>
        <w:autoSpaceDE w:val="0"/>
        <w:autoSpaceDN w:val="0"/>
        <w:adjustRightInd w:val="0"/>
        <w:spacing w:line="360" w:lineRule="auto"/>
        <w:ind w:firstLineChars="200" w:firstLine="482"/>
        <w:jc w:val="left"/>
        <w:rPr>
          <w:rFonts w:ascii="宋体" w:hAnsi="Calibri" w:cs="宋体"/>
          <w:b/>
          <w:kern w:val="0"/>
          <w:sz w:val="24"/>
        </w:rPr>
      </w:pPr>
      <w:r w:rsidRPr="00C034C4">
        <w:rPr>
          <w:rFonts w:ascii="宋体" w:hAnsi="Calibri" w:cs="宋体" w:hint="eastAsia"/>
          <w:b/>
          <w:kern w:val="0"/>
          <w:sz w:val="24"/>
        </w:rPr>
        <w:t>一、募集资金基本情况</w:t>
      </w:r>
    </w:p>
    <w:p w:rsidR="00BA4672" w:rsidRPr="00BA4672" w:rsidRDefault="00BA4672" w:rsidP="00205E73">
      <w:pPr>
        <w:adjustRightInd w:val="0"/>
        <w:snapToGrid w:val="0"/>
        <w:spacing w:line="360" w:lineRule="auto"/>
        <w:ind w:firstLineChars="200" w:firstLine="480"/>
        <w:rPr>
          <w:rFonts w:asciiTheme="minorEastAsia" w:hAnsiTheme="minorEastAsia"/>
          <w:color w:val="000000"/>
          <w:sz w:val="24"/>
        </w:rPr>
      </w:pPr>
      <w:r w:rsidRPr="00BA4672">
        <w:rPr>
          <w:rFonts w:asciiTheme="minorEastAsia" w:hAnsiTheme="minorEastAsia" w:hint="eastAsia"/>
          <w:color w:val="000000"/>
          <w:sz w:val="24"/>
        </w:rPr>
        <w:t>经中国证券监督管理委员会《关于核准江苏吴中实业股份有限公司向毕红芬等发行股份购买资产并募集配套资金的批复》（证监许可[2016]1448号）核准，江苏吴中实业股份有限公司（以下简称“公司”）获准非公开发行不超过34,324,942股新股募集本次发行股份购买资产的配套资金。本次实际发行数量为34,305,300 股，发行对象为 6 名，发行价格为 17.49 元/股，募集资金总额为人民币 599,999,697.00 元，扣除发行费用合计人民币19,935,839.01元后,本次募集资金净额为人民币580,063,857.99 元。</w:t>
      </w:r>
    </w:p>
    <w:p w:rsidR="00BA4672" w:rsidRPr="00BA4672" w:rsidRDefault="00BA4672" w:rsidP="00205E73">
      <w:pPr>
        <w:adjustRightInd w:val="0"/>
        <w:snapToGrid w:val="0"/>
        <w:spacing w:line="360" w:lineRule="auto"/>
        <w:ind w:firstLineChars="200" w:firstLine="480"/>
        <w:rPr>
          <w:rFonts w:asciiTheme="minorEastAsia" w:hAnsiTheme="minorEastAsia"/>
          <w:color w:val="000000"/>
          <w:sz w:val="24"/>
        </w:rPr>
      </w:pPr>
      <w:r w:rsidRPr="00BA4672">
        <w:rPr>
          <w:rFonts w:asciiTheme="minorEastAsia" w:hAnsiTheme="minorEastAsia" w:hint="eastAsia"/>
          <w:color w:val="000000"/>
          <w:sz w:val="24"/>
        </w:rPr>
        <w:t>2016 年 9 月 29 日经立信会计师事务所（特殊普通合伙）审验，并出具《验资报告》（信会师报字[2016]第116251号）验证，确认本次募集资金已到账。</w:t>
      </w:r>
    </w:p>
    <w:p w:rsidR="00BA4672" w:rsidRDefault="00BA4672" w:rsidP="00205E73">
      <w:pPr>
        <w:adjustRightInd w:val="0"/>
        <w:snapToGrid w:val="0"/>
        <w:spacing w:line="360" w:lineRule="auto"/>
        <w:ind w:firstLineChars="200" w:firstLine="480"/>
        <w:rPr>
          <w:rFonts w:asciiTheme="minorEastAsia" w:hAnsiTheme="minorEastAsia"/>
          <w:color w:val="000000"/>
          <w:sz w:val="24"/>
        </w:rPr>
      </w:pPr>
      <w:r w:rsidRPr="00BA4672">
        <w:rPr>
          <w:rFonts w:asciiTheme="minorEastAsia" w:hAnsiTheme="minorEastAsia" w:hint="eastAsia"/>
          <w:color w:val="000000"/>
          <w:sz w:val="24"/>
        </w:rPr>
        <w:t>公司已与</w:t>
      </w:r>
      <w:r w:rsidR="00F246C4">
        <w:rPr>
          <w:rFonts w:asciiTheme="minorEastAsia" w:hAnsiTheme="minorEastAsia" w:hint="eastAsia"/>
          <w:color w:val="000000"/>
          <w:sz w:val="24"/>
        </w:rPr>
        <w:t>全资子公司</w:t>
      </w:r>
      <w:r w:rsidRPr="00BA4672">
        <w:rPr>
          <w:rFonts w:asciiTheme="minorEastAsia" w:hAnsiTheme="minorEastAsia" w:hint="eastAsia"/>
          <w:color w:val="000000"/>
          <w:sz w:val="24"/>
        </w:rPr>
        <w:t>响水</w:t>
      </w:r>
      <w:proofErr w:type="gramStart"/>
      <w:r w:rsidRPr="00BA4672">
        <w:rPr>
          <w:rFonts w:asciiTheme="minorEastAsia" w:hAnsiTheme="minorEastAsia" w:hint="eastAsia"/>
          <w:color w:val="000000"/>
          <w:sz w:val="24"/>
        </w:rPr>
        <w:t>恒</w:t>
      </w:r>
      <w:proofErr w:type="gramEnd"/>
      <w:r w:rsidRPr="00BA4672">
        <w:rPr>
          <w:rFonts w:asciiTheme="minorEastAsia" w:hAnsiTheme="minorEastAsia" w:hint="eastAsia"/>
          <w:color w:val="000000"/>
          <w:sz w:val="24"/>
        </w:rPr>
        <w:t>利达科技化工有限公司</w:t>
      </w:r>
      <w:r w:rsidR="00F246C4">
        <w:rPr>
          <w:rFonts w:asciiTheme="minorEastAsia" w:hAnsiTheme="minorEastAsia" w:hint="eastAsia"/>
          <w:color w:val="000000"/>
          <w:sz w:val="24"/>
        </w:rPr>
        <w:t>（以下简称“恒利达”）</w:t>
      </w:r>
      <w:r w:rsidRPr="00BA4672">
        <w:rPr>
          <w:rFonts w:asciiTheme="minorEastAsia" w:hAnsiTheme="minorEastAsia" w:hint="eastAsia"/>
          <w:color w:val="000000"/>
          <w:sz w:val="24"/>
        </w:rPr>
        <w:t>、保荐机构、募集资金专户开立银行签署了相应的募集资金监管协议，并将上述募集资金存放于为本次发行开立的募集资金专户（具体可见公司于2016年10月15日在《中国证券报》、《上海证券报》及上海证券交易所网站上披露的相关公</w:t>
      </w:r>
      <w:r w:rsidRPr="00BA4672">
        <w:rPr>
          <w:rFonts w:asciiTheme="minorEastAsia" w:hAnsiTheme="minorEastAsia" w:hint="eastAsia"/>
          <w:color w:val="000000"/>
          <w:sz w:val="24"/>
        </w:rPr>
        <w:lastRenderedPageBreak/>
        <w:t>告）。</w:t>
      </w:r>
    </w:p>
    <w:p w:rsidR="008102AE" w:rsidRDefault="008102AE" w:rsidP="00205E73">
      <w:pPr>
        <w:adjustRightInd w:val="0"/>
        <w:snapToGrid w:val="0"/>
        <w:spacing w:line="360" w:lineRule="auto"/>
        <w:ind w:firstLineChars="200" w:firstLine="480"/>
        <w:rPr>
          <w:rFonts w:asciiTheme="minorEastAsia" w:hAnsiTheme="minorEastAsia"/>
          <w:color w:val="000000"/>
          <w:sz w:val="24"/>
        </w:rPr>
      </w:pPr>
      <w:r>
        <w:rPr>
          <w:rFonts w:asciiTheme="minorEastAsia" w:hAnsiTheme="minorEastAsia" w:hint="eastAsia"/>
          <w:color w:val="000000"/>
          <w:sz w:val="24"/>
        </w:rPr>
        <w:t>公司不存在前次</w:t>
      </w:r>
      <w:r w:rsidR="00D81E3D">
        <w:rPr>
          <w:rFonts w:asciiTheme="minorEastAsia" w:hAnsiTheme="minorEastAsia" w:hint="eastAsia"/>
          <w:color w:val="000000"/>
          <w:sz w:val="24"/>
        </w:rPr>
        <w:t>募集资金</w:t>
      </w:r>
      <w:r w:rsidR="00CC4EB2">
        <w:rPr>
          <w:rFonts w:asciiTheme="minorEastAsia" w:hAnsiTheme="minorEastAsia" w:hint="eastAsia"/>
          <w:color w:val="000000"/>
          <w:sz w:val="24"/>
        </w:rPr>
        <w:t>暂时</w:t>
      </w:r>
      <w:r w:rsidR="00D81E3D">
        <w:rPr>
          <w:rFonts w:asciiTheme="minorEastAsia" w:hAnsiTheme="minorEastAsia" w:hint="eastAsia"/>
          <w:color w:val="000000"/>
          <w:sz w:val="24"/>
        </w:rPr>
        <w:t>补充流动资金情形。</w:t>
      </w:r>
    </w:p>
    <w:p w:rsidR="00205E73" w:rsidRPr="00C034C4" w:rsidRDefault="00205E73" w:rsidP="00205E73">
      <w:pPr>
        <w:autoSpaceDE w:val="0"/>
        <w:autoSpaceDN w:val="0"/>
        <w:adjustRightInd w:val="0"/>
        <w:spacing w:line="360" w:lineRule="auto"/>
        <w:ind w:firstLineChars="200" w:firstLine="482"/>
        <w:jc w:val="left"/>
        <w:rPr>
          <w:rFonts w:ascii="宋体" w:hAnsi="Calibri" w:cs="宋体"/>
          <w:b/>
          <w:kern w:val="0"/>
          <w:sz w:val="24"/>
        </w:rPr>
      </w:pPr>
      <w:r w:rsidRPr="00C034C4">
        <w:rPr>
          <w:rFonts w:ascii="宋体" w:hAnsi="Calibri" w:cs="宋体" w:hint="eastAsia"/>
          <w:b/>
          <w:kern w:val="0"/>
          <w:sz w:val="24"/>
        </w:rPr>
        <w:t>二、募集资金投资项目的基本情况</w:t>
      </w:r>
    </w:p>
    <w:p w:rsidR="002D7F5C" w:rsidRPr="00A109E1" w:rsidRDefault="002D7F5C" w:rsidP="002D7F5C">
      <w:pPr>
        <w:autoSpaceDE w:val="0"/>
        <w:autoSpaceDN w:val="0"/>
        <w:adjustRightInd w:val="0"/>
        <w:spacing w:line="360" w:lineRule="auto"/>
        <w:ind w:rightChars="-68" w:right="-143" w:firstLineChars="200" w:firstLine="480"/>
        <w:rPr>
          <w:rFonts w:ascii="宋体" w:hAnsi="宋体"/>
          <w:sz w:val="24"/>
        </w:rPr>
      </w:pPr>
      <w:r w:rsidRPr="00A109E1">
        <w:rPr>
          <w:rFonts w:asciiTheme="minorEastAsia" w:hAnsiTheme="minorEastAsia" w:hint="eastAsia"/>
          <w:color w:val="000000"/>
          <w:sz w:val="24"/>
        </w:rPr>
        <w:t>截至2016年10月27日，公司募集配套资金投资项目基本情况如下</w:t>
      </w:r>
      <w:r w:rsidRPr="00A109E1">
        <w:rPr>
          <w:rFonts w:ascii="宋体" w:hAnsi="宋体" w:hint="eastAsia"/>
          <w:sz w:val="24"/>
        </w:rPr>
        <w:t>：</w:t>
      </w:r>
    </w:p>
    <w:p w:rsidR="002D7F5C" w:rsidRPr="00A109E1" w:rsidRDefault="002D7F5C" w:rsidP="002D7F5C">
      <w:pPr>
        <w:autoSpaceDE w:val="0"/>
        <w:autoSpaceDN w:val="0"/>
        <w:adjustRightInd w:val="0"/>
        <w:spacing w:line="360" w:lineRule="auto"/>
        <w:ind w:rightChars="-68" w:right="-143" w:firstLineChars="200" w:firstLine="420"/>
        <w:jc w:val="right"/>
        <w:rPr>
          <w:szCs w:val="21"/>
        </w:rPr>
      </w:pPr>
      <w:r w:rsidRPr="00A109E1">
        <w:rPr>
          <w:rFonts w:hint="eastAsia"/>
          <w:szCs w:val="21"/>
        </w:rPr>
        <w:t>单位：人民币万元</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3"/>
        <w:gridCol w:w="2662"/>
        <w:gridCol w:w="1513"/>
        <w:gridCol w:w="2090"/>
        <w:gridCol w:w="1537"/>
      </w:tblGrid>
      <w:tr w:rsidR="002D7F5C" w:rsidRPr="00A109E1" w:rsidTr="00433755">
        <w:trPr>
          <w:jc w:val="center"/>
        </w:trPr>
        <w:tc>
          <w:tcPr>
            <w:tcW w:w="386" w:type="pct"/>
            <w:vAlign w:val="center"/>
          </w:tcPr>
          <w:p w:rsidR="002D7F5C" w:rsidRPr="00A109E1" w:rsidRDefault="002D7F5C" w:rsidP="00433755">
            <w:pPr>
              <w:spacing w:beforeLines="15" w:before="46" w:afterLines="15" w:after="46"/>
              <w:jc w:val="center"/>
              <w:rPr>
                <w:szCs w:val="21"/>
              </w:rPr>
            </w:pPr>
            <w:r w:rsidRPr="00A109E1">
              <w:rPr>
                <w:rFonts w:hint="eastAsia"/>
                <w:szCs w:val="21"/>
              </w:rPr>
              <w:t>序号</w:t>
            </w:r>
          </w:p>
        </w:tc>
        <w:tc>
          <w:tcPr>
            <w:tcW w:w="1574" w:type="pct"/>
            <w:vAlign w:val="center"/>
          </w:tcPr>
          <w:p w:rsidR="002D7F5C" w:rsidRPr="00A109E1" w:rsidRDefault="002D7F5C" w:rsidP="00433755">
            <w:pPr>
              <w:spacing w:beforeLines="15" w:before="46" w:afterLines="15" w:after="46"/>
              <w:jc w:val="center"/>
              <w:rPr>
                <w:szCs w:val="21"/>
              </w:rPr>
            </w:pPr>
            <w:r w:rsidRPr="00A109E1">
              <w:rPr>
                <w:rFonts w:hint="eastAsia"/>
                <w:szCs w:val="21"/>
              </w:rPr>
              <w:t>募集配套资金用途</w:t>
            </w:r>
          </w:p>
        </w:tc>
        <w:tc>
          <w:tcPr>
            <w:tcW w:w="895" w:type="pct"/>
            <w:vAlign w:val="center"/>
          </w:tcPr>
          <w:p w:rsidR="002D7F5C" w:rsidRPr="00A109E1" w:rsidRDefault="002D7F5C" w:rsidP="00433755">
            <w:pPr>
              <w:spacing w:beforeLines="15" w:before="46" w:afterLines="15" w:after="46"/>
              <w:jc w:val="center"/>
              <w:rPr>
                <w:bCs/>
                <w:szCs w:val="21"/>
              </w:rPr>
            </w:pPr>
            <w:r w:rsidRPr="00A109E1">
              <w:rPr>
                <w:rFonts w:hint="eastAsia"/>
                <w:bCs/>
                <w:szCs w:val="21"/>
              </w:rPr>
              <w:t>募集配套资金拟投入总额</w:t>
            </w:r>
          </w:p>
        </w:tc>
        <w:tc>
          <w:tcPr>
            <w:tcW w:w="1236" w:type="pct"/>
            <w:vAlign w:val="center"/>
          </w:tcPr>
          <w:p w:rsidR="002D7F5C" w:rsidRPr="00A109E1" w:rsidRDefault="002D7F5C" w:rsidP="00433755">
            <w:pPr>
              <w:spacing w:beforeLines="15" w:before="46" w:afterLines="15" w:after="46"/>
              <w:jc w:val="center"/>
              <w:rPr>
                <w:bCs/>
                <w:szCs w:val="21"/>
              </w:rPr>
            </w:pPr>
            <w:r w:rsidRPr="00A109E1">
              <w:rPr>
                <w:rFonts w:hint="eastAsia"/>
                <w:bCs/>
                <w:szCs w:val="21"/>
              </w:rPr>
              <w:t>累计已投入金额</w:t>
            </w:r>
          </w:p>
        </w:tc>
        <w:tc>
          <w:tcPr>
            <w:tcW w:w="909" w:type="pct"/>
            <w:vAlign w:val="center"/>
          </w:tcPr>
          <w:p w:rsidR="002D7F5C" w:rsidRPr="00A109E1" w:rsidRDefault="002D7F5C" w:rsidP="00433755">
            <w:pPr>
              <w:spacing w:beforeLines="15" w:before="46" w:afterLines="15" w:after="46"/>
              <w:jc w:val="center"/>
              <w:rPr>
                <w:bCs/>
                <w:szCs w:val="21"/>
              </w:rPr>
            </w:pPr>
            <w:r w:rsidRPr="00A109E1">
              <w:rPr>
                <w:rFonts w:hint="eastAsia"/>
                <w:bCs/>
                <w:szCs w:val="21"/>
              </w:rPr>
              <w:t>是否符合计划进度</w:t>
            </w:r>
          </w:p>
        </w:tc>
      </w:tr>
      <w:tr w:rsidR="002D7F5C" w:rsidRPr="00A109E1" w:rsidTr="00433755">
        <w:trPr>
          <w:jc w:val="center"/>
        </w:trPr>
        <w:tc>
          <w:tcPr>
            <w:tcW w:w="386" w:type="pct"/>
            <w:vAlign w:val="center"/>
          </w:tcPr>
          <w:p w:rsidR="002D7F5C" w:rsidRPr="00A109E1" w:rsidRDefault="002D7F5C" w:rsidP="002D7F5C">
            <w:pPr>
              <w:spacing w:beforeLines="15" w:before="46" w:afterLines="15" w:after="46"/>
              <w:jc w:val="center"/>
              <w:rPr>
                <w:szCs w:val="21"/>
              </w:rPr>
            </w:pPr>
            <w:r w:rsidRPr="00A109E1">
              <w:rPr>
                <w:rFonts w:hint="eastAsia"/>
                <w:szCs w:val="21"/>
              </w:rPr>
              <w:t>1</w:t>
            </w:r>
          </w:p>
        </w:tc>
        <w:tc>
          <w:tcPr>
            <w:tcW w:w="1574" w:type="pct"/>
            <w:vAlign w:val="center"/>
          </w:tcPr>
          <w:p w:rsidR="002D7F5C" w:rsidRPr="00A109E1" w:rsidRDefault="002D7F5C" w:rsidP="002D7F5C">
            <w:pPr>
              <w:spacing w:beforeLines="15" w:before="46" w:afterLines="15" w:after="46"/>
              <w:rPr>
                <w:bCs/>
                <w:szCs w:val="21"/>
              </w:rPr>
            </w:pPr>
            <w:r w:rsidRPr="00A109E1">
              <w:rPr>
                <w:rFonts w:hint="eastAsia"/>
                <w:bCs/>
                <w:szCs w:val="21"/>
              </w:rPr>
              <w:t>支付现金对价</w:t>
            </w:r>
          </w:p>
        </w:tc>
        <w:tc>
          <w:tcPr>
            <w:tcW w:w="895" w:type="pct"/>
            <w:vAlign w:val="center"/>
          </w:tcPr>
          <w:p w:rsidR="002D7F5C" w:rsidRPr="00A109E1" w:rsidRDefault="002D7F5C" w:rsidP="002D7F5C">
            <w:pPr>
              <w:spacing w:beforeLines="15" w:before="46" w:afterLines="15" w:after="46"/>
              <w:jc w:val="right"/>
              <w:rPr>
                <w:bCs/>
                <w:szCs w:val="21"/>
              </w:rPr>
            </w:pPr>
            <w:r w:rsidRPr="00A109E1">
              <w:rPr>
                <w:rFonts w:hint="eastAsia"/>
                <w:bCs/>
                <w:szCs w:val="21"/>
              </w:rPr>
              <w:t>20,000.00</w:t>
            </w:r>
          </w:p>
        </w:tc>
        <w:tc>
          <w:tcPr>
            <w:tcW w:w="1236" w:type="pct"/>
          </w:tcPr>
          <w:p w:rsidR="002D7F5C" w:rsidRPr="00A109E1" w:rsidRDefault="002D7F5C" w:rsidP="002D7F5C">
            <w:pPr>
              <w:spacing w:beforeLines="15" w:before="46" w:afterLines="15" w:after="46"/>
              <w:jc w:val="right"/>
              <w:rPr>
                <w:bCs/>
                <w:szCs w:val="21"/>
              </w:rPr>
            </w:pPr>
            <w:r w:rsidRPr="00A109E1">
              <w:rPr>
                <w:rFonts w:hint="eastAsia"/>
                <w:bCs/>
                <w:szCs w:val="21"/>
              </w:rPr>
              <w:t>20,000.00</w:t>
            </w:r>
          </w:p>
        </w:tc>
        <w:tc>
          <w:tcPr>
            <w:tcW w:w="909" w:type="pct"/>
          </w:tcPr>
          <w:p w:rsidR="002D7F5C" w:rsidRPr="00A109E1" w:rsidRDefault="002D7F5C" w:rsidP="00433755">
            <w:pPr>
              <w:spacing w:beforeLines="15" w:before="46" w:afterLines="15" w:after="46"/>
              <w:jc w:val="center"/>
              <w:rPr>
                <w:bCs/>
                <w:szCs w:val="21"/>
              </w:rPr>
            </w:pPr>
            <w:r w:rsidRPr="00A109E1">
              <w:rPr>
                <w:rFonts w:hint="eastAsia"/>
                <w:bCs/>
                <w:szCs w:val="21"/>
              </w:rPr>
              <w:t>是</w:t>
            </w:r>
          </w:p>
        </w:tc>
      </w:tr>
      <w:tr w:rsidR="002D7F5C" w:rsidRPr="00A109E1" w:rsidTr="00433755">
        <w:trPr>
          <w:jc w:val="center"/>
        </w:trPr>
        <w:tc>
          <w:tcPr>
            <w:tcW w:w="386" w:type="pct"/>
            <w:vAlign w:val="center"/>
          </w:tcPr>
          <w:p w:rsidR="002D7F5C" w:rsidRPr="00A109E1" w:rsidRDefault="002D7F5C" w:rsidP="002D7F5C">
            <w:pPr>
              <w:spacing w:beforeLines="15" w:before="46" w:afterLines="15" w:after="46"/>
              <w:jc w:val="center"/>
              <w:rPr>
                <w:szCs w:val="21"/>
              </w:rPr>
            </w:pPr>
            <w:r w:rsidRPr="00A109E1">
              <w:rPr>
                <w:rFonts w:hint="eastAsia"/>
                <w:szCs w:val="21"/>
              </w:rPr>
              <w:t>2</w:t>
            </w:r>
          </w:p>
        </w:tc>
        <w:tc>
          <w:tcPr>
            <w:tcW w:w="1574" w:type="pct"/>
            <w:vAlign w:val="center"/>
          </w:tcPr>
          <w:p w:rsidR="002D7F5C" w:rsidRPr="00A109E1" w:rsidRDefault="002D7F5C" w:rsidP="002D7F5C">
            <w:pPr>
              <w:spacing w:beforeLines="15" w:before="46" w:afterLines="15" w:after="46"/>
              <w:rPr>
                <w:bCs/>
                <w:szCs w:val="21"/>
              </w:rPr>
            </w:pPr>
            <w:r w:rsidRPr="00A109E1">
              <w:rPr>
                <w:rFonts w:hint="eastAsia"/>
                <w:szCs w:val="21"/>
              </w:rPr>
              <w:t>支付中介机构费用</w:t>
            </w:r>
          </w:p>
        </w:tc>
        <w:tc>
          <w:tcPr>
            <w:tcW w:w="895" w:type="pct"/>
            <w:vAlign w:val="center"/>
          </w:tcPr>
          <w:p w:rsidR="002D7F5C" w:rsidRPr="00A109E1" w:rsidRDefault="002D7F5C" w:rsidP="002D7F5C">
            <w:pPr>
              <w:spacing w:beforeLines="15" w:before="46" w:afterLines="15" w:after="46"/>
              <w:jc w:val="right"/>
              <w:rPr>
                <w:bCs/>
                <w:szCs w:val="21"/>
              </w:rPr>
            </w:pPr>
            <w:r w:rsidRPr="00A109E1">
              <w:rPr>
                <w:rFonts w:hint="eastAsia"/>
                <w:szCs w:val="21"/>
              </w:rPr>
              <w:t>2,000.00</w:t>
            </w:r>
          </w:p>
        </w:tc>
        <w:tc>
          <w:tcPr>
            <w:tcW w:w="1236" w:type="pct"/>
            <w:vAlign w:val="center"/>
          </w:tcPr>
          <w:p w:rsidR="002D7F5C" w:rsidRPr="00A109E1" w:rsidRDefault="002D7F5C" w:rsidP="002D7F5C">
            <w:pPr>
              <w:spacing w:beforeLines="15" w:before="46" w:afterLines="15" w:after="46"/>
              <w:jc w:val="right"/>
              <w:rPr>
                <w:szCs w:val="21"/>
                <w:vertAlign w:val="superscript"/>
              </w:rPr>
            </w:pPr>
            <w:r w:rsidRPr="00A109E1">
              <w:rPr>
                <w:rFonts w:hint="eastAsia"/>
                <w:bCs/>
                <w:szCs w:val="21"/>
              </w:rPr>
              <w:t>1</w:t>
            </w:r>
            <w:r w:rsidR="004054A3">
              <w:rPr>
                <w:rFonts w:hint="eastAsia"/>
                <w:bCs/>
                <w:szCs w:val="21"/>
              </w:rPr>
              <w:t>,</w:t>
            </w:r>
            <w:r w:rsidRPr="00A109E1">
              <w:rPr>
                <w:rFonts w:hint="eastAsia"/>
                <w:bCs/>
                <w:szCs w:val="21"/>
              </w:rPr>
              <w:t>510.00</w:t>
            </w:r>
            <w:r w:rsidRPr="00A109E1">
              <w:rPr>
                <w:rFonts w:hint="eastAsia"/>
                <w:bCs/>
                <w:szCs w:val="21"/>
                <w:vertAlign w:val="superscript"/>
              </w:rPr>
              <w:t>注</w:t>
            </w:r>
            <w:r w:rsidRPr="00A109E1">
              <w:rPr>
                <w:rFonts w:hint="eastAsia"/>
                <w:bCs/>
                <w:szCs w:val="21"/>
                <w:vertAlign w:val="superscript"/>
              </w:rPr>
              <w:t>1</w:t>
            </w:r>
          </w:p>
        </w:tc>
        <w:tc>
          <w:tcPr>
            <w:tcW w:w="909" w:type="pct"/>
            <w:vAlign w:val="center"/>
          </w:tcPr>
          <w:p w:rsidR="002D7F5C" w:rsidRPr="00A109E1" w:rsidRDefault="002D7F5C" w:rsidP="00433755">
            <w:pPr>
              <w:spacing w:beforeLines="15" w:before="46" w:afterLines="15" w:after="46"/>
              <w:jc w:val="center"/>
              <w:rPr>
                <w:szCs w:val="21"/>
              </w:rPr>
            </w:pPr>
            <w:r w:rsidRPr="00A109E1">
              <w:rPr>
                <w:rFonts w:hint="eastAsia"/>
                <w:bCs/>
                <w:szCs w:val="21"/>
              </w:rPr>
              <w:t>是</w:t>
            </w:r>
          </w:p>
        </w:tc>
      </w:tr>
      <w:tr w:rsidR="002D7F5C" w:rsidRPr="00A109E1" w:rsidTr="00433755">
        <w:trPr>
          <w:jc w:val="center"/>
        </w:trPr>
        <w:tc>
          <w:tcPr>
            <w:tcW w:w="386" w:type="pct"/>
            <w:vAlign w:val="center"/>
          </w:tcPr>
          <w:p w:rsidR="002D7F5C" w:rsidRPr="00A109E1" w:rsidRDefault="002D7F5C" w:rsidP="002D7F5C">
            <w:pPr>
              <w:spacing w:beforeLines="15" w:before="46" w:afterLines="15" w:after="46"/>
              <w:jc w:val="center"/>
              <w:rPr>
                <w:szCs w:val="21"/>
              </w:rPr>
            </w:pPr>
            <w:r w:rsidRPr="00A109E1">
              <w:rPr>
                <w:rFonts w:hint="eastAsia"/>
                <w:szCs w:val="21"/>
              </w:rPr>
              <w:t>3</w:t>
            </w:r>
          </w:p>
        </w:tc>
        <w:tc>
          <w:tcPr>
            <w:tcW w:w="1574" w:type="pct"/>
            <w:vAlign w:val="center"/>
          </w:tcPr>
          <w:p w:rsidR="002D7F5C" w:rsidRPr="00A109E1" w:rsidRDefault="002D7F5C" w:rsidP="002D7F5C">
            <w:pPr>
              <w:spacing w:beforeLines="15" w:before="46" w:afterLines="15" w:after="46"/>
              <w:rPr>
                <w:szCs w:val="21"/>
              </w:rPr>
            </w:pPr>
            <w:r w:rsidRPr="00A109E1">
              <w:rPr>
                <w:rFonts w:hint="eastAsia"/>
                <w:bCs/>
                <w:szCs w:val="21"/>
              </w:rPr>
              <w:t>二期项目</w:t>
            </w:r>
          </w:p>
        </w:tc>
        <w:tc>
          <w:tcPr>
            <w:tcW w:w="895" w:type="pct"/>
            <w:vAlign w:val="center"/>
          </w:tcPr>
          <w:p w:rsidR="002D7F5C" w:rsidRPr="00A109E1" w:rsidRDefault="002D7F5C" w:rsidP="002D7F5C">
            <w:pPr>
              <w:spacing w:beforeLines="15" w:before="46" w:afterLines="15" w:after="46"/>
              <w:jc w:val="right"/>
              <w:rPr>
                <w:szCs w:val="21"/>
              </w:rPr>
            </w:pPr>
            <w:r w:rsidRPr="00A109E1">
              <w:rPr>
                <w:rFonts w:hint="eastAsia"/>
                <w:szCs w:val="21"/>
              </w:rPr>
              <w:t>35,000.00</w:t>
            </w:r>
          </w:p>
        </w:tc>
        <w:tc>
          <w:tcPr>
            <w:tcW w:w="1236" w:type="pct"/>
            <w:vAlign w:val="center"/>
          </w:tcPr>
          <w:p w:rsidR="002D7F5C" w:rsidRPr="00A109E1" w:rsidRDefault="002D7F5C" w:rsidP="002D7F5C">
            <w:pPr>
              <w:spacing w:beforeLines="15" w:before="46" w:afterLines="15" w:after="46"/>
              <w:jc w:val="right"/>
              <w:rPr>
                <w:szCs w:val="21"/>
                <w:vertAlign w:val="superscript"/>
              </w:rPr>
            </w:pPr>
            <w:r w:rsidRPr="00A109E1">
              <w:rPr>
                <w:rFonts w:hint="eastAsia"/>
                <w:szCs w:val="21"/>
              </w:rPr>
              <w:t>8</w:t>
            </w:r>
            <w:r w:rsidR="004054A3">
              <w:rPr>
                <w:rFonts w:hint="eastAsia"/>
                <w:szCs w:val="21"/>
              </w:rPr>
              <w:t>,</w:t>
            </w:r>
            <w:r w:rsidRPr="00A109E1">
              <w:rPr>
                <w:rFonts w:hint="eastAsia"/>
                <w:szCs w:val="21"/>
              </w:rPr>
              <w:t>843.97</w:t>
            </w:r>
            <w:r w:rsidRPr="00A109E1">
              <w:rPr>
                <w:rFonts w:hint="eastAsia"/>
                <w:szCs w:val="21"/>
                <w:vertAlign w:val="superscript"/>
              </w:rPr>
              <w:t>注</w:t>
            </w:r>
            <w:r w:rsidRPr="00A109E1">
              <w:rPr>
                <w:rFonts w:hint="eastAsia"/>
                <w:szCs w:val="21"/>
                <w:vertAlign w:val="superscript"/>
              </w:rPr>
              <w:t>2</w:t>
            </w:r>
          </w:p>
        </w:tc>
        <w:tc>
          <w:tcPr>
            <w:tcW w:w="909" w:type="pct"/>
            <w:vAlign w:val="center"/>
          </w:tcPr>
          <w:p w:rsidR="002D7F5C" w:rsidRPr="00A109E1" w:rsidRDefault="002D7F5C" w:rsidP="00433755">
            <w:pPr>
              <w:spacing w:beforeLines="15" w:before="46" w:afterLines="15" w:after="46"/>
              <w:jc w:val="center"/>
              <w:rPr>
                <w:szCs w:val="21"/>
              </w:rPr>
            </w:pPr>
            <w:r w:rsidRPr="00A109E1">
              <w:rPr>
                <w:rFonts w:hint="eastAsia"/>
                <w:bCs/>
                <w:szCs w:val="21"/>
              </w:rPr>
              <w:t>是</w:t>
            </w:r>
          </w:p>
        </w:tc>
      </w:tr>
      <w:tr w:rsidR="002D7F5C" w:rsidRPr="00A109E1" w:rsidTr="00433755">
        <w:trPr>
          <w:jc w:val="center"/>
        </w:trPr>
        <w:tc>
          <w:tcPr>
            <w:tcW w:w="386" w:type="pct"/>
            <w:vAlign w:val="center"/>
          </w:tcPr>
          <w:p w:rsidR="002D7F5C" w:rsidRPr="00A109E1" w:rsidRDefault="002D7F5C" w:rsidP="002D7F5C">
            <w:pPr>
              <w:spacing w:beforeLines="15" w:before="46" w:afterLines="15" w:after="46"/>
              <w:jc w:val="center"/>
              <w:rPr>
                <w:szCs w:val="21"/>
              </w:rPr>
            </w:pPr>
            <w:r w:rsidRPr="00A109E1">
              <w:rPr>
                <w:rFonts w:hint="eastAsia"/>
                <w:szCs w:val="21"/>
              </w:rPr>
              <w:t>4</w:t>
            </w:r>
          </w:p>
        </w:tc>
        <w:tc>
          <w:tcPr>
            <w:tcW w:w="1574" w:type="pct"/>
            <w:vAlign w:val="center"/>
          </w:tcPr>
          <w:p w:rsidR="002D7F5C" w:rsidRPr="00A109E1" w:rsidRDefault="002D7F5C" w:rsidP="002D7F5C">
            <w:pPr>
              <w:spacing w:beforeLines="15" w:before="46" w:afterLines="15" w:after="46"/>
              <w:rPr>
                <w:szCs w:val="21"/>
              </w:rPr>
            </w:pPr>
            <w:r w:rsidRPr="00A109E1">
              <w:rPr>
                <w:rFonts w:hint="eastAsia"/>
                <w:szCs w:val="21"/>
              </w:rPr>
              <w:t>补充响水</w:t>
            </w:r>
            <w:proofErr w:type="gramStart"/>
            <w:r w:rsidRPr="00A109E1">
              <w:rPr>
                <w:rFonts w:hint="eastAsia"/>
                <w:szCs w:val="21"/>
              </w:rPr>
              <w:t>恒</w:t>
            </w:r>
            <w:proofErr w:type="gramEnd"/>
            <w:r w:rsidRPr="00A109E1">
              <w:rPr>
                <w:rFonts w:hint="eastAsia"/>
                <w:szCs w:val="21"/>
              </w:rPr>
              <w:t>利达营运资金</w:t>
            </w:r>
          </w:p>
        </w:tc>
        <w:tc>
          <w:tcPr>
            <w:tcW w:w="895" w:type="pct"/>
            <w:vAlign w:val="center"/>
          </w:tcPr>
          <w:p w:rsidR="002D7F5C" w:rsidRPr="00A109E1" w:rsidRDefault="002D7F5C" w:rsidP="002D7F5C">
            <w:pPr>
              <w:spacing w:beforeLines="15" w:before="46" w:afterLines="15" w:after="46"/>
              <w:jc w:val="right"/>
              <w:rPr>
                <w:szCs w:val="21"/>
              </w:rPr>
            </w:pPr>
            <w:r w:rsidRPr="00A109E1">
              <w:rPr>
                <w:rFonts w:hint="eastAsia"/>
                <w:szCs w:val="21"/>
              </w:rPr>
              <w:t>3,000.00</w:t>
            </w:r>
          </w:p>
        </w:tc>
        <w:tc>
          <w:tcPr>
            <w:tcW w:w="1236" w:type="pct"/>
            <w:vAlign w:val="center"/>
          </w:tcPr>
          <w:p w:rsidR="002D7F5C" w:rsidRPr="00A109E1" w:rsidRDefault="002D7F5C" w:rsidP="002D7F5C">
            <w:pPr>
              <w:spacing w:beforeLines="15" w:before="46" w:afterLines="15" w:after="46"/>
              <w:jc w:val="right"/>
              <w:rPr>
                <w:szCs w:val="21"/>
              </w:rPr>
            </w:pPr>
            <w:r w:rsidRPr="00A109E1">
              <w:rPr>
                <w:rFonts w:hint="eastAsia"/>
                <w:szCs w:val="21"/>
              </w:rPr>
              <w:t>2</w:t>
            </w:r>
            <w:r w:rsidR="004054A3">
              <w:rPr>
                <w:rFonts w:hint="eastAsia"/>
                <w:szCs w:val="21"/>
              </w:rPr>
              <w:t>,</w:t>
            </w:r>
            <w:r w:rsidRPr="00A109E1">
              <w:rPr>
                <w:rFonts w:hint="eastAsia"/>
                <w:szCs w:val="21"/>
              </w:rPr>
              <w:t>999.23</w:t>
            </w:r>
          </w:p>
        </w:tc>
        <w:tc>
          <w:tcPr>
            <w:tcW w:w="909" w:type="pct"/>
            <w:vAlign w:val="center"/>
          </w:tcPr>
          <w:p w:rsidR="002D7F5C" w:rsidRPr="00A109E1" w:rsidRDefault="002D7F5C" w:rsidP="00433755">
            <w:pPr>
              <w:spacing w:beforeLines="15" w:before="46" w:afterLines="15" w:after="46"/>
              <w:jc w:val="center"/>
              <w:rPr>
                <w:szCs w:val="21"/>
              </w:rPr>
            </w:pPr>
            <w:r w:rsidRPr="00A109E1">
              <w:rPr>
                <w:rFonts w:hint="eastAsia"/>
                <w:bCs/>
                <w:szCs w:val="21"/>
              </w:rPr>
              <w:t>是</w:t>
            </w:r>
          </w:p>
        </w:tc>
      </w:tr>
      <w:tr w:rsidR="002D7F5C" w:rsidRPr="00A109E1" w:rsidTr="00433755">
        <w:trPr>
          <w:jc w:val="center"/>
        </w:trPr>
        <w:tc>
          <w:tcPr>
            <w:tcW w:w="1960" w:type="pct"/>
            <w:gridSpan w:val="2"/>
            <w:vAlign w:val="center"/>
          </w:tcPr>
          <w:p w:rsidR="002D7F5C" w:rsidRPr="00A109E1" w:rsidRDefault="002D7F5C" w:rsidP="002D7F5C">
            <w:pPr>
              <w:spacing w:beforeLines="15" w:before="46" w:afterLines="15" w:after="46"/>
              <w:jc w:val="center"/>
              <w:rPr>
                <w:szCs w:val="21"/>
              </w:rPr>
            </w:pPr>
            <w:r w:rsidRPr="00A109E1">
              <w:rPr>
                <w:rFonts w:hint="eastAsia"/>
                <w:szCs w:val="21"/>
              </w:rPr>
              <w:t>合计</w:t>
            </w:r>
          </w:p>
        </w:tc>
        <w:tc>
          <w:tcPr>
            <w:tcW w:w="895" w:type="pct"/>
            <w:vAlign w:val="center"/>
          </w:tcPr>
          <w:p w:rsidR="002D7F5C" w:rsidRPr="00A109E1" w:rsidRDefault="002D7F5C" w:rsidP="002D7F5C">
            <w:pPr>
              <w:spacing w:beforeLines="15" w:before="46" w:afterLines="15" w:after="46"/>
              <w:jc w:val="right"/>
              <w:rPr>
                <w:szCs w:val="21"/>
              </w:rPr>
            </w:pPr>
            <w:r w:rsidRPr="00A109E1">
              <w:rPr>
                <w:rFonts w:hint="eastAsia"/>
                <w:szCs w:val="21"/>
              </w:rPr>
              <w:t>60,000.00</w:t>
            </w:r>
          </w:p>
        </w:tc>
        <w:tc>
          <w:tcPr>
            <w:tcW w:w="1236" w:type="pct"/>
            <w:vAlign w:val="center"/>
          </w:tcPr>
          <w:p w:rsidR="002D7F5C" w:rsidRPr="00A109E1" w:rsidRDefault="002D7F5C" w:rsidP="007550AA">
            <w:pPr>
              <w:jc w:val="right"/>
              <w:rPr>
                <w:szCs w:val="21"/>
              </w:rPr>
            </w:pPr>
            <w:r w:rsidRPr="00A109E1">
              <w:rPr>
                <w:color w:val="000000"/>
                <w:szCs w:val="21"/>
              </w:rPr>
              <w:t>33,353.20</w:t>
            </w:r>
          </w:p>
        </w:tc>
        <w:tc>
          <w:tcPr>
            <w:tcW w:w="909" w:type="pct"/>
            <w:vAlign w:val="center"/>
          </w:tcPr>
          <w:p w:rsidR="002D7F5C" w:rsidRPr="00A109E1" w:rsidRDefault="002D7F5C" w:rsidP="002D7F5C">
            <w:pPr>
              <w:spacing w:beforeLines="15" w:before="46" w:afterLines="15" w:after="46"/>
              <w:jc w:val="right"/>
              <w:rPr>
                <w:szCs w:val="21"/>
              </w:rPr>
            </w:pPr>
          </w:p>
        </w:tc>
      </w:tr>
    </w:tbl>
    <w:p w:rsidR="002D7F5C" w:rsidRPr="00CE2B3E" w:rsidRDefault="002D7F5C" w:rsidP="00433755">
      <w:pPr>
        <w:adjustRightInd w:val="0"/>
        <w:snapToGrid w:val="0"/>
        <w:spacing w:line="276" w:lineRule="auto"/>
        <w:ind w:firstLine="480"/>
        <w:rPr>
          <w:rFonts w:asciiTheme="minorEastAsia" w:hAnsiTheme="minorEastAsia"/>
          <w:color w:val="000000"/>
          <w:sz w:val="18"/>
          <w:szCs w:val="18"/>
        </w:rPr>
      </w:pPr>
      <w:bookmarkStart w:id="0" w:name="_GoBack"/>
      <w:r w:rsidRPr="00CE2B3E">
        <w:rPr>
          <w:rFonts w:asciiTheme="minorEastAsia" w:hAnsiTheme="minorEastAsia" w:hint="eastAsia"/>
          <w:color w:val="000000"/>
          <w:sz w:val="18"/>
          <w:szCs w:val="18"/>
        </w:rPr>
        <w:t>注1：累计支付中介机构费用1</w:t>
      </w:r>
      <w:r w:rsidR="004054A3" w:rsidRPr="00CE2B3E">
        <w:rPr>
          <w:rFonts w:asciiTheme="minorEastAsia" w:hAnsiTheme="minorEastAsia" w:hint="eastAsia"/>
          <w:color w:val="000000"/>
          <w:sz w:val="18"/>
          <w:szCs w:val="18"/>
        </w:rPr>
        <w:t>,</w:t>
      </w:r>
      <w:r w:rsidRPr="00CE2B3E">
        <w:rPr>
          <w:rFonts w:asciiTheme="minorEastAsia" w:hAnsiTheme="minorEastAsia" w:hint="eastAsia"/>
          <w:color w:val="000000"/>
          <w:sz w:val="18"/>
          <w:szCs w:val="18"/>
        </w:rPr>
        <w:t>510.00万元包括使用募集配套资金1</w:t>
      </w:r>
      <w:r w:rsidR="004054A3" w:rsidRPr="00CE2B3E">
        <w:rPr>
          <w:rFonts w:asciiTheme="minorEastAsia" w:hAnsiTheme="minorEastAsia" w:hint="eastAsia"/>
          <w:color w:val="000000"/>
          <w:sz w:val="18"/>
          <w:szCs w:val="18"/>
        </w:rPr>
        <w:t>,</w:t>
      </w:r>
      <w:r w:rsidRPr="00CE2B3E">
        <w:rPr>
          <w:rFonts w:asciiTheme="minorEastAsia" w:hAnsiTheme="minorEastAsia" w:hint="eastAsia"/>
          <w:color w:val="000000"/>
          <w:sz w:val="18"/>
          <w:szCs w:val="18"/>
        </w:rPr>
        <w:t>000万元和公司以自筹资金预先投入510万元；</w:t>
      </w:r>
    </w:p>
    <w:p w:rsidR="002D7F5C" w:rsidRPr="00CE2B3E" w:rsidRDefault="002D7F5C" w:rsidP="00433755">
      <w:pPr>
        <w:adjustRightInd w:val="0"/>
        <w:snapToGrid w:val="0"/>
        <w:spacing w:line="276" w:lineRule="auto"/>
        <w:ind w:firstLine="480"/>
        <w:rPr>
          <w:rFonts w:asciiTheme="minorEastAsia" w:hAnsiTheme="minorEastAsia"/>
          <w:color w:val="000000"/>
          <w:sz w:val="18"/>
          <w:szCs w:val="18"/>
        </w:rPr>
      </w:pPr>
      <w:r w:rsidRPr="00CE2B3E">
        <w:rPr>
          <w:rFonts w:asciiTheme="minorEastAsia" w:hAnsiTheme="minorEastAsia" w:hint="eastAsia"/>
          <w:color w:val="000000"/>
          <w:sz w:val="18"/>
          <w:szCs w:val="18"/>
        </w:rPr>
        <w:t>注2：累计投入二期项目金额8</w:t>
      </w:r>
      <w:r w:rsidR="004054A3" w:rsidRPr="00CE2B3E">
        <w:rPr>
          <w:rFonts w:asciiTheme="minorEastAsia" w:hAnsiTheme="minorEastAsia" w:hint="eastAsia"/>
          <w:color w:val="000000"/>
          <w:sz w:val="18"/>
          <w:szCs w:val="18"/>
        </w:rPr>
        <w:t>,</w:t>
      </w:r>
      <w:r w:rsidRPr="00CE2B3E">
        <w:rPr>
          <w:rFonts w:asciiTheme="minorEastAsia" w:hAnsiTheme="minorEastAsia" w:hint="eastAsia"/>
          <w:color w:val="000000"/>
          <w:sz w:val="18"/>
          <w:szCs w:val="18"/>
        </w:rPr>
        <w:t>843.97万元全部为公司以自筹资金预先投入。</w:t>
      </w:r>
    </w:p>
    <w:bookmarkEnd w:id="0"/>
    <w:p w:rsidR="002D7F5C" w:rsidRDefault="002D7F5C" w:rsidP="002D7F5C">
      <w:pPr>
        <w:adjustRightInd w:val="0"/>
        <w:snapToGrid w:val="0"/>
        <w:spacing w:line="360" w:lineRule="auto"/>
        <w:ind w:firstLine="480"/>
        <w:rPr>
          <w:rFonts w:asciiTheme="minorEastAsia" w:hAnsiTheme="minorEastAsia"/>
          <w:color w:val="000000"/>
          <w:sz w:val="24"/>
        </w:rPr>
      </w:pPr>
      <w:r w:rsidRPr="00A109E1">
        <w:rPr>
          <w:rFonts w:asciiTheme="minorEastAsia" w:hAnsiTheme="minorEastAsia" w:hint="eastAsia"/>
          <w:color w:val="000000"/>
          <w:sz w:val="24"/>
        </w:rPr>
        <w:t>截至2016年10月27日，公司已使用募集配套资金实际支付现金对价20,000万元，支付中介机构费用1</w:t>
      </w:r>
      <w:r w:rsidR="004054A3">
        <w:rPr>
          <w:rFonts w:asciiTheme="minorEastAsia" w:hAnsiTheme="minorEastAsia" w:hint="eastAsia"/>
          <w:color w:val="000000"/>
          <w:sz w:val="24"/>
        </w:rPr>
        <w:t>,</w:t>
      </w:r>
      <w:r w:rsidRPr="00A109E1">
        <w:rPr>
          <w:rFonts w:asciiTheme="minorEastAsia" w:hAnsiTheme="minorEastAsia" w:hint="eastAsia"/>
          <w:color w:val="000000"/>
          <w:sz w:val="24"/>
        </w:rPr>
        <w:t>000万元，补充</w:t>
      </w:r>
      <w:proofErr w:type="gramStart"/>
      <w:r w:rsidRPr="00A109E1">
        <w:rPr>
          <w:rFonts w:asciiTheme="minorEastAsia" w:hAnsiTheme="minorEastAsia" w:hint="eastAsia"/>
          <w:color w:val="000000"/>
          <w:sz w:val="24"/>
        </w:rPr>
        <w:t>恒</w:t>
      </w:r>
      <w:proofErr w:type="gramEnd"/>
      <w:r w:rsidRPr="00A109E1">
        <w:rPr>
          <w:rFonts w:asciiTheme="minorEastAsia" w:hAnsiTheme="minorEastAsia" w:hint="eastAsia"/>
          <w:color w:val="000000"/>
          <w:sz w:val="24"/>
        </w:rPr>
        <w:t>利达营运资金2</w:t>
      </w:r>
      <w:r w:rsidR="004054A3">
        <w:rPr>
          <w:rFonts w:asciiTheme="minorEastAsia" w:hAnsiTheme="minorEastAsia" w:hint="eastAsia"/>
          <w:color w:val="000000"/>
          <w:sz w:val="24"/>
        </w:rPr>
        <w:t>,</w:t>
      </w:r>
      <w:r w:rsidRPr="00A109E1">
        <w:rPr>
          <w:rFonts w:asciiTheme="minorEastAsia" w:hAnsiTheme="minorEastAsia" w:hint="eastAsia"/>
          <w:color w:val="000000"/>
          <w:sz w:val="24"/>
        </w:rPr>
        <w:t>999.23万元，募集配套资金账户余额36</w:t>
      </w:r>
      <w:r w:rsidR="004054A3">
        <w:rPr>
          <w:rFonts w:asciiTheme="minorEastAsia" w:hAnsiTheme="minorEastAsia" w:hint="eastAsia"/>
          <w:color w:val="000000"/>
          <w:sz w:val="24"/>
        </w:rPr>
        <w:t>,</w:t>
      </w:r>
      <w:r w:rsidRPr="00A109E1">
        <w:rPr>
          <w:rFonts w:asciiTheme="minorEastAsia" w:hAnsiTheme="minorEastAsia" w:hint="eastAsia"/>
          <w:color w:val="000000"/>
          <w:sz w:val="24"/>
        </w:rPr>
        <w:t>000.70万元。</w:t>
      </w:r>
    </w:p>
    <w:p w:rsidR="00F246C4" w:rsidRPr="00C034C4" w:rsidRDefault="00F246C4" w:rsidP="00F246C4">
      <w:pPr>
        <w:autoSpaceDE w:val="0"/>
        <w:autoSpaceDN w:val="0"/>
        <w:adjustRightInd w:val="0"/>
        <w:spacing w:line="360" w:lineRule="auto"/>
        <w:ind w:firstLineChars="200" w:firstLine="482"/>
        <w:jc w:val="left"/>
        <w:rPr>
          <w:rFonts w:ascii="宋体" w:hAnsi="Calibri" w:cs="宋体"/>
          <w:b/>
          <w:kern w:val="0"/>
          <w:sz w:val="24"/>
        </w:rPr>
      </w:pPr>
      <w:r w:rsidRPr="00C034C4">
        <w:rPr>
          <w:rFonts w:ascii="宋体" w:hAnsi="Calibri" w:cs="宋体" w:hint="eastAsia"/>
          <w:b/>
          <w:kern w:val="0"/>
          <w:sz w:val="24"/>
        </w:rPr>
        <w:t>三、本次</w:t>
      </w:r>
      <w:r w:rsidR="00CA345C">
        <w:rPr>
          <w:rFonts w:ascii="宋体" w:hAnsi="Calibri" w:cs="宋体" w:hint="eastAsia"/>
          <w:b/>
          <w:kern w:val="0"/>
          <w:sz w:val="24"/>
        </w:rPr>
        <w:t>使用</w:t>
      </w:r>
      <w:r w:rsidRPr="00C034C4">
        <w:rPr>
          <w:rFonts w:ascii="宋体" w:hAnsi="Calibri" w:cs="宋体" w:hint="eastAsia"/>
          <w:b/>
          <w:kern w:val="0"/>
          <w:sz w:val="24"/>
        </w:rPr>
        <w:t>部分闲置募集资金</w:t>
      </w:r>
      <w:r w:rsidR="00CA345C">
        <w:rPr>
          <w:rFonts w:ascii="宋体" w:hAnsi="Calibri" w:cs="宋体" w:hint="eastAsia"/>
          <w:b/>
          <w:kern w:val="0"/>
          <w:sz w:val="24"/>
        </w:rPr>
        <w:t>暂时</w:t>
      </w:r>
      <w:r w:rsidRPr="00C034C4">
        <w:rPr>
          <w:rFonts w:ascii="宋体" w:hAnsi="Calibri" w:cs="宋体" w:hint="eastAsia"/>
          <w:b/>
          <w:kern w:val="0"/>
          <w:sz w:val="24"/>
        </w:rPr>
        <w:t>补充流动资金的计划</w:t>
      </w:r>
    </w:p>
    <w:p w:rsidR="00F246C4" w:rsidRDefault="00104350" w:rsidP="00F246C4">
      <w:pPr>
        <w:adjustRightInd w:val="0"/>
        <w:snapToGrid w:val="0"/>
        <w:spacing w:line="360" w:lineRule="auto"/>
        <w:ind w:firstLine="480"/>
        <w:rPr>
          <w:rFonts w:asciiTheme="minorEastAsia" w:hAnsiTheme="minorEastAsia"/>
          <w:color w:val="000000"/>
          <w:sz w:val="24"/>
        </w:rPr>
      </w:pPr>
      <w:r>
        <w:rPr>
          <w:rFonts w:asciiTheme="minorEastAsia" w:hAnsiTheme="minorEastAsia" w:hint="eastAsia"/>
          <w:color w:val="000000"/>
          <w:sz w:val="24"/>
        </w:rPr>
        <w:t>根据</w:t>
      </w:r>
      <w:proofErr w:type="gramStart"/>
      <w:r>
        <w:rPr>
          <w:rFonts w:asciiTheme="minorEastAsia" w:hAnsiTheme="minorEastAsia" w:hint="eastAsia"/>
          <w:color w:val="000000"/>
          <w:sz w:val="24"/>
        </w:rPr>
        <w:t>恒</w:t>
      </w:r>
      <w:proofErr w:type="gramEnd"/>
      <w:r>
        <w:rPr>
          <w:rFonts w:asciiTheme="minorEastAsia" w:hAnsiTheme="minorEastAsia" w:hint="eastAsia"/>
          <w:color w:val="000000"/>
          <w:sz w:val="24"/>
        </w:rPr>
        <w:t>利达目前生产经营需求和财务状况，为提高募集配套资金的使用效率，降低公司</w:t>
      </w:r>
      <w:r w:rsidR="00D06E55">
        <w:rPr>
          <w:rFonts w:asciiTheme="minorEastAsia" w:hAnsiTheme="minorEastAsia" w:hint="eastAsia"/>
          <w:color w:val="000000"/>
          <w:sz w:val="24"/>
        </w:rPr>
        <w:t>财务</w:t>
      </w:r>
      <w:r>
        <w:rPr>
          <w:rFonts w:asciiTheme="minorEastAsia" w:hAnsiTheme="minorEastAsia" w:hint="eastAsia"/>
          <w:color w:val="000000"/>
          <w:sz w:val="24"/>
        </w:rPr>
        <w:t>成本，公司</w:t>
      </w:r>
      <w:r w:rsidR="00C47CEA">
        <w:rPr>
          <w:rFonts w:asciiTheme="minorEastAsia" w:hAnsiTheme="minorEastAsia" w:hint="eastAsia"/>
          <w:color w:val="000000"/>
          <w:sz w:val="24"/>
        </w:rPr>
        <w:t>拟</w:t>
      </w:r>
      <w:r w:rsidR="00C47CEA" w:rsidRPr="00C47CEA">
        <w:rPr>
          <w:rFonts w:asciiTheme="minorEastAsia" w:hAnsiTheme="minorEastAsia" w:hint="eastAsia"/>
          <w:color w:val="000000"/>
          <w:sz w:val="24"/>
        </w:rPr>
        <w:t>以部分暂时闲置的募集配套资金</w:t>
      </w:r>
      <w:r w:rsidR="00942813" w:rsidRPr="00942813">
        <w:rPr>
          <w:rFonts w:asciiTheme="minorEastAsia" w:hAnsiTheme="minorEastAsia" w:hint="eastAsia"/>
          <w:sz w:val="24"/>
        </w:rPr>
        <w:t>10,000</w:t>
      </w:r>
      <w:r w:rsidR="00C47CEA" w:rsidRPr="00942813">
        <w:rPr>
          <w:rFonts w:asciiTheme="minorEastAsia" w:hAnsiTheme="minorEastAsia" w:hint="eastAsia"/>
          <w:color w:val="000000"/>
          <w:sz w:val="24"/>
        </w:rPr>
        <w:t>万元短期用于补充</w:t>
      </w:r>
      <w:proofErr w:type="gramStart"/>
      <w:r w:rsidR="00C47CEA" w:rsidRPr="00942813">
        <w:rPr>
          <w:rFonts w:asciiTheme="minorEastAsia" w:hAnsiTheme="minorEastAsia" w:hint="eastAsia"/>
          <w:color w:val="000000"/>
          <w:sz w:val="24"/>
        </w:rPr>
        <w:t>恒</w:t>
      </w:r>
      <w:proofErr w:type="gramEnd"/>
      <w:r w:rsidR="00C47CEA" w:rsidRPr="00942813">
        <w:rPr>
          <w:rFonts w:asciiTheme="minorEastAsia" w:hAnsiTheme="minorEastAsia" w:hint="eastAsia"/>
          <w:color w:val="000000"/>
          <w:sz w:val="24"/>
        </w:rPr>
        <w:t>利达流动资金，使用期限自董事会审议通过之日起不超过</w:t>
      </w:r>
      <w:r w:rsidR="00942813" w:rsidRPr="00942813">
        <w:rPr>
          <w:rFonts w:asciiTheme="minorEastAsia" w:hAnsiTheme="minorEastAsia" w:hint="eastAsia"/>
          <w:color w:val="000000"/>
          <w:sz w:val="24"/>
        </w:rPr>
        <w:t>9</w:t>
      </w:r>
      <w:r w:rsidR="00A84080">
        <w:rPr>
          <w:rFonts w:asciiTheme="minorEastAsia" w:hAnsiTheme="minorEastAsia" w:hint="eastAsia"/>
          <w:color w:val="000000"/>
          <w:sz w:val="24"/>
        </w:rPr>
        <w:t>个</w:t>
      </w:r>
      <w:r w:rsidR="00C47CEA" w:rsidRPr="00942813">
        <w:rPr>
          <w:rFonts w:asciiTheme="minorEastAsia" w:hAnsiTheme="minorEastAsia" w:hint="eastAsia"/>
          <w:color w:val="000000"/>
          <w:sz w:val="24"/>
        </w:rPr>
        <w:t>月，到期</w:t>
      </w:r>
      <w:r w:rsidR="00C47CEA">
        <w:rPr>
          <w:rFonts w:asciiTheme="minorEastAsia" w:hAnsiTheme="minorEastAsia" w:hint="eastAsia"/>
          <w:color w:val="000000"/>
          <w:sz w:val="24"/>
        </w:rPr>
        <w:t>后公司将及时、足额归还到募集资金专户。</w:t>
      </w:r>
    </w:p>
    <w:p w:rsidR="00C47CEA" w:rsidRDefault="00C47CEA" w:rsidP="00F246C4">
      <w:pPr>
        <w:adjustRightInd w:val="0"/>
        <w:snapToGrid w:val="0"/>
        <w:spacing w:line="360" w:lineRule="auto"/>
        <w:ind w:firstLine="480"/>
        <w:rPr>
          <w:rFonts w:asciiTheme="minorEastAsia" w:hAnsiTheme="minorEastAsia"/>
          <w:color w:val="000000"/>
          <w:sz w:val="24"/>
        </w:rPr>
      </w:pPr>
      <w:r>
        <w:rPr>
          <w:rFonts w:asciiTheme="minorEastAsia" w:hAnsiTheme="minorEastAsia" w:hint="eastAsia"/>
          <w:color w:val="000000"/>
          <w:sz w:val="24"/>
        </w:rPr>
        <w:t>本次使用部分暂时闲置的募集配套资金短期补充</w:t>
      </w:r>
      <w:proofErr w:type="gramStart"/>
      <w:r>
        <w:rPr>
          <w:rFonts w:asciiTheme="minorEastAsia" w:hAnsiTheme="minorEastAsia" w:hint="eastAsia"/>
          <w:color w:val="000000"/>
          <w:sz w:val="24"/>
        </w:rPr>
        <w:t>恒</w:t>
      </w:r>
      <w:proofErr w:type="gramEnd"/>
      <w:r>
        <w:rPr>
          <w:rFonts w:asciiTheme="minorEastAsia" w:hAnsiTheme="minorEastAsia" w:hint="eastAsia"/>
          <w:color w:val="000000"/>
          <w:sz w:val="24"/>
        </w:rPr>
        <w:t>利达流动资金不会改变募集资金用途，不影响募集资金投资计划的正常进行</w:t>
      </w:r>
      <w:r w:rsidR="007957DC" w:rsidRPr="007957DC">
        <w:rPr>
          <w:rFonts w:asciiTheme="minorEastAsia" w:hAnsiTheme="minorEastAsia" w:hint="eastAsia"/>
          <w:color w:val="000000"/>
          <w:sz w:val="24"/>
        </w:rPr>
        <w:t>。</w:t>
      </w:r>
    </w:p>
    <w:p w:rsidR="00C47CEA" w:rsidRDefault="00C47CEA" w:rsidP="00C47CEA">
      <w:pPr>
        <w:autoSpaceDE w:val="0"/>
        <w:autoSpaceDN w:val="0"/>
        <w:adjustRightInd w:val="0"/>
        <w:spacing w:line="360" w:lineRule="auto"/>
        <w:ind w:firstLineChars="200" w:firstLine="482"/>
        <w:jc w:val="left"/>
        <w:rPr>
          <w:rFonts w:ascii="宋体" w:hAnsi="Calibri" w:cs="宋体"/>
          <w:b/>
          <w:kern w:val="0"/>
          <w:sz w:val="24"/>
        </w:rPr>
      </w:pPr>
      <w:r w:rsidRPr="00C034C4">
        <w:rPr>
          <w:rFonts w:ascii="宋体" w:hAnsi="Calibri" w:cs="宋体" w:hint="eastAsia"/>
          <w:b/>
          <w:kern w:val="0"/>
          <w:sz w:val="24"/>
        </w:rPr>
        <w:t>四、本次</w:t>
      </w:r>
      <w:r w:rsidRPr="00C47CEA">
        <w:rPr>
          <w:rFonts w:ascii="宋体" w:hAnsi="Calibri" w:cs="宋体" w:hint="eastAsia"/>
          <w:b/>
          <w:kern w:val="0"/>
          <w:sz w:val="24"/>
        </w:rPr>
        <w:t>使用部分闲置募集资金暂时补充流动资金</w:t>
      </w:r>
      <w:r>
        <w:rPr>
          <w:rFonts w:ascii="宋体" w:hAnsi="Calibri" w:cs="宋体" w:hint="eastAsia"/>
          <w:b/>
          <w:kern w:val="0"/>
          <w:sz w:val="24"/>
        </w:rPr>
        <w:t>计划的董事会审议程序符合监管要求</w:t>
      </w:r>
    </w:p>
    <w:p w:rsidR="00C47CEA" w:rsidRDefault="007B1AC4" w:rsidP="007B1AC4">
      <w:pPr>
        <w:autoSpaceDE w:val="0"/>
        <w:autoSpaceDN w:val="0"/>
        <w:adjustRightInd w:val="0"/>
        <w:spacing w:line="360" w:lineRule="auto"/>
        <w:ind w:firstLineChars="200" w:firstLine="480"/>
        <w:jc w:val="left"/>
        <w:rPr>
          <w:rFonts w:ascii="宋体" w:hAnsi="Calibri" w:cs="宋体"/>
          <w:kern w:val="0"/>
          <w:sz w:val="24"/>
        </w:rPr>
      </w:pPr>
      <w:r w:rsidRPr="007B1AC4">
        <w:rPr>
          <w:rFonts w:ascii="宋体" w:hAnsi="Calibri" w:cs="宋体" w:hint="eastAsia"/>
          <w:kern w:val="0"/>
          <w:sz w:val="24"/>
        </w:rPr>
        <w:t>2016年10</w:t>
      </w:r>
      <w:r>
        <w:rPr>
          <w:rFonts w:ascii="宋体" w:hAnsi="Calibri" w:cs="宋体" w:hint="eastAsia"/>
          <w:kern w:val="0"/>
          <w:sz w:val="24"/>
        </w:rPr>
        <w:t>月28日，公司召开第八届董事会第十次会议（通讯表决）审议通过了《</w:t>
      </w:r>
      <w:r w:rsidRPr="007B1AC4">
        <w:rPr>
          <w:rFonts w:ascii="宋体" w:hAnsi="Calibri" w:cs="宋体" w:hint="eastAsia"/>
          <w:kern w:val="0"/>
          <w:sz w:val="24"/>
        </w:rPr>
        <w:t>江苏吴中实业股份有限公司关于以部分暂时闲置的募集配套资金短期用于补充响水恒利达科技化工有限公司流动资金的议案</w:t>
      </w:r>
      <w:r>
        <w:rPr>
          <w:rFonts w:ascii="宋体" w:hAnsi="Calibri" w:cs="宋体" w:hint="eastAsia"/>
          <w:kern w:val="0"/>
          <w:sz w:val="24"/>
        </w:rPr>
        <w:t>》，同意公司</w:t>
      </w:r>
      <w:r w:rsidR="00497B10">
        <w:rPr>
          <w:rFonts w:ascii="宋体" w:hAnsi="Calibri" w:cs="宋体" w:hint="eastAsia"/>
          <w:kern w:val="0"/>
          <w:sz w:val="24"/>
        </w:rPr>
        <w:t>在</w:t>
      </w:r>
      <w:r w:rsidR="00850E22">
        <w:rPr>
          <w:rFonts w:ascii="宋体" w:hAnsi="Calibri" w:cs="宋体" w:hint="eastAsia"/>
          <w:kern w:val="0"/>
          <w:sz w:val="24"/>
        </w:rPr>
        <w:t>确保不影响募集配套资金投资计划正常进行和保证募集资金安全的前提下，</w:t>
      </w:r>
      <w:r w:rsidRPr="007B1AC4">
        <w:rPr>
          <w:rFonts w:ascii="宋体" w:hAnsi="Calibri" w:cs="宋体" w:hint="eastAsia"/>
          <w:kern w:val="0"/>
          <w:sz w:val="24"/>
        </w:rPr>
        <w:t>以部分暂时闲置的</w:t>
      </w:r>
      <w:r w:rsidRPr="00942813">
        <w:rPr>
          <w:rFonts w:ascii="宋体" w:hAnsi="Calibri" w:cs="宋体" w:hint="eastAsia"/>
          <w:kern w:val="0"/>
          <w:sz w:val="24"/>
        </w:rPr>
        <w:t>募集配套资金</w:t>
      </w:r>
      <w:r w:rsidR="00942813" w:rsidRPr="00942813">
        <w:rPr>
          <w:rFonts w:asciiTheme="minorEastAsia" w:hAnsiTheme="minorEastAsia" w:hint="eastAsia"/>
          <w:sz w:val="24"/>
        </w:rPr>
        <w:t>10,000</w:t>
      </w:r>
      <w:r w:rsidRPr="00942813">
        <w:rPr>
          <w:rFonts w:ascii="宋体" w:hAnsi="Calibri" w:cs="宋体" w:hint="eastAsia"/>
          <w:kern w:val="0"/>
          <w:sz w:val="24"/>
        </w:rPr>
        <w:t>万元短期用于补充</w:t>
      </w:r>
      <w:proofErr w:type="gramStart"/>
      <w:r w:rsidRPr="00942813">
        <w:rPr>
          <w:rFonts w:ascii="宋体" w:hAnsi="Calibri" w:cs="宋体" w:hint="eastAsia"/>
          <w:kern w:val="0"/>
          <w:sz w:val="24"/>
        </w:rPr>
        <w:t>恒</w:t>
      </w:r>
      <w:proofErr w:type="gramEnd"/>
      <w:r w:rsidRPr="00942813">
        <w:rPr>
          <w:rFonts w:ascii="宋体" w:hAnsi="Calibri" w:cs="宋体" w:hint="eastAsia"/>
          <w:kern w:val="0"/>
          <w:sz w:val="24"/>
        </w:rPr>
        <w:t>利达流动资金，使用期限自董事会审议通</w:t>
      </w:r>
      <w:r w:rsidRPr="00942813">
        <w:rPr>
          <w:rFonts w:ascii="宋体" w:hAnsi="Calibri" w:cs="宋体" w:hint="eastAsia"/>
          <w:kern w:val="0"/>
          <w:sz w:val="24"/>
        </w:rPr>
        <w:lastRenderedPageBreak/>
        <w:t>过之日起不超过</w:t>
      </w:r>
      <w:r w:rsidR="0001513C">
        <w:rPr>
          <w:rFonts w:ascii="宋体" w:hAnsi="Calibri" w:cs="宋体" w:hint="eastAsia"/>
          <w:kern w:val="0"/>
          <w:sz w:val="24"/>
        </w:rPr>
        <w:t xml:space="preserve"> </w:t>
      </w:r>
      <w:r w:rsidR="00942813" w:rsidRPr="00942813">
        <w:rPr>
          <w:rFonts w:ascii="宋体" w:hAnsi="Calibri" w:cs="宋体" w:hint="eastAsia"/>
          <w:kern w:val="0"/>
          <w:sz w:val="24"/>
        </w:rPr>
        <w:t>9</w:t>
      </w:r>
      <w:r w:rsidR="0001513C">
        <w:rPr>
          <w:rFonts w:ascii="宋体" w:hAnsi="Calibri" w:cs="宋体" w:hint="eastAsia"/>
          <w:kern w:val="0"/>
          <w:sz w:val="24"/>
        </w:rPr>
        <w:t xml:space="preserve"> </w:t>
      </w:r>
      <w:proofErr w:type="gramStart"/>
      <w:r w:rsidR="00A84080">
        <w:rPr>
          <w:rFonts w:ascii="宋体" w:hAnsi="Calibri" w:cs="宋体" w:hint="eastAsia"/>
          <w:kern w:val="0"/>
          <w:sz w:val="24"/>
        </w:rPr>
        <w:t>个</w:t>
      </w:r>
      <w:proofErr w:type="gramEnd"/>
      <w:r w:rsidRPr="00942813">
        <w:rPr>
          <w:rFonts w:ascii="宋体" w:hAnsi="Calibri" w:cs="宋体" w:hint="eastAsia"/>
          <w:kern w:val="0"/>
          <w:sz w:val="24"/>
        </w:rPr>
        <w:t>月</w:t>
      </w:r>
      <w:r w:rsidR="00710EE2" w:rsidRPr="00942813">
        <w:rPr>
          <w:rFonts w:ascii="宋体" w:hAnsi="Calibri" w:cs="宋体" w:hint="eastAsia"/>
          <w:kern w:val="0"/>
          <w:sz w:val="24"/>
        </w:rPr>
        <w:t>。</w:t>
      </w:r>
    </w:p>
    <w:p w:rsidR="00850E22" w:rsidRDefault="00850E22" w:rsidP="007B1AC4">
      <w:pPr>
        <w:autoSpaceDE w:val="0"/>
        <w:autoSpaceDN w:val="0"/>
        <w:adjustRightInd w:val="0"/>
        <w:spacing w:line="360" w:lineRule="auto"/>
        <w:ind w:firstLineChars="200" w:firstLine="480"/>
        <w:jc w:val="left"/>
        <w:rPr>
          <w:rFonts w:ascii="宋体" w:hAnsi="Calibri" w:cs="宋体"/>
          <w:kern w:val="0"/>
          <w:sz w:val="24"/>
        </w:rPr>
      </w:pPr>
      <w:r>
        <w:rPr>
          <w:rFonts w:ascii="宋体" w:hAnsi="Calibri" w:cs="宋体" w:hint="eastAsia"/>
          <w:kern w:val="0"/>
          <w:sz w:val="24"/>
        </w:rPr>
        <w:t>公司将严格按照</w:t>
      </w:r>
      <w:r w:rsidRPr="00850E22">
        <w:rPr>
          <w:rFonts w:ascii="宋体" w:hAnsi="Calibri" w:cs="宋体" w:hint="eastAsia"/>
          <w:kern w:val="0"/>
          <w:sz w:val="24"/>
        </w:rPr>
        <w:t>《上市公司监管指引第 2 号——上市公司募集资金管理和使用的监管要求》、《上海证券交易所上市公司募集资金管理办法（2013 年修订）》等有关法律法规要求及《江苏吴中实业股份有限公司募集资金管理办法（2014年修订）》相关规定</w:t>
      </w:r>
      <w:r>
        <w:rPr>
          <w:rFonts w:ascii="宋体" w:hAnsi="Calibri" w:cs="宋体" w:hint="eastAsia"/>
          <w:kern w:val="0"/>
          <w:sz w:val="24"/>
        </w:rPr>
        <w:t>，规范使用上述募集配套资金。</w:t>
      </w:r>
    </w:p>
    <w:p w:rsidR="001F6035" w:rsidRPr="00C034C4" w:rsidRDefault="001F6035" w:rsidP="001F6035">
      <w:pPr>
        <w:autoSpaceDE w:val="0"/>
        <w:autoSpaceDN w:val="0"/>
        <w:adjustRightInd w:val="0"/>
        <w:spacing w:line="360" w:lineRule="auto"/>
        <w:ind w:firstLineChars="200" w:firstLine="482"/>
        <w:jc w:val="left"/>
        <w:rPr>
          <w:rFonts w:ascii="宋体" w:hAnsi="Calibri" w:cs="宋体"/>
          <w:b/>
          <w:kern w:val="0"/>
          <w:sz w:val="24"/>
        </w:rPr>
      </w:pPr>
      <w:r w:rsidRPr="00C034C4">
        <w:rPr>
          <w:rFonts w:ascii="宋体" w:hAnsi="Calibri" w:cs="宋体" w:hint="eastAsia"/>
          <w:b/>
          <w:kern w:val="0"/>
          <w:sz w:val="24"/>
        </w:rPr>
        <w:t>五</w:t>
      </w:r>
      <w:r>
        <w:rPr>
          <w:rFonts w:ascii="宋体" w:hAnsi="Calibri" w:cs="宋体" w:hint="eastAsia"/>
          <w:b/>
          <w:kern w:val="0"/>
          <w:sz w:val="24"/>
        </w:rPr>
        <w:t>、</w:t>
      </w:r>
      <w:r w:rsidRPr="00C034C4">
        <w:rPr>
          <w:rFonts w:ascii="宋体" w:hAnsi="Calibri" w:cs="宋体" w:hint="eastAsia"/>
          <w:b/>
          <w:kern w:val="0"/>
          <w:sz w:val="24"/>
        </w:rPr>
        <w:t>专项意见说明</w:t>
      </w:r>
    </w:p>
    <w:p w:rsidR="00CC524C" w:rsidRPr="00CD4A23" w:rsidRDefault="00CC524C" w:rsidP="00CC524C">
      <w:pPr>
        <w:autoSpaceDE w:val="0"/>
        <w:autoSpaceDN w:val="0"/>
        <w:adjustRightInd w:val="0"/>
        <w:spacing w:line="360" w:lineRule="auto"/>
        <w:ind w:firstLineChars="200" w:firstLine="480"/>
        <w:jc w:val="left"/>
        <w:rPr>
          <w:rFonts w:ascii="宋体" w:hAnsi="宋体"/>
          <w:sz w:val="24"/>
        </w:rPr>
      </w:pPr>
      <w:r w:rsidRPr="00CD4A23">
        <w:rPr>
          <w:rFonts w:ascii="宋体" w:hAnsi="Calibri" w:cs="宋体" w:hint="eastAsia"/>
          <w:kern w:val="0"/>
          <w:sz w:val="24"/>
        </w:rPr>
        <w:t>（一）保荐机构</w:t>
      </w:r>
      <w:r w:rsidRPr="00CD4A23">
        <w:rPr>
          <w:rFonts w:ascii="宋体" w:hAnsi="宋体" w:hint="eastAsia"/>
          <w:sz w:val="24"/>
        </w:rPr>
        <w:t>瑞信方正证券有限责任公司意见</w:t>
      </w:r>
    </w:p>
    <w:p w:rsidR="00CD4A23" w:rsidRPr="00CD4A23" w:rsidRDefault="00CD4A23" w:rsidP="00CD4A23">
      <w:pPr>
        <w:autoSpaceDE w:val="0"/>
        <w:autoSpaceDN w:val="0"/>
        <w:adjustRightInd w:val="0"/>
        <w:spacing w:line="360" w:lineRule="auto"/>
        <w:ind w:firstLineChars="200" w:firstLine="480"/>
        <w:jc w:val="left"/>
        <w:rPr>
          <w:rFonts w:ascii="宋体" w:hAnsi="宋体"/>
          <w:sz w:val="24"/>
        </w:rPr>
      </w:pPr>
      <w:r>
        <w:rPr>
          <w:rFonts w:ascii="宋体" w:hAnsi="宋体" w:hint="eastAsia"/>
          <w:sz w:val="24"/>
        </w:rPr>
        <w:t>公司</w:t>
      </w:r>
      <w:r w:rsidRPr="00CD4A23">
        <w:rPr>
          <w:rFonts w:ascii="宋体" w:hAnsi="宋体" w:hint="eastAsia"/>
          <w:sz w:val="24"/>
        </w:rPr>
        <w:t>本次使用部分闲置募集资金暂时补充流动资金事项已经公司董事会、监事会审议通过，独立董事发表了明确同意意见，履行了必要的程序，符合《上市公司监管指引第2号—上市公司募集资金管理和使用的监管要求》、《上海证券交易所上市公司募集资金管理办法（2013年修订）》和《江苏吴中实业股份有限公司募集资金使用管理办法（2014年修订）》等有关规定的要求。</w:t>
      </w:r>
    </w:p>
    <w:p w:rsidR="00CD4A23" w:rsidRPr="00CD4A23" w:rsidRDefault="00CD4A23" w:rsidP="00CD4A23">
      <w:pPr>
        <w:autoSpaceDE w:val="0"/>
        <w:autoSpaceDN w:val="0"/>
        <w:adjustRightInd w:val="0"/>
        <w:spacing w:line="360" w:lineRule="auto"/>
        <w:ind w:firstLineChars="200" w:firstLine="480"/>
        <w:jc w:val="left"/>
        <w:rPr>
          <w:rFonts w:ascii="宋体" w:hAnsi="宋体"/>
          <w:sz w:val="24"/>
        </w:rPr>
      </w:pPr>
      <w:r>
        <w:rPr>
          <w:rFonts w:ascii="宋体" w:hAnsi="宋体" w:hint="eastAsia"/>
          <w:sz w:val="24"/>
        </w:rPr>
        <w:t>公司</w:t>
      </w:r>
      <w:r w:rsidRPr="00CD4A23">
        <w:rPr>
          <w:rFonts w:ascii="宋体" w:hAnsi="宋体" w:hint="eastAsia"/>
          <w:sz w:val="24"/>
        </w:rPr>
        <w:t>本次使用部分闲置募集资金暂时补充流动资金，不会变相改变募集资金用途，不影响募集资金投资计划的正常进行，使用期限自董事会审议通过之日起不超过9个月，到期后公司将及时、足额将上述资金归还到募集资金专户。</w:t>
      </w:r>
    </w:p>
    <w:p w:rsidR="00CD4A23" w:rsidRDefault="00CD4A23" w:rsidP="00CD4A23">
      <w:pPr>
        <w:autoSpaceDE w:val="0"/>
        <w:autoSpaceDN w:val="0"/>
        <w:adjustRightInd w:val="0"/>
        <w:spacing w:line="360" w:lineRule="auto"/>
        <w:ind w:firstLineChars="200" w:firstLine="480"/>
        <w:jc w:val="left"/>
        <w:rPr>
          <w:rFonts w:ascii="宋体" w:hAnsi="宋体"/>
          <w:sz w:val="24"/>
        </w:rPr>
      </w:pPr>
      <w:r w:rsidRPr="00CD4A23">
        <w:rPr>
          <w:rFonts w:ascii="宋体" w:hAnsi="宋体" w:hint="eastAsia"/>
          <w:sz w:val="24"/>
        </w:rPr>
        <w:t>综上，瑞信方正</w:t>
      </w:r>
      <w:r>
        <w:rPr>
          <w:rFonts w:ascii="宋体" w:hAnsi="宋体" w:hint="eastAsia"/>
          <w:sz w:val="24"/>
        </w:rPr>
        <w:t>证券有限责任公司</w:t>
      </w:r>
      <w:r w:rsidRPr="00CD4A23">
        <w:rPr>
          <w:rFonts w:ascii="宋体" w:hAnsi="宋体" w:hint="eastAsia"/>
          <w:sz w:val="24"/>
        </w:rPr>
        <w:t>对</w:t>
      </w:r>
      <w:r>
        <w:rPr>
          <w:rFonts w:ascii="宋体" w:hAnsi="宋体" w:hint="eastAsia"/>
          <w:sz w:val="24"/>
        </w:rPr>
        <w:t>公司</w:t>
      </w:r>
      <w:r w:rsidRPr="00CD4A23">
        <w:rPr>
          <w:rFonts w:ascii="宋体" w:hAnsi="宋体" w:hint="eastAsia"/>
          <w:sz w:val="24"/>
        </w:rPr>
        <w:t>本次使用部分闲置募集资金暂时补充流动资金的事项无异议。</w:t>
      </w:r>
    </w:p>
    <w:p w:rsidR="00CC524C" w:rsidRDefault="00CC524C" w:rsidP="00CD4A23">
      <w:pPr>
        <w:autoSpaceDE w:val="0"/>
        <w:autoSpaceDN w:val="0"/>
        <w:adjustRightInd w:val="0"/>
        <w:spacing w:line="360" w:lineRule="auto"/>
        <w:ind w:firstLineChars="200" w:firstLine="480"/>
        <w:jc w:val="left"/>
        <w:rPr>
          <w:rFonts w:ascii="宋体" w:hAnsi="Calibri" w:cs="宋体"/>
          <w:kern w:val="0"/>
          <w:sz w:val="24"/>
        </w:rPr>
      </w:pPr>
      <w:r>
        <w:rPr>
          <w:rFonts w:ascii="宋体" w:hAnsi="Calibri" w:cs="宋体" w:hint="eastAsia"/>
          <w:kern w:val="0"/>
          <w:sz w:val="24"/>
        </w:rPr>
        <w:t>（二）独立董事意见</w:t>
      </w:r>
    </w:p>
    <w:p w:rsidR="00CC524C" w:rsidRDefault="00CC524C" w:rsidP="00CC524C">
      <w:pPr>
        <w:autoSpaceDE w:val="0"/>
        <w:autoSpaceDN w:val="0"/>
        <w:adjustRightInd w:val="0"/>
        <w:spacing w:line="360" w:lineRule="auto"/>
        <w:ind w:firstLineChars="200" w:firstLine="480"/>
        <w:jc w:val="left"/>
        <w:rPr>
          <w:rFonts w:ascii="宋体" w:hAnsi="Calibri" w:cs="宋体"/>
          <w:kern w:val="0"/>
          <w:sz w:val="24"/>
        </w:rPr>
      </w:pPr>
      <w:r>
        <w:rPr>
          <w:rFonts w:ascii="宋体" w:hAnsi="Calibri" w:cs="宋体" w:hint="eastAsia"/>
          <w:kern w:val="0"/>
          <w:sz w:val="24"/>
        </w:rPr>
        <w:t>1、公司本次使用</w:t>
      </w:r>
      <w:r w:rsidR="0057632C" w:rsidRPr="0057632C">
        <w:rPr>
          <w:rFonts w:ascii="宋体" w:hAnsi="Calibri" w:cs="宋体" w:hint="eastAsia"/>
          <w:kern w:val="0"/>
          <w:sz w:val="24"/>
        </w:rPr>
        <w:t>部分暂时闲置的募集配套资金短期补充</w:t>
      </w:r>
      <w:proofErr w:type="gramStart"/>
      <w:r w:rsidR="0057632C">
        <w:rPr>
          <w:rFonts w:ascii="宋体" w:hAnsi="Calibri" w:cs="宋体" w:hint="eastAsia"/>
          <w:kern w:val="0"/>
          <w:sz w:val="24"/>
        </w:rPr>
        <w:t>恒</w:t>
      </w:r>
      <w:proofErr w:type="gramEnd"/>
      <w:r w:rsidR="0057632C">
        <w:rPr>
          <w:rFonts w:ascii="宋体" w:hAnsi="Calibri" w:cs="宋体" w:hint="eastAsia"/>
          <w:kern w:val="0"/>
          <w:sz w:val="24"/>
        </w:rPr>
        <w:t>利达</w:t>
      </w:r>
      <w:r w:rsidR="0057632C" w:rsidRPr="0057632C">
        <w:rPr>
          <w:rFonts w:ascii="宋体" w:hAnsi="Calibri" w:cs="宋体" w:hint="eastAsia"/>
          <w:kern w:val="0"/>
          <w:sz w:val="24"/>
        </w:rPr>
        <w:t>流动资金</w:t>
      </w:r>
      <w:r w:rsidR="0057632C">
        <w:rPr>
          <w:rFonts w:ascii="宋体" w:hAnsi="Calibri" w:cs="宋体" w:hint="eastAsia"/>
          <w:kern w:val="0"/>
          <w:sz w:val="24"/>
        </w:rPr>
        <w:t>，未与公司募集配套资金投资计划相抵触，不影响</w:t>
      </w:r>
      <w:r w:rsidR="0057632C" w:rsidRPr="0057632C">
        <w:rPr>
          <w:rFonts w:ascii="宋体" w:hAnsi="Calibri" w:cs="宋体" w:hint="eastAsia"/>
          <w:kern w:val="0"/>
          <w:sz w:val="24"/>
        </w:rPr>
        <w:t>募集</w:t>
      </w:r>
      <w:r w:rsidR="0057632C">
        <w:rPr>
          <w:rFonts w:ascii="宋体" w:hAnsi="Calibri" w:cs="宋体" w:hint="eastAsia"/>
          <w:kern w:val="0"/>
          <w:sz w:val="24"/>
        </w:rPr>
        <w:t>配套</w:t>
      </w:r>
      <w:r w:rsidR="0057632C" w:rsidRPr="0057632C">
        <w:rPr>
          <w:rFonts w:ascii="宋体" w:hAnsi="Calibri" w:cs="宋体" w:hint="eastAsia"/>
          <w:kern w:val="0"/>
          <w:sz w:val="24"/>
        </w:rPr>
        <w:t>资金投资计划的正常进行</w:t>
      </w:r>
      <w:r w:rsidR="003228DB">
        <w:rPr>
          <w:rFonts w:ascii="宋体" w:hAnsi="Calibri" w:cs="宋体" w:hint="eastAsia"/>
          <w:kern w:val="0"/>
          <w:sz w:val="24"/>
        </w:rPr>
        <w:t>，</w:t>
      </w:r>
      <w:r w:rsidR="0057632C">
        <w:rPr>
          <w:rFonts w:ascii="宋体" w:hAnsi="Calibri" w:cs="宋体" w:hint="eastAsia"/>
          <w:kern w:val="0"/>
          <w:sz w:val="24"/>
        </w:rPr>
        <w:t>不存在</w:t>
      </w:r>
      <w:r w:rsidR="003228DB">
        <w:rPr>
          <w:rFonts w:ascii="宋体" w:hAnsi="Calibri" w:cs="宋体" w:hint="eastAsia"/>
          <w:kern w:val="0"/>
          <w:sz w:val="24"/>
        </w:rPr>
        <w:t>改变或</w:t>
      </w:r>
      <w:r w:rsidR="0057632C">
        <w:rPr>
          <w:rFonts w:ascii="宋体" w:hAnsi="Calibri" w:cs="宋体" w:hint="eastAsia"/>
          <w:kern w:val="0"/>
          <w:sz w:val="24"/>
        </w:rPr>
        <w:t>变相改变募集配套资金投向</w:t>
      </w:r>
      <w:r w:rsidR="003228DB">
        <w:rPr>
          <w:rFonts w:ascii="宋体" w:hAnsi="Calibri" w:cs="宋体" w:hint="eastAsia"/>
          <w:kern w:val="0"/>
          <w:sz w:val="24"/>
        </w:rPr>
        <w:t>情况</w:t>
      </w:r>
      <w:r w:rsidR="0057632C">
        <w:rPr>
          <w:rFonts w:ascii="宋体" w:hAnsi="Calibri" w:cs="宋体" w:hint="eastAsia"/>
          <w:kern w:val="0"/>
          <w:sz w:val="24"/>
        </w:rPr>
        <w:t>，</w:t>
      </w:r>
      <w:r w:rsidR="003228DB">
        <w:rPr>
          <w:rFonts w:ascii="宋体" w:hAnsi="Calibri" w:cs="宋体" w:hint="eastAsia"/>
          <w:kern w:val="0"/>
          <w:sz w:val="24"/>
        </w:rPr>
        <w:t>也不存在损害公司及全体股东</w:t>
      </w:r>
      <w:r w:rsidR="008058C9">
        <w:rPr>
          <w:rFonts w:ascii="宋体" w:hAnsi="Calibri" w:cs="宋体" w:hint="eastAsia"/>
          <w:kern w:val="0"/>
          <w:sz w:val="24"/>
        </w:rPr>
        <w:t>、</w:t>
      </w:r>
      <w:r w:rsidR="003228DB">
        <w:rPr>
          <w:rFonts w:ascii="宋体" w:hAnsi="Calibri" w:cs="宋体" w:hint="eastAsia"/>
          <w:kern w:val="0"/>
          <w:sz w:val="24"/>
        </w:rPr>
        <w:t>特别是中小股东利益的情形，</w:t>
      </w:r>
      <w:r w:rsidR="0057632C">
        <w:rPr>
          <w:rFonts w:ascii="宋体" w:hAnsi="Calibri" w:cs="宋体" w:hint="eastAsia"/>
          <w:kern w:val="0"/>
          <w:sz w:val="24"/>
        </w:rPr>
        <w:t>且有利于提高募集配套资金的使用效率，节省公司财务费用支出，</w:t>
      </w:r>
      <w:r w:rsidR="000233CF">
        <w:rPr>
          <w:rFonts w:ascii="宋体" w:hAnsi="Calibri" w:cs="宋体" w:hint="eastAsia"/>
          <w:kern w:val="0"/>
          <w:sz w:val="24"/>
        </w:rPr>
        <w:t>并履行了相关决策程序，符合</w:t>
      </w:r>
      <w:r w:rsidR="000233CF" w:rsidRPr="0057632C">
        <w:rPr>
          <w:rFonts w:ascii="宋体" w:hAnsi="Calibri" w:cs="宋体" w:hint="eastAsia"/>
          <w:kern w:val="0"/>
          <w:sz w:val="24"/>
        </w:rPr>
        <w:t>《上市公司监管指引第 2 号——上市公司募集资金管理和使用的监管要求》、《上海证券交易所上市公司募集资金管理办法（2013 年修订）》及《江苏吴中实业股份有限公司募集资金管理办法（2014年修订</w:t>
      </w:r>
      <w:r w:rsidR="000233CF">
        <w:rPr>
          <w:rFonts w:ascii="宋体" w:hAnsi="Calibri" w:cs="宋体" w:hint="eastAsia"/>
          <w:kern w:val="0"/>
          <w:sz w:val="24"/>
        </w:rPr>
        <w:t>）</w:t>
      </w:r>
      <w:r w:rsidR="000233CF" w:rsidRPr="0057632C">
        <w:rPr>
          <w:rFonts w:ascii="宋体" w:hAnsi="Calibri" w:cs="宋体" w:hint="eastAsia"/>
          <w:kern w:val="0"/>
          <w:sz w:val="24"/>
        </w:rPr>
        <w:t>》</w:t>
      </w:r>
      <w:r w:rsidR="000233CF">
        <w:rPr>
          <w:rFonts w:ascii="宋体" w:hAnsi="Calibri" w:cs="宋体" w:hint="eastAsia"/>
          <w:kern w:val="0"/>
          <w:sz w:val="24"/>
        </w:rPr>
        <w:t>等相关规定，内容及程序均合法合</w:t>
      </w:r>
      <w:proofErr w:type="gramStart"/>
      <w:r w:rsidR="000233CF">
        <w:rPr>
          <w:rFonts w:ascii="宋体" w:hAnsi="Calibri" w:cs="宋体" w:hint="eastAsia"/>
          <w:kern w:val="0"/>
          <w:sz w:val="24"/>
        </w:rPr>
        <w:t>规</w:t>
      </w:r>
      <w:proofErr w:type="gramEnd"/>
      <w:r w:rsidR="000233CF">
        <w:rPr>
          <w:rFonts w:ascii="宋体" w:hAnsi="Calibri" w:cs="宋体" w:hint="eastAsia"/>
          <w:kern w:val="0"/>
          <w:sz w:val="24"/>
        </w:rPr>
        <w:t>。</w:t>
      </w:r>
    </w:p>
    <w:p w:rsidR="0057632C" w:rsidRPr="0057632C" w:rsidRDefault="0057632C" w:rsidP="00CC524C">
      <w:pPr>
        <w:autoSpaceDE w:val="0"/>
        <w:autoSpaceDN w:val="0"/>
        <w:adjustRightInd w:val="0"/>
        <w:spacing w:line="360" w:lineRule="auto"/>
        <w:ind w:firstLineChars="200" w:firstLine="480"/>
        <w:jc w:val="left"/>
        <w:rPr>
          <w:rFonts w:ascii="宋体" w:hAnsi="Calibri" w:cs="宋体"/>
          <w:kern w:val="0"/>
          <w:sz w:val="24"/>
        </w:rPr>
      </w:pPr>
      <w:r>
        <w:rPr>
          <w:rFonts w:ascii="宋体" w:hAnsi="Calibri" w:cs="宋体" w:hint="eastAsia"/>
          <w:kern w:val="0"/>
          <w:sz w:val="24"/>
        </w:rPr>
        <w:t>2、同意公司</w:t>
      </w:r>
      <w:r w:rsidRPr="0057632C">
        <w:rPr>
          <w:rFonts w:ascii="宋体" w:hAnsi="Calibri" w:cs="宋体" w:hint="eastAsia"/>
          <w:kern w:val="0"/>
          <w:sz w:val="24"/>
        </w:rPr>
        <w:t>以部分暂时闲置的</w:t>
      </w:r>
      <w:r w:rsidRPr="000233CF">
        <w:rPr>
          <w:rFonts w:ascii="宋体" w:hAnsi="Calibri" w:cs="宋体" w:hint="eastAsia"/>
          <w:kern w:val="0"/>
          <w:sz w:val="24"/>
        </w:rPr>
        <w:t>募集配套资金</w:t>
      </w:r>
      <w:r w:rsidR="000233CF" w:rsidRPr="000233CF">
        <w:rPr>
          <w:rFonts w:asciiTheme="minorEastAsia" w:hAnsiTheme="minorEastAsia" w:hint="eastAsia"/>
          <w:sz w:val="24"/>
        </w:rPr>
        <w:t>10,000</w:t>
      </w:r>
      <w:r w:rsidR="000233CF" w:rsidRPr="000233CF">
        <w:rPr>
          <w:rFonts w:ascii="宋体" w:hAnsi="Calibri" w:cs="宋体" w:hint="eastAsia"/>
          <w:kern w:val="0"/>
          <w:sz w:val="24"/>
        </w:rPr>
        <w:t>万元短期用于补充响水</w:t>
      </w:r>
      <w:proofErr w:type="gramStart"/>
      <w:r w:rsidR="000233CF" w:rsidRPr="000233CF">
        <w:rPr>
          <w:rFonts w:ascii="宋体" w:hAnsi="Calibri" w:cs="宋体" w:hint="eastAsia"/>
          <w:kern w:val="0"/>
          <w:sz w:val="24"/>
        </w:rPr>
        <w:t>恒</w:t>
      </w:r>
      <w:proofErr w:type="gramEnd"/>
      <w:r w:rsidR="000233CF" w:rsidRPr="000233CF">
        <w:rPr>
          <w:rFonts w:ascii="宋体" w:hAnsi="Calibri" w:cs="宋体" w:hint="eastAsia"/>
          <w:kern w:val="0"/>
          <w:sz w:val="24"/>
        </w:rPr>
        <w:t>利达科技化工有限公司流动资金，使用期限自董事会审议通过之日起不超过</w:t>
      </w:r>
      <w:r w:rsidR="00AA0138">
        <w:rPr>
          <w:rFonts w:ascii="宋体" w:hAnsi="Calibri" w:cs="宋体" w:hint="eastAsia"/>
          <w:kern w:val="0"/>
          <w:sz w:val="24"/>
        </w:rPr>
        <w:t xml:space="preserve"> </w:t>
      </w:r>
      <w:r w:rsidR="000233CF" w:rsidRPr="000233CF">
        <w:rPr>
          <w:rFonts w:ascii="宋体" w:hAnsi="Calibri" w:cs="宋体" w:hint="eastAsia"/>
          <w:kern w:val="0"/>
          <w:sz w:val="24"/>
        </w:rPr>
        <w:t>9</w:t>
      </w:r>
      <w:r w:rsidR="00A84080">
        <w:rPr>
          <w:rFonts w:ascii="宋体" w:hAnsi="Calibri" w:cs="宋体" w:hint="eastAsia"/>
          <w:kern w:val="0"/>
          <w:sz w:val="24"/>
        </w:rPr>
        <w:t>个</w:t>
      </w:r>
      <w:r w:rsidR="000233CF" w:rsidRPr="000233CF">
        <w:rPr>
          <w:rFonts w:ascii="宋体" w:hAnsi="Calibri" w:cs="宋体" w:hint="eastAsia"/>
          <w:kern w:val="0"/>
          <w:sz w:val="24"/>
        </w:rPr>
        <w:t>月，</w:t>
      </w:r>
      <w:r w:rsidR="00F37F57" w:rsidRPr="000233CF">
        <w:rPr>
          <w:rFonts w:ascii="宋体" w:hAnsi="Calibri" w:cs="宋体" w:hint="eastAsia"/>
          <w:kern w:val="0"/>
          <w:sz w:val="24"/>
        </w:rPr>
        <w:t>到期后公司应及时、足额归还到募集资金专户。</w:t>
      </w:r>
    </w:p>
    <w:p w:rsidR="00CC524C" w:rsidRDefault="00CC524C" w:rsidP="00CC524C">
      <w:pPr>
        <w:autoSpaceDE w:val="0"/>
        <w:autoSpaceDN w:val="0"/>
        <w:adjustRightInd w:val="0"/>
        <w:spacing w:line="360" w:lineRule="auto"/>
        <w:ind w:firstLineChars="200" w:firstLine="480"/>
        <w:jc w:val="left"/>
        <w:rPr>
          <w:rFonts w:ascii="宋体" w:hAnsi="Calibri" w:cs="宋体"/>
          <w:kern w:val="0"/>
          <w:sz w:val="24"/>
        </w:rPr>
      </w:pPr>
      <w:r>
        <w:rPr>
          <w:rFonts w:ascii="宋体" w:hAnsi="Calibri" w:cs="宋体" w:hint="eastAsia"/>
          <w:kern w:val="0"/>
          <w:sz w:val="24"/>
        </w:rPr>
        <w:lastRenderedPageBreak/>
        <w:t>（三）监事会意见</w:t>
      </w:r>
    </w:p>
    <w:p w:rsidR="00F7584F" w:rsidRDefault="00F7584F" w:rsidP="00CC524C">
      <w:pPr>
        <w:autoSpaceDE w:val="0"/>
        <w:autoSpaceDN w:val="0"/>
        <w:adjustRightInd w:val="0"/>
        <w:spacing w:line="360" w:lineRule="auto"/>
        <w:ind w:firstLineChars="200" w:firstLine="480"/>
        <w:jc w:val="left"/>
        <w:rPr>
          <w:rFonts w:ascii="宋体" w:hAnsi="Calibri" w:cs="宋体"/>
          <w:kern w:val="0"/>
          <w:sz w:val="24"/>
        </w:rPr>
      </w:pPr>
      <w:r>
        <w:rPr>
          <w:rFonts w:ascii="宋体" w:hAnsi="Calibri" w:cs="宋体" w:hint="eastAsia"/>
          <w:kern w:val="0"/>
          <w:sz w:val="24"/>
        </w:rPr>
        <w:t>1、公司本次使用部分暂时闲置的募集配套资金短期补充</w:t>
      </w:r>
      <w:proofErr w:type="gramStart"/>
      <w:r>
        <w:rPr>
          <w:rFonts w:ascii="宋体" w:hAnsi="Calibri" w:cs="宋体" w:hint="eastAsia"/>
          <w:kern w:val="0"/>
          <w:sz w:val="24"/>
        </w:rPr>
        <w:t>恒</w:t>
      </w:r>
      <w:proofErr w:type="gramEnd"/>
      <w:r>
        <w:rPr>
          <w:rFonts w:ascii="宋体" w:hAnsi="Calibri" w:cs="宋体" w:hint="eastAsia"/>
          <w:kern w:val="0"/>
          <w:sz w:val="24"/>
        </w:rPr>
        <w:t>利达流动资金，有利于降低公司财务费用，提高募集配套资金的使用效率，符合公司发展的需要，</w:t>
      </w:r>
      <w:r w:rsidRPr="00F7584F">
        <w:rPr>
          <w:rFonts w:ascii="宋体" w:hAnsi="Calibri" w:cs="宋体" w:hint="eastAsia"/>
          <w:kern w:val="0"/>
          <w:sz w:val="24"/>
        </w:rPr>
        <w:t>符合《上市公司监管指引第 2 号——上市公司募集资金管理和使用的监管要求》、《上海证券交易所上市公司募集资金管理办法（2013 年修订）》及《江苏吴中实业股份有限公司募集资金管理办法（2014年修订）》等相关规定，</w:t>
      </w:r>
      <w:r>
        <w:rPr>
          <w:rFonts w:ascii="宋体" w:hAnsi="Calibri" w:cs="宋体" w:hint="eastAsia"/>
          <w:kern w:val="0"/>
          <w:sz w:val="24"/>
        </w:rPr>
        <w:t>不存在改变或变相改变募集配套资金投向</w:t>
      </w:r>
      <w:r w:rsidR="003228DB">
        <w:rPr>
          <w:rFonts w:ascii="宋体" w:hAnsi="Calibri" w:cs="宋体" w:hint="eastAsia"/>
          <w:kern w:val="0"/>
          <w:sz w:val="24"/>
        </w:rPr>
        <w:t>和损害股东利益的情况。</w:t>
      </w:r>
    </w:p>
    <w:p w:rsidR="00CC524C" w:rsidRDefault="003228DB" w:rsidP="003228DB">
      <w:pPr>
        <w:autoSpaceDE w:val="0"/>
        <w:autoSpaceDN w:val="0"/>
        <w:adjustRightInd w:val="0"/>
        <w:spacing w:line="360" w:lineRule="auto"/>
        <w:ind w:firstLineChars="200" w:firstLine="480"/>
        <w:jc w:val="left"/>
        <w:rPr>
          <w:rFonts w:ascii="宋体" w:hAnsi="Calibri" w:cs="宋体"/>
          <w:kern w:val="0"/>
          <w:sz w:val="24"/>
        </w:rPr>
      </w:pPr>
      <w:r>
        <w:rPr>
          <w:rFonts w:ascii="宋体" w:hAnsi="Calibri" w:cs="宋体" w:hint="eastAsia"/>
          <w:kern w:val="0"/>
          <w:sz w:val="24"/>
        </w:rPr>
        <w:t>2、同意公司</w:t>
      </w:r>
      <w:r w:rsidRPr="0057632C">
        <w:rPr>
          <w:rFonts w:ascii="宋体" w:hAnsi="Calibri" w:cs="宋体" w:hint="eastAsia"/>
          <w:kern w:val="0"/>
          <w:sz w:val="24"/>
        </w:rPr>
        <w:t>以部分暂时</w:t>
      </w:r>
      <w:r w:rsidRPr="000233CF">
        <w:rPr>
          <w:rFonts w:ascii="宋体" w:hAnsi="Calibri" w:cs="宋体" w:hint="eastAsia"/>
          <w:kern w:val="0"/>
          <w:sz w:val="24"/>
        </w:rPr>
        <w:t>闲置的募集配套资金</w:t>
      </w:r>
      <w:r w:rsidR="000233CF" w:rsidRPr="000233CF">
        <w:rPr>
          <w:rFonts w:asciiTheme="minorEastAsia" w:hAnsiTheme="minorEastAsia" w:hint="eastAsia"/>
          <w:sz w:val="24"/>
        </w:rPr>
        <w:t>10,000</w:t>
      </w:r>
      <w:r w:rsidRPr="000233CF">
        <w:rPr>
          <w:rFonts w:ascii="宋体" w:hAnsi="Calibri" w:cs="宋体" w:hint="eastAsia"/>
          <w:kern w:val="0"/>
          <w:sz w:val="24"/>
        </w:rPr>
        <w:t>万元短期用于补充</w:t>
      </w:r>
      <w:proofErr w:type="gramStart"/>
      <w:r w:rsidRPr="000233CF">
        <w:rPr>
          <w:rFonts w:ascii="宋体" w:hAnsi="Calibri" w:cs="宋体" w:hint="eastAsia"/>
          <w:kern w:val="0"/>
          <w:sz w:val="24"/>
        </w:rPr>
        <w:t>恒</w:t>
      </w:r>
      <w:proofErr w:type="gramEnd"/>
      <w:r w:rsidRPr="000233CF">
        <w:rPr>
          <w:rFonts w:ascii="宋体" w:hAnsi="Calibri" w:cs="宋体" w:hint="eastAsia"/>
          <w:kern w:val="0"/>
          <w:sz w:val="24"/>
        </w:rPr>
        <w:t>利达流动资金，使用期限自董事会审议通过之日起不超过</w:t>
      </w:r>
      <w:r w:rsidR="000233CF" w:rsidRPr="000233CF">
        <w:rPr>
          <w:rFonts w:ascii="宋体" w:hAnsi="Calibri" w:cs="宋体" w:hint="eastAsia"/>
          <w:kern w:val="0"/>
          <w:sz w:val="24"/>
        </w:rPr>
        <w:t xml:space="preserve"> 9 </w:t>
      </w:r>
      <w:proofErr w:type="gramStart"/>
      <w:r w:rsidR="00A84080">
        <w:rPr>
          <w:rFonts w:ascii="宋体" w:hAnsi="Calibri" w:cs="宋体" w:hint="eastAsia"/>
          <w:kern w:val="0"/>
          <w:sz w:val="24"/>
        </w:rPr>
        <w:t>个</w:t>
      </w:r>
      <w:proofErr w:type="gramEnd"/>
      <w:r w:rsidRPr="000233CF">
        <w:rPr>
          <w:rFonts w:ascii="宋体" w:hAnsi="Calibri" w:cs="宋体" w:hint="eastAsia"/>
          <w:kern w:val="0"/>
          <w:sz w:val="24"/>
        </w:rPr>
        <w:t>月，</w:t>
      </w:r>
      <w:r w:rsidR="00F37F57" w:rsidRPr="000233CF">
        <w:rPr>
          <w:rFonts w:ascii="宋体" w:hAnsi="Calibri" w:cs="宋体" w:hint="eastAsia"/>
          <w:kern w:val="0"/>
          <w:sz w:val="24"/>
        </w:rPr>
        <w:t>并监</w:t>
      </w:r>
      <w:r w:rsidR="00F37F57">
        <w:rPr>
          <w:rFonts w:ascii="宋体" w:hAnsi="Calibri" w:cs="宋体" w:hint="eastAsia"/>
          <w:kern w:val="0"/>
          <w:sz w:val="24"/>
        </w:rPr>
        <w:t>督公司该部分募集配套资金的使用情况和归还情况</w:t>
      </w:r>
      <w:r w:rsidR="00F37F57" w:rsidRPr="0057632C">
        <w:rPr>
          <w:rFonts w:ascii="宋体" w:hAnsi="Calibri" w:cs="宋体" w:hint="eastAsia"/>
          <w:kern w:val="0"/>
          <w:sz w:val="24"/>
        </w:rPr>
        <w:t>。</w:t>
      </w:r>
    </w:p>
    <w:p w:rsidR="00CC524C" w:rsidRDefault="00CC524C" w:rsidP="00CC524C">
      <w:pPr>
        <w:autoSpaceDE w:val="0"/>
        <w:autoSpaceDN w:val="0"/>
        <w:adjustRightInd w:val="0"/>
        <w:spacing w:line="360" w:lineRule="auto"/>
        <w:ind w:firstLineChars="200" w:firstLine="480"/>
        <w:jc w:val="left"/>
        <w:rPr>
          <w:rFonts w:ascii="宋体" w:hAnsi="Calibri" w:cs="宋体"/>
          <w:kern w:val="0"/>
          <w:sz w:val="24"/>
        </w:rPr>
      </w:pPr>
      <w:r>
        <w:rPr>
          <w:rFonts w:ascii="宋体" w:hAnsi="Calibri" w:cs="宋体" w:hint="eastAsia"/>
          <w:kern w:val="0"/>
          <w:sz w:val="24"/>
        </w:rPr>
        <w:t>特此公告。</w:t>
      </w:r>
    </w:p>
    <w:p w:rsidR="00CC524C" w:rsidRDefault="00CC524C" w:rsidP="00CC524C">
      <w:pPr>
        <w:autoSpaceDE w:val="0"/>
        <w:autoSpaceDN w:val="0"/>
        <w:adjustRightInd w:val="0"/>
        <w:spacing w:line="360" w:lineRule="auto"/>
        <w:ind w:firstLineChars="200" w:firstLine="480"/>
        <w:jc w:val="left"/>
        <w:rPr>
          <w:rFonts w:ascii="宋体" w:hAnsi="Calibri" w:cs="宋体"/>
          <w:kern w:val="0"/>
          <w:sz w:val="24"/>
        </w:rPr>
      </w:pPr>
    </w:p>
    <w:p w:rsidR="00CC524C" w:rsidRDefault="00CC524C" w:rsidP="00CC524C">
      <w:pPr>
        <w:autoSpaceDE w:val="0"/>
        <w:autoSpaceDN w:val="0"/>
        <w:adjustRightInd w:val="0"/>
        <w:spacing w:line="360" w:lineRule="auto"/>
        <w:ind w:firstLineChars="200" w:firstLine="480"/>
        <w:jc w:val="left"/>
        <w:rPr>
          <w:rFonts w:ascii="宋体" w:hAnsi="Calibri" w:cs="宋体"/>
          <w:kern w:val="0"/>
          <w:sz w:val="24"/>
        </w:rPr>
      </w:pPr>
    </w:p>
    <w:p w:rsidR="00CC524C" w:rsidRDefault="00CC524C" w:rsidP="00CC524C">
      <w:pPr>
        <w:autoSpaceDE w:val="0"/>
        <w:autoSpaceDN w:val="0"/>
        <w:adjustRightInd w:val="0"/>
        <w:spacing w:line="360" w:lineRule="auto"/>
        <w:ind w:firstLineChars="200" w:firstLine="480"/>
        <w:jc w:val="left"/>
        <w:rPr>
          <w:rFonts w:ascii="宋体" w:hAnsi="Calibri" w:cs="宋体"/>
          <w:kern w:val="0"/>
          <w:sz w:val="24"/>
        </w:rPr>
      </w:pPr>
    </w:p>
    <w:p w:rsidR="00CC524C" w:rsidRPr="00A47F28" w:rsidRDefault="00CC524C" w:rsidP="00CC524C">
      <w:pPr>
        <w:spacing w:line="360" w:lineRule="auto"/>
        <w:ind w:firstLineChars="200" w:firstLine="480"/>
        <w:jc w:val="right"/>
        <w:rPr>
          <w:rFonts w:ascii="宋体" w:hAnsi="宋体"/>
          <w:sz w:val="24"/>
        </w:rPr>
      </w:pPr>
      <w:r w:rsidRPr="00A47F28">
        <w:rPr>
          <w:rFonts w:ascii="宋体" w:hAnsi="宋体" w:hint="eastAsia"/>
          <w:sz w:val="24"/>
        </w:rPr>
        <w:t>江苏吴中实业股份有限公司</w:t>
      </w:r>
    </w:p>
    <w:p w:rsidR="00CC524C" w:rsidRPr="00A47F28" w:rsidRDefault="00CC524C" w:rsidP="00CC524C">
      <w:pPr>
        <w:wordWrap w:val="0"/>
        <w:spacing w:line="360" w:lineRule="auto"/>
        <w:ind w:firstLineChars="200" w:firstLine="480"/>
        <w:jc w:val="right"/>
        <w:rPr>
          <w:rFonts w:ascii="宋体" w:hAnsi="宋体"/>
          <w:sz w:val="24"/>
        </w:rPr>
      </w:pPr>
      <w:r w:rsidRPr="00A47F28">
        <w:rPr>
          <w:rFonts w:ascii="宋体" w:hAnsi="宋体" w:hint="eastAsia"/>
          <w:sz w:val="24"/>
        </w:rPr>
        <w:t xml:space="preserve"> 董事会      </w:t>
      </w:r>
    </w:p>
    <w:p w:rsidR="00CC524C" w:rsidRPr="00127B5A" w:rsidRDefault="00CC524C" w:rsidP="00CC524C">
      <w:pPr>
        <w:wordWrap w:val="0"/>
        <w:spacing w:line="360" w:lineRule="auto"/>
        <w:ind w:firstLineChars="200" w:firstLine="480"/>
        <w:jc w:val="right"/>
        <w:rPr>
          <w:rFonts w:ascii="宋体" w:hAnsi="宋体"/>
          <w:sz w:val="24"/>
        </w:rPr>
      </w:pPr>
      <w:r w:rsidRPr="00A47F28">
        <w:rPr>
          <w:rFonts w:ascii="宋体" w:hAnsi="宋体" w:hint="eastAsia"/>
          <w:sz w:val="24"/>
        </w:rPr>
        <w:t>2016年10月</w:t>
      </w:r>
      <w:r>
        <w:rPr>
          <w:rFonts w:ascii="宋体" w:hAnsi="宋体" w:hint="eastAsia"/>
          <w:sz w:val="24"/>
        </w:rPr>
        <w:t>29</w:t>
      </w:r>
      <w:r w:rsidRPr="00A47F28">
        <w:rPr>
          <w:rFonts w:ascii="宋体" w:hAnsi="宋体" w:hint="eastAsia"/>
          <w:sz w:val="24"/>
        </w:rPr>
        <w:t>日</w:t>
      </w:r>
    </w:p>
    <w:sectPr w:rsidR="00CC524C" w:rsidRPr="00127B5A" w:rsidSect="00433755">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17A" w:rsidRDefault="008D217A" w:rsidP="00305316">
      <w:r>
        <w:separator/>
      </w:r>
    </w:p>
  </w:endnote>
  <w:endnote w:type="continuationSeparator" w:id="0">
    <w:p w:rsidR="008D217A" w:rsidRDefault="008D217A" w:rsidP="0030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3528082"/>
      <w:docPartObj>
        <w:docPartGallery w:val="Page Numbers (Bottom of Page)"/>
        <w:docPartUnique/>
      </w:docPartObj>
    </w:sdtPr>
    <w:sdtEndPr/>
    <w:sdtContent>
      <w:p w:rsidR="004B4648" w:rsidRDefault="004B4648">
        <w:pPr>
          <w:pStyle w:val="a4"/>
          <w:jc w:val="center"/>
        </w:pPr>
        <w:r>
          <w:fldChar w:fldCharType="begin"/>
        </w:r>
        <w:r>
          <w:instrText>PAGE   \* MERGEFORMAT</w:instrText>
        </w:r>
        <w:r>
          <w:fldChar w:fldCharType="separate"/>
        </w:r>
        <w:r w:rsidR="00CE2B3E" w:rsidRPr="00CE2B3E">
          <w:rPr>
            <w:noProof/>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17A" w:rsidRDefault="008D217A" w:rsidP="00305316">
      <w:r>
        <w:separator/>
      </w:r>
    </w:p>
  </w:footnote>
  <w:footnote w:type="continuationSeparator" w:id="0">
    <w:p w:rsidR="008D217A" w:rsidRDefault="008D217A" w:rsidP="003053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F4A20"/>
    <w:multiLevelType w:val="hybridMultilevel"/>
    <w:tmpl w:val="083EB14C"/>
    <w:lvl w:ilvl="0" w:tplc="04090001">
      <w:start w:val="1"/>
      <w:numFmt w:val="bullet"/>
      <w:lvlText w:val=""/>
      <w:lvlJc w:val="left"/>
      <w:pPr>
        <w:tabs>
          <w:tab w:val="num" w:pos="846"/>
        </w:tabs>
        <w:ind w:left="846"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
    <w:nsid w:val="4BD0376E"/>
    <w:multiLevelType w:val="hybridMultilevel"/>
    <w:tmpl w:val="4DC62268"/>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AD3"/>
    <w:rsid w:val="0001513C"/>
    <w:rsid w:val="00017D2B"/>
    <w:rsid w:val="000233CF"/>
    <w:rsid w:val="00104350"/>
    <w:rsid w:val="00105974"/>
    <w:rsid w:val="00166053"/>
    <w:rsid w:val="001E47FB"/>
    <w:rsid w:val="001F6035"/>
    <w:rsid w:val="00205E73"/>
    <w:rsid w:val="002D7F5C"/>
    <w:rsid w:val="00305316"/>
    <w:rsid w:val="003228DB"/>
    <w:rsid w:val="004054A3"/>
    <w:rsid w:val="00413826"/>
    <w:rsid w:val="004305DD"/>
    <w:rsid w:val="00433755"/>
    <w:rsid w:val="00497B10"/>
    <w:rsid w:val="004B4648"/>
    <w:rsid w:val="004C5450"/>
    <w:rsid w:val="004F0C7D"/>
    <w:rsid w:val="0057342E"/>
    <w:rsid w:val="0057632C"/>
    <w:rsid w:val="005B43E1"/>
    <w:rsid w:val="00603388"/>
    <w:rsid w:val="006E475F"/>
    <w:rsid w:val="00710EE2"/>
    <w:rsid w:val="00736692"/>
    <w:rsid w:val="007957DC"/>
    <w:rsid w:val="007B1AC4"/>
    <w:rsid w:val="007C21FF"/>
    <w:rsid w:val="007D7519"/>
    <w:rsid w:val="007E1045"/>
    <w:rsid w:val="007F3563"/>
    <w:rsid w:val="008058C9"/>
    <w:rsid w:val="008102AE"/>
    <w:rsid w:val="00850E22"/>
    <w:rsid w:val="008A6F5D"/>
    <w:rsid w:val="008D004E"/>
    <w:rsid w:val="008D217A"/>
    <w:rsid w:val="00904D11"/>
    <w:rsid w:val="00942813"/>
    <w:rsid w:val="009F2D6A"/>
    <w:rsid w:val="009F39C2"/>
    <w:rsid w:val="009F6AE7"/>
    <w:rsid w:val="00A109E1"/>
    <w:rsid w:val="00A84080"/>
    <w:rsid w:val="00AA0138"/>
    <w:rsid w:val="00AC5074"/>
    <w:rsid w:val="00AD5B29"/>
    <w:rsid w:val="00B52657"/>
    <w:rsid w:val="00BA4672"/>
    <w:rsid w:val="00C47CEA"/>
    <w:rsid w:val="00CA345C"/>
    <w:rsid w:val="00CA6F4F"/>
    <w:rsid w:val="00CC4EB2"/>
    <w:rsid w:val="00CC524C"/>
    <w:rsid w:val="00CD4A23"/>
    <w:rsid w:val="00CE2B3E"/>
    <w:rsid w:val="00D06E55"/>
    <w:rsid w:val="00D14AD3"/>
    <w:rsid w:val="00D81E3D"/>
    <w:rsid w:val="00E406C5"/>
    <w:rsid w:val="00E916E4"/>
    <w:rsid w:val="00F232F1"/>
    <w:rsid w:val="00F246C4"/>
    <w:rsid w:val="00F37F57"/>
    <w:rsid w:val="00F4269F"/>
    <w:rsid w:val="00F7584F"/>
    <w:rsid w:val="00F839F6"/>
    <w:rsid w:val="00F92771"/>
    <w:rsid w:val="00FB5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31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53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05316"/>
    <w:rPr>
      <w:sz w:val="18"/>
      <w:szCs w:val="18"/>
    </w:rPr>
  </w:style>
  <w:style w:type="paragraph" w:styleId="a4">
    <w:name w:val="footer"/>
    <w:basedOn w:val="a"/>
    <w:link w:val="Char0"/>
    <w:uiPriority w:val="99"/>
    <w:unhideWhenUsed/>
    <w:rsid w:val="00305316"/>
    <w:pPr>
      <w:tabs>
        <w:tab w:val="center" w:pos="4153"/>
        <w:tab w:val="right" w:pos="8306"/>
      </w:tabs>
      <w:snapToGrid w:val="0"/>
      <w:jc w:val="left"/>
    </w:pPr>
    <w:rPr>
      <w:sz w:val="18"/>
      <w:szCs w:val="18"/>
    </w:rPr>
  </w:style>
  <w:style w:type="character" w:customStyle="1" w:styleId="Char0">
    <w:name w:val="页脚 Char"/>
    <w:basedOn w:val="a0"/>
    <w:link w:val="a4"/>
    <w:uiPriority w:val="99"/>
    <w:rsid w:val="00305316"/>
    <w:rPr>
      <w:sz w:val="18"/>
      <w:szCs w:val="18"/>
    </w:rPr>
  </w:style>
  <w:style w:type="paragraph" w:customStyle="1" w:styleId="CharCharCharChar">
    <w:name w:val="Char Char Char Char"/>
    <w:basedOn w:val="a"/>
    <w:autoRedefine/>
    <w:rsid w:val="00CC524C"/>
    <w:pPr>
      <w:widowControl/>
      <w:spacing w:line="300" w:lineRule="auto"/>
      <w:jc w:val="left"/>
    </w:pPr>
    <w:rPr>
      <w:rFonts w:cs="华文楷体"/>
      <w:color w:val="000000"/>
      <w:kern w:val="0"/>
      <w:sz w:val="24"/>
      <w:lang w:eastAsia="en-US"/>
    </w:rPr>
  </w:style>
  <w:style w:type="paragraph" w:styleId="a5">
    <w:name w:val="List Paragraph"/>
    <w:basedOn w:val="a"/>
    <w:uiPriority w:val="34"/>
    <w:qFormat/>
    <w:rsid w:val="0043375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31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53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05316"/>
    <w:rPr>
      <w:sz w:val="18"/>
      <w:szCs w:val="18"/>
    </w:rPr>
  </w:style>
  <w:style w:type="paragraph" w:styleId="a4">
    <w:name w:val="footer"/>
    <w:basedOn w:val="a"/>
    <w:link w:val="Char0"/>
    <w:uiPriority w:val="99"/>
    <w:unhideWhenUsed/>
    <w:rsid w:val="00305316"/>
    <w:pPr>
      <w:tabs>
        <w:tab w:val="center" w:pos="4153"/>
        <w:tab w:val="right" w:pos="8306"/>
      </w:tabs>
      <w:snapToGrid w:val="0"/>
      <w:jc w:val="left"/>
    </w:pPr>
    <w:rPr>
      <w:sz w:val="18"/>
      <w:szCs w:val="18"/>
    </w:rPr>
  </w:style>
  <w:style w:type="character" w:customStyle="1" w:styleId="Char0">
    <w:name w:val="页脚 Char"/>
    <w:basedOn w:val="a0"/>
    <w:link w:val="a4"/>
    <w:uiPriority w:val="99"/>
    <w:rsid w:val="00305316"/>
    <w:rPr>
      <w:sz w:val="18"/>
      <w:szCs w:val="18"/>
    </w:rPr>
  </w:style>
  <w:style w:type="paragraph" w:customStyle="1" w:styleId="CharCharCharChar">
    <w:name w:val="Char Char Char Char"/>
    <w:basedOn w:val="a"/>
    <w:autoRedefine/>
    <w:rsid w:val="00CC524C"/>
    <w:pPr>
      <w:widowControl/>
      <w:spacing w:line="300" w:lineRule="auto"/>
      <w:jc w:val="left"/>
    </w:pPr>
    <w:rPr>
      <w:rFonts w:cs="华文楷体"/>
      <w:color w:val="000000"/>
      <w:kern w:val="0"/>
      <w:sz w:val="24"/>
      <w:lang w:eastAsia="en-US"/>
    </w:rPr>
  </w:style>
  <w:style w:type="paragraph" w:styleId="a5">
    <w:name w:val="List Paragraph"/>
    <w:basedOn w:val="a"/>
    <w:uiPriority w:val="34"/>
    <w:qFormat/>
    <w:rsid w:val="0043375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4</Pages>
  <Words>434</Words>
  <Characters>2474</Characters>
  <Application>Microsoft Office Word</Application>
  <DocSecurity>0</DocSecurity>
  <Lines>20</Lines>
  <Paragraphs>5</Paragraphs>
  <ScaleCrop>false</ScaleCrop>
  <Company/>
  <LinksUpToDate>false</LinksUpToDate>
  <CharactersWithSpaces>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jswz</dc:creator>
  <cp:keywords/>
  <dc:description/>
  <cp:lastModifiedBy>Chenjh</cp:lastModifiedBy>
  <cp:revision>37</cp:revision>
  <dcterms:created xsi:type="dcterms:W3CDTF">2016-10-19T05:08:00Z</dcterms:created>
  <dcterms:modified xsi:type="dcterms:W3CDTF">2016-10-27T06:24:00Z</dcterms:modified>
</cp:coreProperties>
</file>