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公告编号：临2022-045</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r>
        <w:rPr>
          <w:rFonts w:hint="eastAsia" w:ascii="黑体" w:hAnsi="宋体" w:eastAsia="黑体"/>
          <w:b/>
          <w:bCs/>
          <w:color w:val="FF0000"/>
          <w:sz w:val="32"/>
          <w:lang w:val="en-US" w:eastAsia="zh-CN"/>
        </w:rPr>
        <w:t>关于</w:t>
      </w:r>
      <w:bookmarkStart w:id="3" w:name="_GoBack"/>
      <w:bookmarkEnd w:id="3"/>
      <w:r>
        <w:rPr>
          <w:rFonts w:hint="eastAsia" w:ascii="黑体" w:hAnsi="宋体" w:eastAsia="黑体"/>
          <w:b/>
          <w:bCs/>
          <w:color w:val="FF0000"/>
          <w:sz w:val="32"/>
        </w:rPr>
        <w:t>非公开发行</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募集资金2022年上半年存放与实际使用情况的专项报告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9"/>
        <w:spacing w:line="360" w:lineRule="auto"/>
      </w:pPr>
    </w:p>
    <w:p>
      <w:pPr>
        <w:spacing w:line="460" w:lineRule="exact"/>
        <w:ind w:firstLine="480" w:firstLineChars="200"/>
        <w:rPr>
          <w:rFonts w:asciiTheme="minorEastAsia" w:hAnsiTheme="minorEastAsia"/>
          <w:sz w:val="24"/>
        </w:rPr>
      </w:pPr>
      <w:r>
        <w:rPr>
          <w:rFonts w:hint="eastAsia" w:asciiTheme="minorEastAsia" w:hAnsiTheme="minorEastAsia"/>
          <w:sz w:val="24"/>
        </w:rPr>
        <w:t>根</w:t>
      </w:r>
      <w:r>
        <w:rPr>
          <w:rFonts w:hint="eastAsia" w:asciiTheme="minorEastAsia" w:hAnsiTheme="minorEastAsia"/>
          <w:color w:val="000000"/>
          <w:sz w:val="24"/>
        </w:rPr>
        <w:t>据上海证券交易所印发的《上海证券交易所上市公司募集资金管理办法(2013年修订)》及相关格式指引的要求，现将本公司非公开发行募集资金2022年上半年存放与实际使用情况专项报告如下：</w:t>
      </w:r>
    </w:p>
    <w:p>
      <w:pPr>
        <w:spacing w:line="360" w:lineRule="auto"/>
        <w:rPr>
          <w:rFonts w:asciiTheme="minorEastAsia" w:hAnsiTheme="minorEastAsia"/>
          <w:sz w:val="24"/>
        </w:rPr>
      </w:pPr>
    </w:p>
    <w:p>
      <w:pPr>
        <w:keepNext/>
        <w:keepLines/>
        <w:spacing w:line="360" w:lineRule="auto"/>
        <w:ind w:firstLine="472" w:firstLineChars="196"/>
        <w:outlineLvl w:val="0"/>
        <w:rPr>
          <w:rFonts w:ascii="宋体" w:hAnsi="宋体" w:cs="宋体"/>
          <w:b/>
          <w:bCs/>
          <w:kern w:val="44"/>
          <w:sz w:val="24"/>
        </w:rPr>
      </w:pPr>
      <w:r>
        <w:rPr>
          <w:rFonts w:hint="eastAsia" w:ascii="宋体" w:hAnsi="宋体" w:cs="宋体"/>
          <w:b/>
          <w:bCs/>
          <w:kern w:val="44"/>
          <w:sz w:val="24"/>
        </w:rPr>
        <w:t>一、募集资金基本情况</w:t>
      </w:r>
    </w:p>
    <w:p>
      <w:pPr>
        <w:keepNext/>
        <w:keepLines/>
        <w:spacing w:line="360" w:lineRule="auto"/>
        <w:ind w:firstLine="472" w:firstLineChars="196"/>
        <w:outlineLvl w:val="1"/>
        <w:rPr>
          <w:rFonts w:ascii="宋体" w:hAnsi="宋体" w:cs="宋体"/>
          <w:b/>
          <w:bCs/>
          <w:sz w:val="24"/>
        </w:rPr>
      </w:pPr>
      <w:r>
        <w:rPr>
          <w:rFonts w:hint="eastAsia" w:ascii="宋体" w:hAnsi="宋体" w:cs="宋体"/>
          <w:b/>
          <w:bCs/>
          <w:sz w:val="24"/>
        </w:rPr>
        <w:t>(一) 实际募集资金金额、资金到账时间</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经中国证券监督管理委员会《关于核准江苏吴中医药发展股份有限公司非公开发行股票的批复》(证监许可[2015]2084号)核准，本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pPr>
        <w:keepNext/>
        <w:keepLines/>
        <w:spacing w:line="360" w:lineRule="auto"/>
        <w:ind w:firstLine="472" w:firstLineChars="196"/>
        <w:outlineLvl w:val="1"/>
        <w:rPr>
          <w:rFonts w:ascii="宋体" w:hAnsi="宋体" w:cs="宋体"/>
          <w:b/>
          <w:bCs/>
          <w:sz w:val="24"/>
        </w:rPr>
      </w:pPr>
      <w:r>
        <w:rPr>
          <w:rFonts w:hint="eastAsia" w:ascii="宋体" w:hAnsi="宋体" w:cs="宋体"/>
          <w:b/>
          <w:bCs/>
          <w:sz w:val="24"/>
        </w:rPr>
        <w:t>(二) 募集金额使用情况和结余情况</w:t>
      </w:r>
    </w:p>
    <w:p>
      <w:pPr>
        <w:widowControl/>
        <w:spacing w:line="360" w:lineRule="auto"/>
        <w:ind w:firstLine="480" w:firstLineChars="200"/>
        <w:rPr>
          <w:rFonts w:ascii="宋体" w:hAnsi="宋体" w:cs="宋体"/>
          <w:kern w:val="0"/>
          <w:sz w:val="24"/>
        </w:rPr>
      </w:pPr>
      <w:r>
        <w:rPr>
          <w:rFonts w:hint="eastAsia" w:ascii="宋体" w:hAnsi="宋体" w:cs="宋体"/>
          <w:sz w:val="24"/>
        </w:rPr>
        <w:t>2015年度公司使用募集资金155,016,482.59元，2016年度公司使用募集资金95,989,632.36元，2017年度公司使用募集资金57,198,274.13元，2018年度公司使用募集资金34,233,833.35元，2019年度公司使用募集资金48,861,522.03元，2020年度公司使用募集资金21,956,213.55元，2021年度公司使用募集资金</w:t>
      </w:r>
      <w:r>
        <w:rPr>
          <w:rFonts w:hint="eastAsia" w:ascii="宋体" w:hAnsi="宋体" w:cs="宋体"/>
          <w:kern w:val="0"/>
          <w:sz w:val="24"/>
        </w:rPr>
        <w:t>72,409,807.54</w:t>
      </w:r>
      <w:r>
        <w:rPr>
          <w:rFonts w:hint="eastAsia" w:ascii="宋体" w:hAnsi="宋体" w:cs="宋体"/>
          <w:color w:val="000000"/>
          <w:kern w:val="0"/>
          <w:sz w:val="24"/>
        </w:rPr>
        <w:t>元</w:t>
      </w:r>
      <w:r>
        <w:rPr>
          <w:rFonts w:hint="eastAsia" w:ascii="宋体" w:hAnsi="宋体" w:cs="宋体"/>
          <w:sz w:val="24"/>
        </w:rPr>
        <w:t>，2022年1-6月公司使用募集资金</w:t>
      </w:r>
      <w:r>
        <w:rPr>
          <w:rFonts w:hint="eastAsia" w:ascii="宋体" w:hAnsi="宋体" w:cs="宋体"/>
          <w:kern w:val="0"/>
          <w:sz w:val="24"/>
        </w:rPr>
        <w:t>1,902,400.00</w:t>
      </w:r>
      <w:r>
        <w:rPr>
          <w:rFonts w:hint="eastAsia" w:ascii="宋体" w:hAnsi="宋体" w:cs="宋体"/>
          <w:sz w:val="24"/>
        </w:rPr>
        <w:t>元，截至2022年6月30日，公司累计使用募集资金</w:t>
      </w:r>
      <w:r>
        <w:rPr>
          <w:rFonts w:hint="eastAsia" w:ascii="宋体" w:hAnsi="宋体" w:cs="宋体"/>
          <w:kern w:val="0"/>
          <w:sz w:val="24"/>
        </w:rPr>
        <w:t>487,568,165.55</w:t>
      </w:r>
      <w:r>
        <w:rPr>
          <w:rFonts w:hint="eastAsia" w:ascii="宋体" w:hAnsi="宋体" w:cs="宋体"/>
          <w:sz w:val="24"/>
        </w:rPr>
        <w:t>元，未使用募集资金余额为</w:t>
      </w:r>
      <w:r>
        <w:rPr>
          <w:rFonts w:hint="eastAsia" w:ascii="宋体" w:hAnsi="宋体" w:cs="宋体"/>
          <w:kern w:val="0"/>
          <w:sz w:val="24"/>
        </w:rPr>
        <w:t>34,821,569.15</w:t>
      </w:r>
      <w:r>
        <w:rPr>
          <w:rFonts w:hint="eastAsia" w:ascii="宋体" w:hAnsi="宋体" w:cs="宋体"/>
          <w:sz w:val="24"/>
        </w:rPr>
        <w:t>元（含利息收入和扣减手续费）。</w:t>
      </w:r>
    </w:p>
    <w:p>
      <w:pPr>
        <w:spacing w:line="360" w:lineRule="auto"/>
        <w:ind w:firstLine="482" w:firstLineChars="200"/>
        <w:rPr>
          <w:rFonts w:ascii="宋体" w:hAnsi="宋体" w:cs="宋体"/>
          <w:b/>
          <w:bCs/>
          <w:kern w:val="44"/>
          <w:sz w:val="24"/>
        </w:rPr>
      </w:pPr>
      <w:r>
        <w:rPr>
          <w:rFonts w:hint="eastAsia" w:ascii="宋体" w:hAnsi="宋体" w:cs="宋体"/>
          <w:b/>
          <w:bCs/>
          <w:kern w:val="44"/>
          <w:sz w:val="24"/>
        </w:rPr>
        <w:t>二、募集资金管理情况</w:t>
      </w:r>
    </w:p>
    <w:p>
      <w:pPr>
        <w:keepNext/>
        <w:keepLines/>
        <w:spacing w:line="360" w:lineRule="auto"/>
        <w:ind w:firstLine="472" w:firstLineChars="196"/>
        <w:outlineLvl w:val="1"/>
        <w:rPr>
          <w:rFonts w:ascii="宋体" w:hAnsi="宋体" w:cs="宋体"/>
          <w:b/>
          <w:bCs/>
          <w:sz w:val="24"/>
        </w:rPr>
      </w:pPr>
      <w:r>
        <w:rPr>
          <w:rFonts w:hint="eastAsia" w:ascii="宋体" w:hAnsi="宋体" w:cs="宋体"/>
          <w:b/>
          <w:bCs/>
          <w:sz w:val="24"/>
        </w:rPr>
        <w:t xml:space="preserve"> (一) 募集资金的管理情况 </w:t>
      </w:r>
    </w:p>
    <w:p>
      <w:pPr>
        <w:autoSpaceDE w:val="0"/>
        <w:autoSpaceDN w:val="0"/>
        <w:adjustRightInd w:val="0"/>
        <w:spacing w:line="360" w:lineRule="auto"/>
        <w:ind w:firstLine="480" w:firstLineChars="200"/>
        <w:rPr>
          <w:rFonts w:ascii="宋体" w:hAnsi="宋体" w:cs="宋体"/>
          <w:kern w:val="0"/>
          <w:sz w:val="24"/>
        </w:rPr>
      </w:pPr>
      <w:bookmarkStart w:id="0" w:name="OLE_LINK1"/>
      <w:bookmarkStart w:id="1" w:name="OLE_LINK2"/>
      <w:r>
        <w:rPr>
          <w:rFonts w:hint="eastAsia" w:ascii="宋体" w:hAnsi="宋体" w:cs="宋体"/>
          <w:kern w:val="0"/>
          <w:sz w:val="24"/>
        </w:rPr>
        <w:t>为规范募集资金的管理和使用，提高资金使用效率和效益，保护投资者利益，本公司根据《公司法》《证券法》《上市公司监管指引第2号——上市公司募集资金管理和使用的监管要求(2022年修订)》《上海证券交易所股票上市规则(2022年1月修订)》等有关法律、法规和规范性文件的规定，结合公司实际情况，公司制定了《江苏吴中医药发展股份有限公司募集资金管理办法（2014年修订）》(以下简称《管理办法》) ，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经公司第八届董事会第十一次会议、第八届监事会第十一次会议及2016年度股东大会决议审议通过《江苏吴中医药发展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经公司第九届董事会第六次会议、第九届监事会第六次会议及2019年第五次临时股东大会决议审议通过《江苏吴中医药发展股份有限公司关于变更部分募集资金投资项目的议案》，同意公司将原非公开发行的募集资金投资项目“国家一类生物抗癌新药重组人血管内皮抑素注射液研发项目”中部分未使用资金约12,055万元进行变更，变更后的募集资金投向为抗肿瘤1类新药YS001的研发、西洛他唑等上市化学仿制药的一致性评价、利奈唑胺与沃诺拉赞的仿制(具体见公司于2019年8月23日及9月11日在《中国证券报》《上海证券报》及上海证券交易所网站上披露的相关公告)。</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上述募集资金专户存储四方监管协议的内容与上海证券交易所三方监管协议范本不存在重大差异，本公司在使用募集资金时已经严格遵照履行，以便于募集资金的管理和使用以及对其使用情况进行监督，保证专款专用。</w:t>
      </w:r>
    </w:p>
    <w:p>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2021年4月26日，经本公司第十届董事会第一次会议、第十届监事会第一次会议及2020年年度股东大会审议通过的《江苏吴中医药发展股份有限公司关于变更部分募集资金用途并永久补充流动资金的议案》，同意公司终止非公开发行的募集资金投资项目“西洛他唑等上市化学仿制药的一致性评价项目”中的西洛他唑片、利奈唑胺葡萄糖注射液、注射用艾司奥美拉唑钠3个子研发项目，以及“利奈唑胺与沃诺拉赞的仿制项目”中的利奈唑胺片剂的仿制、沃诺拉赞片剂的仿制 2 个子研发项目，并将剩余的募集资金用于永久补充流动资金。(具体见公司于2021年4月26日及5月19日在《中国证券报》《上海证券报》及上海证券交易所网站上披露的相关公告)。</w:t>
      </w:r>
    </w:p>
    <w:bookmarkEnd w:id="0"/>
    <w:bookmarkEnd w:id="1"/>
    <w:p>
      <w:pPr>
        <w:keepNext/>
        <w:keepLines/>
        <w:spacing w:line="360" w:lineRule="auto"/>
        <w:ind w:firstLine="472" w:firstLineChars="196"/>
        <w:outlineLvl w:val="1"/>
        <w:rPr>
          <w:rFonts w:asciiTheme="minorEastAsia" w:hAnsiTheme="minorEastAsia"/>
          <w:b/>
          <w:bCs/>
          <w:sz w:val="24"/>
        </w:rPr>
      </w:pPr>
      <w:r>
        <w:rPr>
          <w:rFonts w:hint="eastAsia" w:ascii="宋体" w:hAnsi="宋体" w:cs="宋体"/>
          <w:b/>
          <w:bCs/>
          <w:sz w:val="24"/>
        </w:rPr>
        <w:t xml:space="preserve">(二) 募集资金的专户存储情况 </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截至</w:t>
      </w:r>
      <w:r>
        <w:rPr>
          <w:rFonts w:asciiTheme="minorEastAsia" w:hAnsiTheme="minorEastAsia"/>
          <w:kern w:val="0"/>
          <w:sz w:val="24"/>
        </w:rPr>
        <w:t>20</w:t>
      </w:r>
      <w:r>
        <w:rPr>
          <w:rFonts w:hint="eastAsia" w:cs="宋体" w:asciiTheme="minorEastAsia" w:hAnsiTheme="minorEastAsia"/>
          <w:kern w:val="0"/>
          <w:sz w:val="24"/>
        </w:rPr>
        <w:t>22年</w:t>
      </w:r>
      <w:r>
        <w:rPr>
          <w:rFonts w:hint="eastAsia" w:asciiTheme="minorEastAsia" w:hAnsiTheme="minorEastAsia"/>
          <w:kern w:val="0"/>
          <w:sz w:val="24"/>
        </w:rPr>
        <w:t>6</w:t>
      </w:r>
      <w:r>
        <w:rPr>
          <w:rFonts w:hint="eastAsia" w:cs="宋体" w:asciiTheme="minorEastAsia" w:hAnsiTheme="minorEastAsia"/>
          <w:kern w:val="0"/>
          <w:sz w:val="24"/>
        </w:rPr>
        <w:t>月</w:t>
      </w:r>
      <w:r>
        <w:rPr>
          <w:rFonts w:hint="eastAsia" w:asciiTheme="minorEastAsia" w:hAnsiTheme="minorEastAsia"/>
          <w:kern w:val="0"/>
          <w:sz w:val="24"/>
        </w:rPr>
        <w:t>30</w:t>
      </w:r>
      <w:r>
        <w:rPr>
          <w:rFonts w:hint="eastAsia" w:cs="宋体" w:asciiTheme="minorEastAsia" w:hAnsiTheme="minorEastAsia"/>
          <w:kern w:val="0"/>
          <w:sz w:val="24"/>
        </w:rPr>
        <w:t>日，公司募集资金专户存储情况（含利息收入和扣减手续费）如下表所示：</w:t>
      </w:r>
    </w:p>
    <w:tbl>
      <w:tblPr>
        <w:tblStyle w:val="5"/>
        <w:tblW w:w="8843" w:type="dxa"/>
        <w:tblInd w:w="0"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fixed"/>
        <w:tblCellMar>
          <w:top w:w="0" w:type="dxa"/>
          <w:left w:w="108" w:type="dxa"/>
          <w:bottom w:w="0" w:type="dxa"/>
          <w:right w:w="108" w:type="dxa"/>
        </w:tblCellMar>
      </w:tblPr>
      <w:tblGrid>
        <w:gridCol w:w="1384"/>
        <w:gridCol w:w="1418"/>
        <w:gridCol w:w="1134"/>
        <w:gridCol w:w="1984"/>
        <w:gridCol w:w="1701"/>
        <w:gridCol w:w="1222"/>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ind w:left="84" w:leftChars="40"/>
              <w:jc w:val="center"/>
              <w:rPr>
                <w:rFonts w:ascii="宋体" w:hAnsi="宋体" w:cs="宋体"/>
                <w:sz w:val="20"/>
                <w:szCs w:val="20"/>
              </w:rPr>
            </w:pPr>
            <w:r>
              <w:rPr>
                <w:rFonts w:hint="eastAsia" w:ascii="宋体" w:hAnsi="宋体" w:cs="宋体"/>
                <w:sz w:val="20"/>
                <w:szCs w:val="20"/>
              </w:rPr>
              <w:t>账户名称</w:t>
            </w:r>
          </w:p>
        </w:tc>
        <w:tc>
          <w:tcPr>
            <w:tcW w:w="1418"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开户银行</w:t>
            </w:r>
          </w:p>
        </w:tc>
        <w:tc>
          <w:tcPr>
            <w:tcW w:w="1134"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账户类别</w:t>
            </w:r>
          </w:p>
        </w:tc>
        <w:tc>
          <w:tcPr>
            <w:tcW w:w="1984"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银行账号</w:t>
            </w:r>
          </w:p>
        </w:tc>
        <w:tc>
          <w:tcPr>
            <w:tcW w:w="1701"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存储余额</w:t>
            </w:r>
          </w:p>
        </w:tc>
        <w:tc>
          <w:tcPr>
            <w:tcW w:w="1222"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备注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江苏吴中医药发展股份有限公司</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中国农业银行股份有限公司苏州南门支行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10553301040012703</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已注销[注5]</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划款账户</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810"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江苏吴中医药集团有限公司苏州中凯生物制药厂</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中国农业银行股份有限公司苏州南门支行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p>
            <w:pPr>
              <w:jc w:val="center"/>
              <w:rPr>
                <w:rFonts w:ascii="宋体" w:hAnsi="宋体" w:cs="宋体"/>
                <w:sz w:val="20"/>
                <w:szCs w:val="20"/>
              </w:rPr>
            </w:pP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10553301040012760</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已注销[注8]</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国家一类生物抗癌新药重组人血管内皮抑素注射液研发项目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江苏吴中医药集团有限公司苏州制药厂</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475470328000[注1]</w:t>
            </w:r>
          </w:p>
        </w:tc>
        <w:tc>
          <w:tcPr>
            <w:tcW w:w="1701" w:type="dxa"/>
            <w:shd w:val="clear" w:color="auto" w:fill="auto"/>
            <w:vAlign w:val="center"/>
          </w:tcPr>
          <w:p>
            <w:pPr>
              <w:widowControl/>
              <w:jc w:val="center"/>
              <w:rPr>
                <w:rFonts w:ascii="宋体" w:hAnsi="宋体" w:cs="宋体"/>
                <w:kern w:val="0"/>
                <w:sz w:val="20"/>
                <w:szCs w:val="20"/>
              </w:rPr>
            </w:pPr>
            <w:r>
              <w:rPr>
                <w:rFonts w:hint="eastAsia" w:ascii="宋体" w:hAnsi="宋体" w:cs="宋体"/>
                <w:sz w:val="20"/>
                <w:szCs w:val="20"/>
              </w:rPr>
              <w:t>2,614,307.47</w:t>
            </w:r>
          </w:p>
          <w:p>
            <w:pPr>
              <w:jc w:val="center"/>
              <w:rPr>
                <w:rFonts w:ascii="宋体" w:hAnsi="宋体" w:cs="宋体"/>
                <w:sz w:val="20"/>
                <w:szCs w:val="20"/>
              </w:rPr>
            </w:pP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原料药二期项目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江苏吴中医药集团有限公司苏州制药厂</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487167582565</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已注销[注6]</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原料药（河东）、制剂（河西）调整改建项目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江苏吴中医药销售有限公司</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530067627287</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已注销[注6]</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药品自动化立体仓库项目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江苏吴中医药医药集团公司</w:t>
            </w:r>
          </w:p>
        </w:tc>
        <w:tc>
          <w:tcPr>
            <w:tcW w:w="1418" w:type="dxa"/>
            <w:shd w:val="clear" w:color="auto" w:fill="auto"/>
            <w:vAlign w:val="center"/>
          </w:tcPr>
          <w:p>
            <w:pPr>
              <w:spacing w:line="340" w:lineRule="exact"/>
              <w:jc w:val="center"/>
              <w:rPr>
                <w:rFonts w:ascii="宋体" w:hAnsi="宋体" w:cs="宋体"/>
                <w:sz w:val="20"/>
                <w:szCs w:val="20"/>
              </w:rPr>
            </w:pPr>
            <w:r>
              <w:rPr>
                <w:rFonts w:hint="eastAsia" w:ascii="宋体" w:hAnsi="宋体" w:cs="宋体"/>
                <w:sz w:val="20"/>
                <w:szCs w:val="20"/>
              </w:rPr>
              <w:t>招商银行股份有限公司苏州吴中支行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512902474610829</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已注销[注7]</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医药营销网络建设项目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江苏吴中医药集团有限公司</w:t>
            </w:r>
          </w:p>
        </w:tc>
        <w:tc>
          <w:tcPr>
            <w:tcW w:w="1418" w:type="dxa"/>
            <w:shd w:val="clear" w:color="auto" w:fill="auto"/>
            <w:vAlign w:val="center"/>
          </w:tcPr>
          <w:p>
            <w:pPr>
              <w:spacing w:line="340" w:lineRule="exact"/>
              <w:jc w:val="center"/>
              <w:rPr>
                <w:rFonts w:ascii="宋体" w:hAnsi="宋体" w:cs="宋体"/>
                <w:sz w:val="20"/>
                <w:szCs w:val="20"/>
              </w:rPr>
            </w:pPr>
            <w:r>
              <w:rPr>
                <w:rFonts w:hint="eastAsia" w:ascii="宋体" w:hAnsi="宋体" w:cs="宋体"/>
                <w:sz w:val="20"/>
                <w:szCs w:val="20"/>
              </w:rPr>
              <w:t>中国工商银行股份有限公司苏州吴中支行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1102026219000744978</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已注销[注9]</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医药研发中心项目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jc w:val="center"/>
              <w:rPr>
                <w:rFonts w:ascii="宋体" w:hAnsi="宋体" w:cs="宋体"/>
                <w:sz w:val="20"/>
                <w:szCs w:val="20"/>
              </w:rPr>
            </w:pPr>
            <w:r>
              <w:rPr>
                <w:rFonts w:hint="eastAsia" w:ascii="宋体" w:hAnsi="宋体" w:cs="宋体"/>
                <w:sz w:val="20"/>
                <w:szCs w:val="20"/>
              </w:rPr>
              <w:t>江苏吴中医药集团有限公司</w:t>
            </w:r>
          </w:p>
        </w:tc>
        <w:tc>
          <w:tcPr>
            <w:tcW w:w="1418" w:type="dxa"/>
            <w:shd w:val="clear" w:color="auto" w:fill="auto"/>
            <w:vAlign w:val="center"/>
          </w:tcPr>
          <w:p>
            <w:pPr>
              <w:spacing w:line="340" w:lineRule="exact"/>
              <w:jc w:val="center"/>
              <w:rPr>
                <w:rFonts w:ascii="宋体" w:hAnsi="宋体" w:cs="宋体"/>
                <w:sz w:val="20"/>
                <w:szCs w:val="20"/>
              </w:rPr>
            </w:pPr>
            <w:r>
              <w:rPr>
                <w:rFonts w:hint="eastAsia" w:ascii="宋体" w:hAnsi="宋体" w:cs="宋体"/>
                <w:sz w:val="20"/>
                <w:szCs w:val="20"/>
              </w:rPr>
              <w:t>交通银行股份有限公司苏州吴中支行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325325400018800007690</w:t>
            </w:r>
          </w:p>
        </w:tc>
        <w:tc>
          <w:tcPr>
            <w:tcW w:w="1701" w:type="dxa"/>
            <w:shd w:val="clear" w:color="auto" w:fill="auto"/>
            <w:vAlign w:val="center"/>
          </w:tcPr>
          <w:p>
            <w:pPr>
              <w:jc w:val="center"/>
              <w:rPr>
                <w:rFonts w:ascii="宋体" w:hAnsi="宋体" w:cs="宋体"/>
                <w:sz w:val="20"/>
                <w:szCs w:val="20"/>
              </w:rPr>
            </w:pPr>
            <w:r>
              <w:rPr>
                <w:rFonts w:hint="eastAsia" w:ascii="宋体" w:hAnsi="宋体" w:cs="宋体"/>
                <w:sz w:val="20"/>
                <w:szCs w:val="20"/>
              </w:rPr>
              <w:t>已注销[注5]</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补充医药业务营运资金</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324" w:hRule="atLeast"/>
        </w:trPr>
        <w:tc>
          <w:tcPr>
            <w:tcW w:w="1384" w:type="dxa"/>
            <w:vAlign w:val="center"/>
          </w:tcPr>
          <w:p>
            <w:pPr>
              <w:ind w:left="84" w:leftChars="40"/>
              <w:jc w:val="center"/>
              <w:rPr>
                <w:rFonts w:ascii="宋体" w:hAnsi="宋体" w:cs="宋体"/>
                <w:sz w:val="20"/>
                <w:szCs w:val="20"/>
              </w:rPr>
            </w:pPr>
            <w:r>
              <w:rPr>
                <w:rFonts w:hint="eastAsia" w:ascii="宋体" w:hAnsi="宋体" w:cs="宋体"/>
                <w:sz w:val="20"/>
                <w:szCs w:val="20"/>
              </w:rPr>
              <w:t>苏州泽润新药研发有限公司</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中国农业银行股份有限公司苏州南门支行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10553301040017652[注2]</w:t>
            </w:r>
          </w:p>
        </w:tc>
        <w:tc>
          <w:tcPr>
            <w:tcW w:w="1701" w:type="dxa"/>
            <w:shd w:val="clear" w:color="auto" w:fill="auto"/>
            <w:vAlign w:val="center"/>
          </w:tcPr>
          <w:p>
            <w:pPr>
              <w:widowControl/>
              <w:jc w:val="center"/>
              <w:rPr>
                <w:rFonts w:ascii="宋体" w:hAnsi="宋体" w:cs="宋体"/>
                <w:kern w:val="0"/>
                <w:sz w:val="20"/>
                <w:szCs w:val="20"/>
              </w:rPr>
            </w:pPr>
            <w:r>
              <w:rPr>
                <w:rFonts w:hint="eastAsia" w:ascii="宋体" w:hAnsi="宋体" w:cs="宋体"/>
                <w:sz w:val="20"/>
                <w:szCs w:val="20"/>
              </w:rPr>
              <w:t>13,167,629.34</w:t>
            </w:r>
          </w:p>
          <w:p>
            <w:pPr>
              <w:ind w:left="84" w:leftChars="40"/>
              <w:jc w:val="center"/>
              <w:rPr>
                <w:rFonts w:ascii="宋体" w:hAnsi="宋体" w:cs="宋体"/>
                <w:sz w:val="20"/>
                <w:szCs w:val="20"/>
              </w:rPr>
            </w:pP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抗肿瘤 1 类 新药YS001 的研发项目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13" w:hRule="atLeast"/>
        </w:trPr>
        <w:tc>
          <w:tcPr>
            <w:tcW w:w="1384" w:type="dxa"/>
            <w:vAlign w:val="center"/>
          </w:tcPr>
          <w:p>
            <w:pPr>
              <w:ind w:left="84" w:leftChars="40"/>
              <w:jc w:val="center"/>
              <w:rPr>
                <w:rFonts w:ascii="宋体" w:hAnsi="宋体" w:cs="宋体"/>
                <w:sz w:val="20"/>
                <w:szCs w:val="20"/>
              </w:rPr>
            </w:pPr>
            <w:r>
              <w:rPr>
                <w:rFonts w:hint="eastAsia" w:ascii="宋体" w:hAnsi="宋体" w:cs="宋体"/>
                <w:sz w:val="20"/>
                <w:szCs w:val="20"/>
              </w:rPr>
              <w:t>江苏吴中医药集团有限公司苏州制药厂</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中国农业银行股份有限公司苏州南门支行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p>
            <w:pPr>
              <w:jc w:val="center"/>
              <w:rPr>
                <w:rFonts w:ascii="宋体" w:hAnsi="宋体" w:cs="宋体"/>
                <w:sz w:val="20"/>
                <w:szCs w:val="20"/>
              </w:rPr>
            </w:pP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10553301040017694[注4]</w:t>
            </w:r>
          </w:p>
        </w:tc>
        <w:tc>
          <w:tcPr>
            <w:tcW w:w="1701" w:type="dxa"/>
            <w:shd w:val="clear" w:color="auto" w:fill="auto"/>
            <w:vAlign w:val="center"/>
          </w:tcPr>
          <w:p>
            <w:pPr>
              <w:widowControl/>
              <w:jc w:val="center"/>
              <w:rPr>
                <w:rFonts w:ascii="宋体" w:hAnsi="宋体" w:cs="宋体"/>
                <w:kern w:val="0"/>
                <w:sz w:val="20"/>
                <w:szCs w:val="20"/>
              </w:rPr>
            </w:pPr>
            <w:r>
              <w:rPr>
                <w:rFonts w:hint="eastAsia" w:ascii="宋体" w:hAnsi="宋体" w:cs="宋体"/>
                <w:sz w:val="20"/>
                <w:szCs w:val="20"/>
              </w:rPr>
              <w:t>8,843,959.60</w:t>
            </w:r>
          </w:p>
          <w:p>
            <w:pPr>
              <w:ind w:left="84" w:leftChars="40"/>
              <w:jc w:val="center"/>
              <w:rPr>
                <w:rFonts w:ascii="宋体" w:hAnsi="宋体" w:cs="宋体"/>
                <w:sz w:val="20"/>
                <w:szCs w:val="20"/>
              </w:rPr>
            </w:pP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西洛他唑等 上市化学仿 制药的一致 性评价项目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53" w:hRule="atLeast"/>
        </w:trPr>
        <w:tc>
          <w:tcPr>
            <w:tcW w:w="1384" w:type="dxa"/>
            <w:vAlign w:val="center"/>
          </w:tcPr>
          <w:p>
            <w:pPr>
              <w:ind w:left="84" w:leftChars="40"/>
              <w:jc w:val="center"/>
              <w:rPr>
                <w:rFonts w:ascii="宋体" w:hAnsi="宋体" w:cs="宋体"/>
                <w:sz w:val="20"/>
                <w:szCs w:val="20"/>
              </w:rPr>
            </w:pPr>
            <w:r>
              <w:rPr>
                <w:rFonts w:hint="eastAsia" w:ascii="宋体" w:hAnsi="宋体" w:cs="宋体"/>
                <w:sz w:val="20"/>
                <w:szCs w:val="20"/>
              </w:rPr>
              <w:t>江苏吴中医药集团有限公司苏州制药厂</w:t>
            </w:r>
          </w:p>
        </w:tc>
        <w:tc>
          <w:tcPr>
            <w:tcW w:w="1418" w:type="dxa"/>
            <w:shd w:val="clear" w:color="auto" w:fill="auto"/>
            <w:vAlign w:val="center"/>
          </w:tcPr>
          <w:p>
            <w:pPr>
              <w:jc w:val="center"/>
              <w:rPr>
                <w:rFonts w:ascii="宋体" w:hAnsi="宋体" w:cs="宋体"/>
                <w:sz w:val="20"/>
                <w:szCs w:val="20"/>
              </w:rPr>
            </w:pPr>
            <w:r>
              <w:rPr>
                <w:rFonts w:hint="eastAsia" w:ascii="宋体" w:hAnsi="宋体" w:cs="宋体"/>
                <w:sz w:val="20"/>
                <w:szCs w:val="20"/>
              </w:rPr>
              <w:t>中国农业银行股份有限公司苏州南门支行</w:t>
            </w:r>
          </w:p>
        </w:tc>
        <w:tc>
          <w:tcPr>
            <w:tcW w:w="1134" w:type="dxa"/>
            <w:shd w:val="clear" w:color="auto" w:fill="auto"/>
            <w:vAlign w:val="center"/>
          </w:tcPr>
          <w:p>
            <w:pPr>
              <w:jc w:val="center"/>
              <w:rPr>
                <w:rFonts w:ascii="宋体" w:hAnsi="宋体" w:cs="宋体"/>
                <w:sz w:val="20"/>
                <w:szCs w:val="20"/>
              </w:rPr>
            </w:pPr>
            <w:r>
              <w:rPr>
                <w:rFonts w:hint="eastAsia" w:ascii="宋体" w:hAnsi="宋体" w:cs="宋体"/>
                <w:sz w:val="20"/>
                <w:szCs w:val="20"/>
              </w:rPr>
              <w:t>募集资金专户</w:t>
            </w:r>
          </w:p>
        </w:tc>
        <w:tc>
          <w:tcPr>
            <w:tcW w:w="1984" w:type="dxa"/>
            <w:shd w:val="clear" w:color="auto" w:fill="auto"/>
            <w:vAlign w:val="center"/>
          </w:tcPr>
          <w:p>
            <w:pPr>
              <w:jc w:val="center"/>
              <w:rPr>
                <w:rFonts w:ascii="宋体" w:hAnsi="宋体" w:cs="宋体"/>
                <w:sz w:val="20"/>
                <w:szCs w:val="20"/>
              </w:rPr>
            </w:pPr>
            <w:r>
              <w:rPr>
                <w:rFonts w:hint="eastAsia" w:ascii="宋体" w:hAnsi="宋体" w:cs="宋体"/>
                <w:sz w:val="20"/>
                <w:szCs w:val="20"/>
              </w:rPr>
              <w:t>10553301040017678[注3]</w:t>
            </w:r>
          </w:p>
        </w:tc>
        <w:tc>
          <w:tcPr>
            <w:tcW w:w="1701" w:type="dxa"/>
            <w:shd w:val="clear" w:color="auto" w:fill="auto"/>
            <w:vAlign w:val="center"/>
          </w:tcPr>
          <w:p>
            <w:pPr>
              <w:widowControl/>
              <w:jc w:val="center"/>
              <w:rPr>
                <w:rFonts w:ascii="宋体" w:hAnsi="宋体" w:cs="宋体"/>
                <w:kern w:val="0"/>
                <w:sz w:val="20"/>
                <w:szCs w:val="20"/>
              </w:rPr>
            </w:pPr>
            <w:r>
              <w:rPr>
                <w:rFonts w:hint="eastAsia" w:ascii="宋体" w:hAnsi="宋体" w:cs="宋体"/>
                <w:sz w:val="20"/>
                <w:szCs w:val="20"/>
              </w:rPr>
              <w:t>10,195,672.74</w:t>
            </w:r>
          </w:p>
        </w:tc>
        <w:tc>
          <w:tcPr>
            <w:tcW w:w="1222" w:type="dxa"/>
            <w:shd w:val="clear" w:color="auto" w:fill="auto"/>
            <w:vAlign w:val="center"/>
          </w:tcPr>
          <w:p>
            <w:pPr>
              <w:jc w:val="center"/>
              <w:rPr>
                <w:rFonts w:ascii="宋体" w:hAnsi="宋体" w:cs="宋体"/>
                <w:sz w:val="20"/>
                <w:szCs w:val="20"/>
              </w:rPr>
            </w:pPr>
            <w:r>
              <w:rPr>
                <w:rFonts w:hint="eastAsia" w:ascii="宋体" w:hAnsi="宋体" w:cs="宋体"/>
                <w:sz w:val="20"/>
                <w:szCs w:val="20"/>
              </w:rPr>
              <w:t>利奈唑胺与 沃诺拉赞的 仿制项目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ind w:left="84" w:leftChars="40"/>
              <w:jc w:val="center"/>
              <w:rPr>
                <w:rFonts w:ascii="宋体" w:hAnsi="宋体" w:cs="宋体"/>
                <w:sz w:val="20"/>
                <w:szCs w:val="20"/>
              </w:rPr>
            </w:pPr>
          </w:p>
        </w:tc>
        <w:tc>
          <w:tcPr>
            <w:tcW w:w="1418" w:type="dxa"/>
            <w:shd w:val="clear" w:color="auto" w:fill="auto"/>
            <w:vAlign w:val="center"/>
          </w:tcPr>
          <w:p>
            <w:pPr>
              <w:ind w:left="84" w:leftChars="40"/>
              <w:jc w:val="center"/>
              <w:rPr>
                <w:rFonts w:ascii="宋体" w:hAnsi="宋体" w:cs="宋体"/>
                <w:sz w:val="20"/>
                <w:szCs w:val="20"/>
              </w:rPr>
            </w:pPr>
            <w:r>
              <w:rPr>
                <w:rFonts w:hint="eastAsia" w:ascii="宋体" w:hAnsi="宋体" w:cs="宋体"/>
                <w:sz w:val="20"/>
                <w:szCs w:val="20"/>
              </w:rPr>
              <w:t>合  计</w:t>
            </w:r>
          </w:p>
        </w:tc>
        <w:tc>
          <w:tcPr>
            <w:tcW w:w="1134" w:type="dxa"/>
            <w:shd w:val="clear" w:color="auto" w:fill="auto"/>
            <w:vAlign w:val="center"/>
          </w:tcPr>
          <w:p>
            <w:pPr>
              <w:ind w:left="84" w:leftChars="40"/>
              <w:jc w:val="center"/>
              <w:rPr>
                <w:rFonts w:ascii="宋体" w:hAnsi="宋体" w:cs="宋体"/>
                <w:sz w:val="20"/>
                <w:szCs w:val="20"/>
              </w:rPr>
            </w:pPr>
          </w:p>
        </w:tc>
        <w:tc>
          <w:tcPr>
            <w:tcW w:w="1984" w:type="dxa"/>
            <w:shd w:val="clear" w:color="auto" w:fill="auto"/>
            <w:vAlign w:val="center"/>
          </w:tcPr>
          <w:p>
            <w:pPr>
              <w:ind w:left="84" w:leftChars="40"/>
              <w:jc w:val="center"/>
              <w:rPr>
                <w:rFonts w:ascii="宋体" w:hAnsi="宋体" w:cs="宋体"/>
                <w:sz w:val="20"/>
                <w:szCs w:val="20"/>
              </w:rPr>
            </w:pPr>
          </w:p>
        </w:tc>
        <w:tc>
          <w:tcPr>
            <w:tcW w:w="1701" w:type="dxa"/>
            <w:shd w:val="clear" w:color="auto" w:fill="auto"/>
            <w:vAlign w:val="center"/>
          </w:tcPr>
          <w:p>
            <w:pPr>
              <w:widowControl/>
              <w:jc w:val="center"/>
              <w:rPr>
                <w:rFonts w:ascii="宋体" w:hAnsi="宋体" w:cs="宋体"/>
                <w:kern w:val="0"/>
                <w:sz w:val="20"/>
                <w:szCs w:val="20"/>
              </w:rPr>
            </w:pPr>
            <w:r>
              <w:rPr>
                <w:rFonts w:hint="eastAsia" w:ascii="宋体" w:hAnsi="宋体" w:cs="宋体"/>
                <w:sz w:val="20"/>
                <w:szCs w:val="20"/>
              </w:rPr>
              <w:t>34,821,569.15</w:t>
            </w:r>
          </w:p>
        </w:tc>
        <w:tc>
          <w:tcPr>
            <w:tcW w:w="1222" w:type="dxa"/>
            <w:shd w:val="clear" w:color="auto" w:fill="auto"/>
            <w:vAlign w:val="center"/>
          </w:tcPr>
          <w:p>
            <w:pPr>
              <w:ind w:left="84" w:leftChars="40"/>
              <w:jc w:val="center"/>
              <w:rPr>
                <w:rFonts w:ascii="宋体" w:hAnsi="宋体" w:cs="宋体"/>
                <w:sz w:val="20"/>
                <w:szCs w:val="20"/>
              </w:rPr>
            </w:pPr>
          </w:p>
        </w:tc>
      </w:tr>
    </w:tbl>
    <w:p>
      <w:pPr>
        <w:spacing w:line="240" w:lineRule="auto"/>
        <w:rPr>
          <w:sz w:val="18"/>
          <w:szCs w:val="18"/>
        </w:rPr>
      </w:pPr>
      <w:r>
        <w:rPr>
          <w:rFonts w:hint="eastAsia"/>
          <w:sz w:val="18"/>
          <w:szCs w:val="18"/>
        </w:rPr>
        <w:t>[注]：</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1：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2：2019年9月4日，苏州泽润新药研发有限公司在中国农业银行股份有限公司苏州南门支行开设募集资金专项账户，账号为10553301040017652，专户中的募集资金以活期存款的形式存在,该专户仅用于苏州泽润新药研发有限公司抗肿瘤 1 类 新药 YS001 的研发项目募集资金的存储和使用。</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3：2019年9月5日，江苏吴中医药集团有限公司苏州制药厂在中国农业银行股份有限公司苏州南门支行开设1个募集资金专项账户，账号为10553301040017678，仅用于利奈唑胺与沃诺拉赞的仿制项目募集资金的存储和使用，均以活期存款的形式存在。</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4：2019年9月6号，江苏吴中医药集团有限公司苏州制药厂在中国农业银行股份有限公司苏州南门支行开设1个募集资金专项账户，账号为10553301040017694，仅用于西洛他唑等上市化学仿制药的一致性评价项目募集资金的存储和使用，均以活期存款的形式存在。</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注5：截至2016年7月22日，公司已注销中国农业银行苏州南门支行募集资金专户(账号10553301040012703)及交通银行股份有限公司苏州吴中支行募集资金专户(账号325325400018800007690)。</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注6：截至2017年12月8日，公司已注销中国银行股份有限公司苏州吴中支行开立的募集资金专用账户(账号:487167582565)及在中国银行股份有限公司苏州吴中支行开立的募集资金专用账户(账号:530067627287)。</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注7：截至2018年7月18日，公司已注销招商银行股份有限公司苏州吴中支行开立的募集资金专用账户（账号：512902474610829）[该专户注销时无余额]。</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8：截至2019年10月17日，公司已注销中国农业银行苏州南门支行募集资金专户(账号10553301040012760)。该专户注销时余额分项转入中国农业银行苏州南门支行募集资金专户（账号一10553301040017652，账号二10553301040017694，账号三10553301040017678 ）</w:t>
      </w:r>
    </w:p>
    <w:p>
      <w:pPr>
        <w:autoSpaceDE w:val="0"/>
        <w:autoSpaceDN w:val="0"/>
        <w:adjustRightInd w:val="0"/>
        <w:spacing w:line="240" w:lineRule="auto"/>
        <w:ind w:firstLine="360" w:firstLineChars="200"/>
        <w:rPr>
          <w:rFonts w:ascii="宋体" w:hAnsi="宋体" w:cs="宋体"/>
          <w:kern w:val="0"/>
          <w:sz w:val="18"/>
          <w:szCs w:val="18"/>
        </w:rPr>
      </w:pPr>
      <w:r>
        <w:rPr>
          <w:rFonts w:hint="eastAsia" w:ascii="宋体" w:hAnsi="宋体" w:cs="宋体"/>
          <w:kern w:val="0"/>
          <w:sz w:val="18"/>
          <w:szCs w:val="18"/>
        </w:rPr>
        <w:t>注9：截至2020年11月16日，公司已注销中国工商银行吴中支行开立的募集资金专用帐户（1102026219000744978）[该专户注销时无余额]</w:t>
      </w:r>
    </w:p>
    <w:p>
      <w:pPr>
        <w:spacing w:line="360" w:lineRule="auto"/>
        <w:ind w:right="-153" w:rightChars="-73" w:firstLine="480" w:firstLineChars="200"/>
        <w:jc w:val="left"/>
        <w:rPr>
          <w:rFonts w:ascii="宋体" w:hAnsi="宋体" w:cs="宋体"/>
          <w:color w:val="000000"/>
          <w:kern w:val="0"/>
          <w:sz w:val="24"/>
        </w:rPr>
      </w:pPr>
    </w:p>
    <w:p>
      <w:pPr>
        <w:keepNext/>
        <w:keepLines/>
        <w:spacing w:line="360" w:lineRule="auto"/>
        <w:ind w:firstLine="472" w:firstLineChars="196"/>
        <w:outlineLvl w:val="0"/>
        <w:rPr>
          <w:rFonts w:asciiTheme="minorEastAsia" w:hAnsiTheme="minorEastAsia"/>
          <w:b/>
          <w:bCs/>
          <w:sz w:val="24"/>
        </w:rPr>
      </w:pPr>
      <w:r>
        <w:rPr>
          <w:rFonts w:hint="eastAsia" w:asciiTheme="minorEastAsia" w:hAnsiTheme="minorEastAsia"/>
          <w:b/>
          <w:bCs/>
          <w:kern w:val="44"/>
          <w:sz w:val="24"/>
        </w:rPr>
        <w:t>三、本报告期</w:t>
      </w:r>
      <w:r>
        <w:rPr>
          <w:rFonts w:asciiTheme="minorEastAsia" w:hAnsiTheme="minorEastAsia"/>
          <w:b/>
          <w:bCs/>
          <w:kern w:val="44"/>
          <w:sz w:val="24"/>
        </w:rPr>
        <w:t>募集资金的实际使用情况</w:t>
      </w:r>
    </w:p>
    <w:p>
      <w:pPr>
        <w:tabs>
          <w:tab w:val="left" w:pos="4620"/>
        </w:tabs>
        <w:spacing w:line="360" w:lineRule="auto"/>
        <w:ind w:firstLine="480" w:firstLineChars="200"/>
        <w:rPr>
          <w:rFonts w:asciiTheme="minorEastAsia" w:hAnsiTheme="minorEastAsia"/>
          <w:sz w:val="24"/>
        </w:rPr>
      </w:pPr>
      <w:r>
        <w:rPr>
          <w:rFonts w:hint="eastAsia" w:asciiTheme="minorEastAsia" w:hAnsiTheme="minorEastAsia"/>
          <w:sz w:val="24"/>
        </w:rPr>
        <w:t>2022年上半年《</w:t>
      </w:r>
      <w:r>
        <w:rPr>
          <w:rFonts w:asciiTheme="minorEastAsia" w:hAnsiTheme="minorEastAsia"/>
          <w:sz w:val="24"/>
        </w:rPr>
        <w:t>募集资金使用情况对照表</w:t>
      </w:r>
      <w:r>
        <w:rPr>
          <w:rFonts w:hint="eastAsia" w:asciiTheme="minorEastAsia" w:hAnsiTheme="minorEastAsia"/>
          <w:sz w:val="24"/>
        </w:rPr>
        <w:t>》详见本报告附件1。</w:t>
      </w:r>
    </w:p>
    <w:p>
      <w:pPr>
        <w:tabs>
          <w:tab w:val="left" w:pos="4620"/>
        </w:tabs>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w:t>
      </w:r>
      <w:r>
        <w:rPr>
          <w:rFonts w:hint="eastAsia" w:cs="宋体" w:asciiTheme="minorEastAsia" w:hAnsiTheme="minorEastAsia"/>
          <w:kern w:val="0"/>
          <w:sz w:val="24"/>
        </w:rPr>
        <w:t>一</w:t>
      </w:r>
      <w:r>
        <w:rPr>
          <w:rFonts w:cs="宋体" w:asciiTheme="minorEastAsia" w:hAnsiTheme="minorEastAsia"/>
          <w:kern w:val="0"/>
          <w:sz w:val="24"/>
        </w:rPr>
        <w:t>)</w:t>
      </w:r>
      <w:r>
        <w:rPr>
          <w:rFonts w:hint="eastAsia" w:cs="宋体" w:asciiTheme="minorEastAsia" w:hAnsiTheme="minorEastAsia"/>
          <w:kern w:val="0"/>
          <w:sz w:val="24"/>
        </w:rPr>
        <w:t xml:space="preserve"> </w:t>
      </w:r>
      <w:r>
        <w:rPr>
          <w:rFonts w:cs="宋体" w:asciiTheme="minorEastAsia" w:hAnsiTheme="minorEastAsia"/>
          <w:kern w:val="0"/>
          <w:sz w:val="24"/>
        </w:rPr>
        <w:t>募集资金投资项目先期投入及置换情况。</w:t>
      </w:r>
    </w:p>
    <w:p>
      <w:pPr>
        <w:tabs>
          <w:tab w:val="left" w:pos="4620"/>
        </w:tabs>
        <w:spacing w:line="360" w:lineRule="auto"/>
        <w:ind w:firstLine="480" w:firstLineChars="200"/>
        <w:rPr>
          <w:rFonts w:cs="宋体" w:asciiTheme="minorEastAsia" w:hAnsiTheme="minorEastAsia"/>
          <w:kern w:val="0"/>
          <w:sz w:val="24"/>
        </w:rPr>
      </w:pPr>
      <w:bookmarkStart w:id="2" w:name="_Hlk63263262"/>
      <w:r>
        <w:rPr>
          <w:rFonts w:hint="eastAsia" w:cs="宋体" w:asciiTheme="minorEastAsia" w:hAnsiTheme="minorEastAsia"/>
          <w:kern w:val="0"/>
          <w:sz w:val="24"/>
        </w:rPr>
        <w:t>立信会计师事务所（特殊普通合伙）对公司以自筹资金预先投入募集资金投资项目的情况进行了专项审核，并出具了“信会师报字（2015）第115404号”《关于江苏吴中医药发展股份有限公司以自筹资金预先投入募集资金投资项目的专项鉴证报告》。公司于2015年10月29日召开的第八届董事会第四次会议及第八届监事会第四次会议审议通过了《关于以募集资金置换预先投入募投项目的自筹资金的议案》，同意公司以自筹资金预先投入募集资金投资项目的金额为47,964,197.53 元。</w:t>
      </w:r>
      <w:bookmarkEnd w:id="2"/>
    </w:p>
    <w:p>
      <w:pPr>
        <w:tabs>
          <w:tab w:val="left" w:pos="4620"/>
        </w:tabs>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 xml:space="preserve">(二) </w:t>
      </w:r>
      <w:r>
        <w:rPr>
          <w:rFonts w:cs="宋体" w:asciiTheme="minorEastAsia" w:hAnsiTheme="minorEastAsia"/>
          <w:kern w:val="0"/>
          <w:sz w:val="24"/>
        </w:rPr>
        <w:t>用闲置募集资金暂时补充流动资金情况。</w:t>
      </w:r>
    </w:p>
    <w:p>
      <w:pPr>
        <w:tabs>
          <w:tab w:val="left" w:pos="4620"/>
        </w:tabs>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公司不存在用闲置募集资金暂时补充流动资金情况。</w:t>
      </w:r>
    </w:p>
    <w:p>
      <w:pPr>
        <w:tabs>
          <w:tab w:val="left" w:pos="4620"/>
        </w:tabs>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(三) 对闲置募集资金进行现金管理，投资相关产品情况。</w:t>
      </w:r>
    </w:p>
    <w:p>
      <w:pPr>
        <w:tabs>
          <w:tab w:val="left" w:pos="4620"/>
        </w:tabs>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2016年8月25日，公司召开的第八届董事会第九次会议及第八届监事会第九次会议，审议通过了《江苏吴中医药发展股份有限公司关于使用闲置募集资金进行现金管理的议案》，同意公司使用不超过人民币16,000万元的闲置募集资金进行现金管理。2017年8月21日，公司召开的第八届董事会第十二次会议及第八届监事会第十二次会议，审议通过了《江苏吴中医药发展股份有限公司关于使用部分闲置非公开发行募集资金进行现金管理的议案》，同意公司使用不超过人民币10,000万元的闲置募集资金进行现金管理。2018年8月20日召开的第九届董事会第二次会议和第九届监事会第二次会议，审议通过了《江苏吴中医药发展股份有限公司关于使用部分闲置非公开发行募集资金进行现金管理的议案》，同意公司使用不超过人民币8,000万元的闲置非公开募集资金进行现金管理。2019年6月28日召开的第九届董事会2019年第四次临时会议（通讯表决）和第九届监事会2019年第三次临时会议（通讯表决），审议通过了《江苏吴中医药发展股份有限公司关于使用部分闲置非公开发行募集资金进行现金管理的议案》。同意公司使用总额不超过人民币4,000万元的闲置非公开募集资金进行现金管理。2020年4月28日，公司召开第九届董事会第九次会议（通讯表决）和第九届监事会第九次会议（通讯表决），审议通过了《江苏吴中医药发展股份有限公司关于使用部分闲置非公开发行募集资金进行现金管理的议案》，同意公司使用总额不超过人民币4,000万元的闲置非公开募集资金进行现金管理，在上述额度及决议有效期内，资金可以循环滚动使用。2021年3月15日，公司召开第九届董事会2021年第二次临时会议（通讯表决）和第九届监事会2021年第一次临时会议（通讯表决），审议通过了《江苏吴中医药发展股份有限公司关于使用部分闲置非公开发行募集资金进行现金管理的议案》，同意公司使用总额不超过人民币4,000万元的闲置非公开发行募集资金进行现金管理事宜，在上述额度内，资金可以在12个月内滚动使用。</w:t>
      </w:r>
    </w:p>
    <w:p>
      <w:pPr>
        <w:tabs>
          <w:tab w:val="left" w:pos="4620"/>
        </w:tabs>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截至2022年6月30日，理财产品余额为</w:t>
      </w:r>
      <w:r>
        <w:rPr>
          <w:rFonts w:hint="eastAsia" w:ascii="宋体" w:hAnsi="宋体" w:cs="宋体"/>
          <w:color w:val="000000"/>
          <w:kern w:val="0"/>
          <w:sz w:val="24"/>
        </w:rPr>
        <w:t>0</w:t>
      </w:r>
      <w:r>
        <w:rPr>
          <w:rFonts w:hint="eastAsia" w:cs="宋体" w:asciiTheme="minorEastAsia" w:hAnsiTheme="minorEastAsia"/>
          <w:kern w:val="0"/>
          <w:sz w:val="24"/>
        </w:rPr>
        <w:t>元。</w:t>
      </w:r>
    </w:p>
    <w:p>
      <w:pPr>
        <w:keepNext/>
        <w:keepLines/>
        <w:spacing w:line="360" w:lineRule="auto"/>
        <w:ind w:firstLine="472" w:firstLineChars="196"/>
        <w:outlineLvl w:val="0"/>
        <w:rPr>
          <w:rFonts w:asciiTheme="minorEastAsia" w:hAnsiTheme="minorEastAsia"/>
          <w:b/>
          <w:bCs/>
          <w:kern w:val="44"/>
          <w:sz w:val="24"/>
        </w:rPr>
      </w:pPr>
      <w:r>
        <w:rPr>
          <w:rFonts w:hint="eastAsia" w:asciiTheme="minorEastAsia" w:hAnsiTheme="minorEastAsia"/>
          <w:b/>
          <w:bCs/>
          <w:kern w:val="44"/>
          <w:sz w:val="24"/>
        </w:rPr>
        <w:t>四、</w:t>
      </w:r>
      <w:r>
        <w:rPr>
          <w:rFonts w:asciiTheme="minorEastAsia" w:hAnsiTheme="minorEastAsia"/>
          <w:b/>
          <w:bCs/>
          <w:kern w:val="44"/>
          <w:sz w:val="24"/>
        </w:rPr>
        <w:t>变更募集资金投资项目的资金使用情况</w:t>
      </w:r>
    </w:p>
    <w:p>
      <w:pPr>
        <w:keepNext/>
        <w:keepLines/>
        <w:spacing w:line="360" w:lineRule="auto"/>
        <w:ind w:firstLine="470" w:firstLineChars="196"/>
        <w:outlineLvl w:val="1"/>
        <w:rPr>
          <w:rFonts w:asciiTheme="minorEastAsia" w:hAnsiTheme="minorEastAsia"/>
          <w:sz w:val="24"/>
        </w:rPr>
      </w:pPr>
      <w:r>
        <w:rPr>
          <w:rFonts w:hint="eastAsia" w:asciiTheme="minorEastAsia" w:hAnsiTheme="minorEastAsia"/>
          <w:sz w:val="24"/>
        </w:rPr>
        <w:t>(一) 变更募集资金投资项目情况</w:t>
      </w:r>
    </w:p>
    <w:p>
      <w:pPr>
        <w:spacing w:line="360" w:lineRule="auto"/>
        <w:ind w:firstLine="480" w:firstLineChars="200"/>
        <w:rPr>
          <w:rFonts w:asciiTheme="minorEastAsia" w:hAnsiTheme="minorEastAsia"/>
          <w:sz w:val="24"/>
        </w:rPr>
      </w:pPr>
      <w:r>
        <w:rPr>
          <w:rFonts w:hint="eastAsia" w:asciiTheme="minorEastAsia" w:hAnsiTheme="minorEastAsia"/>
          <w:sz w:val="24"/>
        </w:rPr>
        <w:t>2022年上半年《变更募集资金投资项目情况表》详见本报告附件2</w:t>
      </w:r>
      <w:r>
        <w:rPr>
          <w:rFonts w:asciiTheme="minorEastAsia" w:hAnsiTheme="minorEastAsia"/>
          <w:sz w:val="24"/>
        </w:rPr>
        <w:t>。</w:t>
      </w:r>
    </w:p>
    <w:p>
      <w:pPr>
        <w:keepNext/>
        <w:keepLines/>
        <w:spacing w:line="360" w:lineRule="auto"/>
        <w:ind w:firstLine="470" w:firstLineChars="196"/>
        <w:outlineLvl w:val="1"/>
        <w:rPr>
          <w:rFonts w:asciiTheme="minorEastAsia" w:hAnsiTheme="minorEastAsia"/>
          <w:sz w:val="24"/>
        </w:rPr>
      </w:pPr>
      <w:r>
        <w:rPr>
          <w:rFonts w:hint="eastAsia" w:asciiTheme="minorEastAsia" w:hAnsiTheme="minorEastAsia"/>
          <w:sz w:val="24"/>
        </w:rPr>
        <w:t xml:space="preserve"> (二) 变更募集资金投资项目无法单独核算效益的情况说明</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抗肿瘤1类新药YS001的研发</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本项目为研发项目，项目完成后不会直接产生经济效益。如果项目成功上市，将会产生经济效益。</w:t>
      </w:r>
    </w:p>
    <w:p>
      <w:pPr>
        <w:keepNext/>
        <w:keepLines/>
        <w:spacing w:line="360" w:lineRule="auto"/>
        <w:ind w:firstLine="470" w:firstLineChars="196"/>
        <w:outlineLvl w:val="1"/>
        <w:rPr>
          <w:rFonts w:asciiTheme="minorEastAsia" w:hAnsiTheme="minorEastAsia"/>
          <w:sz w:val="24"/>
        </w:rPr>
      </w:pPr>
      <w:r>
        <w:rPr>
          <w:rFonts w:hint="eastAsia" w:asciiTheme="minorEastAsia" w:hAnsiTheme="minorEastAsia"/>
          <w:sz w:val="24"/>
        </w:rPr>
        <w:t>(三) 募集资金投资项目对外转让或置换情况说明</w:t>
      </w:r>
    </w:p>
    <w:p>
      <w:pPr>
        <w:spacing w:line="360" w:lineRule="auto"/>
        <w:ind w:firstLine="480" w:firstLineChars="200"/>
        <w:rPr>
          <w:rFonts w:asciiTheme="minorEastAsia" w:hAnsiTheme="minorEastAsia"/>
          <w:b/>
          <w:bCs/>
          <w:kern w:val="44"/>
          <w:sz w:val="24"/>
        </w:rPr>
      </w:pPr>
      <w:r>
        <w:rPr>
          <w:rFonts w:hint="eastAsia" w:asciiTheme="minorEastAsia" w:hAnsiTheme="minorEastAsia"/>
          <w:sz w:val="24"/>
        </w:rPr>
        <w:t>募集资金投资项目无对外转让或置换情况。</w:t>
      </w:r>
    </w:p>
    <w:p>
      <w:pPr>
        <w:keepNext/>
        <w:keepLines/>
        <w:spacing w:line="360" w:lineRule="auto"/>
        <w:ind w:firstLine="472" w:firstLineChars="196"/>
        <w:outlineLvl w:val="0"/>
        <w:rPr>
          <w:rFonts w:asciiTheme="minorEastAsia" w:hAnsiTheme="minorEastAsia"/>
          <w:b/>
          <w:bCs/>
          <w:kern w:val="44"/>
          <w:sz w:val="24"/>
        </w:rPr>
      </w:pPr>
      <w:r>
        <w:rPr>
          <w:rFonts w:hint="eastAsia" w:asciiTheme="minorEastAsia" w:hAnsiTheme="minorEastAsia"/>
          <w:b/>
          <w:bCs/>
          <w:kern w:val="44"/>
          <w:sz w:val="24"/>
        </w:rPr>
        <w:t>五、募集资金使用及披露中存在的问题</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本</w:t>
      </w:r>
      <w:r>
        <w:rPr>
          <w:rFonts w:cs="宋体" w:asciiTheme="minorEastAsia" w:hAnsiTheme="minorEastAsia"/>
          <w:kern w:val="0"/>
          <w:sz w:val="24"/>
        </w:rPr>
        <w:t>公司</w:t>
      </w:r>
      <w:r>
        <w:rPr>
          <w:rFonts w:hint="eastAsia" w:cs="宋体" w:asciiTheme="minorEastAsia" w:hAnsiTheme="minorEastAsia"/>
          <w:kern w:val="0"/>
          <w:sz w:val="24"/>
        </w:rPr>
        <w:t>已经披露的</w:t>
      </w:r>
      <w:r>
        <w:rPr>
          <w:rFonts w:cs="宋体" w:asciiTheme="minorEastAsia" w:hAnsiTheme="minorEastAsia"/>
          <w:kern w:val="0"/>
          <w:sz w:val="24"/>
        </w:rPr>
        <w:t>募集资金</w:t>
      </w:r>
      <w:r>
        <w:rPr>
          <w:rFonts w:hint="eastAsia" w:cs="宋体" w:asciiTheme="minorEastAsia" w:hAnsiTheme="minorEastAsia"/>
          <w:kern w:val="0"/>
          <w:sz w:val="24"/>
        </w:rPr>
        <w:t>相关信息不存在不</w:t>
      </w:r>
      <w:r>
        <w:rPr>
          <w:rFonts w:cs="宋体" w:asciiTheme="minorEastAsia" w:hAnsiTheme="minorEastAsia"/>
          <w:kern w:val="0"/>
          <w:sz w:val="24"/>
        </w:rPr>
        <w:t>及时、真实、准确、完整披露的情况</w:t>
      </w:r>
      <w:r>
        <w:rPr>
          <w:rFonts w:hint="eastAsia" w:cs="宋体" w:asciiTheme="minorEastAsia" w:hAnsiTheme="minorEastAsia"/>
          <w:kern w:val="0"/>
          <w:sz w:val="24"/>
        </w:rPr>
        <w:t>；已使用的募集资金均投向所承诺的募集资金投资项目，不存在违规使用募集资金的重大情形。</w:t>
      </w:r>
    </w:p>
    <w:p>
      <w:pPr>
        <w:spacing w:line="360" w:lineRule="auto"/>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2022年8月30日</w:t>
      </w:r>
    </w:p>
    <w:p>
      <w:pPr>
        <w:spacing w:line="360" w:lineRule="auto"/>
      </w:pPr>
    </w:p>
    <w:p>
      <w:pPr>
        <w:spacing w:line="360" w:lineRule="auto"/>
      </w:pPr>
    </w:p>
    <w:p>
      <w:pPr>
        <w:spacing w:line="360" w:lineRule="auto"/>
        <w:sectPr>
          <w:pgSz w:w="11906" w:h="16838"/>
          <w:pgMar w:top="1440" w:right="1800" w:bottom="1440" w:left="1800" w:header="851" w:footer="992" w:gutter="0"/>
          <w:cols w:space="425" w:num="1"/>
          <w:docGrid w:type="lines" w:linePitch="312" w:charSpace="0"/>
        </w:sectPr>
      </w:pPr>
    </w:p>
    <w:p>
      <w:pPr>
        <w:ind w:right="420"/>
        <w:rPr>
          <w:rFonts w:ascii="宋体" w:hAnsi="宋体" w:cs="宋体"/>
          <w:b/>
          <w:bCs/>
          <w:kern w:val="0"/>
          <w:sz w:val="24"/>
        </w:rPr>
      </w:pPr>
      <w:r>
        <w:rPr>
          <w:rFonts w:hint="eastAsia" w:ascii="宋体" w:hAnsi="宋体" w:cs="宋体"/>
          <w:b/>
          <w:bCs/>
          <w:kern w:val="0"/>
          <w:sz w:val="24"/>
        </w:rPr>
        <w:t>附件1：</w:t>
      </w:r>
    </w:p>
    <w:p>
      <w:pPr>
        <w:ind w:right="420"/>
        <w:jc w:val="center"/>
        <w:rPr>
          <w:rFonts w:ascii="黑体" w:hAnsi="宋体" w:eastAsia="黑体" w:cs="宋体"/>
          <w:b/>
          <w:bCs/>
          <w:kern w:val="0"/>
          <w:sz w:val="28"/>
          <w:szCs w:val="28"/>
        </w:rPr>
      </w:pPr>
      <w:r>
        <w:rPr>
          <w:rFonts w:hint="eastAsia" w:ascii="黑体" w:hAnsi="宋体" w:eastAsia="黑体" w:cs="宋体"/>
          <w:b/>
          <w:bCs/>
          <w:kern w:val="0"/>
          <w:sz w:val="28"/>
          <w:szCs w:val="28"/>
        </w:rPr>
        <w:t>募集资金使用情况对照表</w:t>
      </w:r>
    </w:p>
    <w:p>
      <w:pPr>
        <w:ind w:right="420"/>
        <w:jc w:val="center"/>
        <w:rPr>
          <w:rFonts w:ascii="宋体" w:hAnsi="宋体" w:cs="宋体"/>
          <w:kern w:val="0"/>
          <w:szCs w:val="21"/>
        </w:rPr>
      </w:pPr>
      <w:r>
        <w:rPr>
          <w:rFonts w:hint="eastAsia" w:ascii="宋体" w:hAnsi="宋体" w:cs="宋体"/>
          <w:kern w:val="0"/>
          <w:szCs w:val="21"/>
        </w:rPr>
        <w:t>2022年上半年</w:t>
      </w:r>
    </w:p>
    <w:p>
      <w:pPr>
        <w:ind w:left="-2" w:leftChars="-1" w:right="-982"/>
        <w:rPr>
          <w:rFonts w:ascii="宋体" w:hAnsi="宋体"/>
          <w:szCs w:val="21"/>
        </w:rPr>
      </w:pPr>
      <w:r>
        <w:rPr>
          <w:rFonts w:hint="eastAsia" w:ascii="宋体" w:hAnsi="宋体" w:cs="宋体"/>
          <w:kern w:val="0"/>
          <w:szCs w:val="21"/>
        </w:rPr>
        <w:t>编制单位：江苏吴中医药发展股份有限公司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单位：人民币万元</w:t>
      </w:r>
      <w:r>
        <w:rPr>
          <w:rFonts w:hint="eastAsia" w:ascii="宋体" w:hAnsi="宋体" w:cs="宋体"/>
          <w:kern w:val="0"/>
          <w:szCs w:val="21"/>
        </w:rPr>
        <w:tab/>
      </w:r>
    </w:p>
    <w:tbl>
      <w:tblPr>
        <w:tblStyle w:val="5"/>
        <w:tblW w:w="14492" w:type="dxa"/>
        <w:tblInd w:w="-318" w:type="dxa"/>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2161"/>
        <w:gridCol w:w="847"/>
        <w:gridCol w:w="1026"/>
        <w:gridCol w:w="1026"/>
        <w:gridCol w:w="927"/>
        <w:gridCol w:w="1035"/>
        <w:gridCol w:w="1103"/>
        <w:gridCol w:w="1493"/>
        <w:gridCol w:w="1249"/>
        <w:gridCol w:w="969"/>
        <w:gridCol w:w="972"/>
        <w:gridCol w:w="828"/>
        <w:gridCol w:w="856"/>
      </w:tblGrid>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募集资金总额</w:t>
            </w:r>
          </w:p>
        </w:tc>
        <w:tc>
          <w:tcPr>
            <w:tcW w:w="2988" w:type="dxa"/>
            <w:gridSpan w:val="3"/>
            <w:shd w:val="clear" w:color="auto" w:fill="auto"/>
            <w:vAlign w:val="center"/>
          </w:tcPr>
          <w:p>
            <w:pPr>
              <w:widowControl/>
              <w:jc w:val="center"/>
              <w:rPr>
                <w:rFonts w:ascii="宋体" w:hAnsi="宋体" w:cs="宋体"/>
                <w:kern w:val="0"/>
                <w:sz w:val="18"/>
                <w:szCs w:val="18"/>
              </w:rPr>
            </w:pPr>
            <w:r>
              <w:rPr>
                <w:rFonts w:ascii="宋体" w:hAnsi="宋体"/>
                <w:sz w:val="18"/>
                <w:szCs w:val="18"/>
              </w:rPr>
              <w:t>50</w:t>
            </w:r>
            <w:r>
              <w:rPr>
                <w:rFonts w:hint="eastAsia" w:ascii="宋体" w:hAnsi="宋体"/>
                <w:sz w:val="18"/>
                <w:szCs w:val="18"/>
              </w:rPr>
              <w:t>,</w:t>
            </w:r>
            <w:r>
              <w:rPr>
                <w:rFonts w:ascii="宋体" w:hAnsi="宋体"/>
                <w:sz w:val="18"/>
                <w:szCs w:val="18"/>
              </w:rPr>
              <w:t>237.73</w:t>
            </w:r>
          </w:p>
        </w:tc>
        <w:tc>
          <w:tcPr>
            <w:tcW w:w="3845" w:type="dxa"/>
            <w:gridSpan w:val="3"/>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本年度投入募集资金总额</w:t>
            </w:r>
          </w:p>
        </w:tc>
        <w:tc>
          <w:tcPr>
            <w:tcW w:w="3625" w:type="dxa"/>
            <w:gridSpan w:val="4"/>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190.24</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变更用途的募集资金总额</w:t>
            </w:r>
          </w:p>
        </w:tc>
        <w:tc>
          <w:tcPr>
            <w:tcW w:w="2988" w:type="dxa"/>
            <w:gridSpan w:val="3"/>
            <w:shd w:val="clear" w:color="auto" w:fill="auto"/>
            <w:vAlign w:val="center"/>
          </w:tcPr>
          <w:p>
            <w:pPr>
              <w:widowControl/>
              <w:jc w:val="center"/>
              <w:rPr>
                <w:rFonts w:ascii="宋体" w:hAnsi="宋体" w:cs="宋体"/>
                <w:kern w:val="0"/>
                <w:sz w:val="18"/>
                <w:szCs w:val="18"/>
              </w:rPr>
            </w:pPr>
            <w:r>
              <w:rPr>
                <w:rFonts w:ascii="宋体" w:hAnsi="宋体"/>
                <w:sz w:val="18"/>
                <w:szCs w:val="18"/>
              </w:rPr>
              <w:t>14,983.82</w:t>
            </w:r>
          </w:p>
        </w:tc>
        <w:tc>
          <w:tcPr>
            <w:tcW w:w="3845" w:type="dxa"/>
            <w:gridSpan w:val="3"/>
            <w:vMerge w:val="restar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已累计投入募集资金总额</w:t>
            </w:r>
          </w:p>
        </w:tc>
        <w:tc>
          <w:tcPr>
            <w:tcW w:w="3625" w:type="dxa"/>
            <w:gridSpan w:val="4"/>
            <w:vMerge w:val="restart"/>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48,756.83</w:t>
            </w:r>
          </w:p>
          <w:p>
            <w:pPr>
              <w:widowControl/>
              <w:jc w:val="center"/>
              <w:rPr>
                <w:rFonts w:ascii="宋体" w:hAnsi="宋体" w:cs="宋体"/>
                <w:kern w:val="0"/>
                <w:sz w:val="18"/>
                <w:szCs w:val="18"/>
              </w:rPr>
            </w:pPr>
            <w:r>
              <w:rPr>
                <w:rFonts w:hint="eastAsia" w:ascii="宋体" w:hAnsi="宋体" w:cs="宋体"/>
                <w:kern w:val="0"/>
                <w:sz w:val="18"/>
                <w:szCs w:val="18"/>
              </w:rPr>
              <w:t>（注10）</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变更用途的募集资金总额比例</w:t>
            </w:r>
          </w:p>
        </w:tc>
        <w:tc>
          <w:tcPr>
            <w:tcW w:w="2988" w:type="dxa"/>
            <w:gridSpan w:val="3"/>
            <w:shd w:val="clear" w:color="auto" w:fill="auto"/>
            <w:vAlign w:val="center"/>
          </w:tcPr>
          <w:p>
            <w:pPr>
              <w:widowControl/>
              <w:jc w:val="center"/>
              <w:rPr>
                <w:rFonts w:ascii="宋体" w:hAnsi="宋体" w:cs="宋体"/>
                <w:kern w:val="0"/>
                <w:sz w:val="18"/>
                <w:szCs w:val="18"/>
              </w:rPr>
            </w:pPr>
            <w:r>
              <w:rPr>
                <w:rFonts w:ascii="宋体" w:hAnsi="宋体"/>
                <w:sz w:val="18"/>
                <w:szCs w:val="18"/>
              </w:rPr>
              <w:t>29.83%</w:t>
            </w:r>
          </w:p>
        </w:tc>
        <w:tc>
          <w:tcPr>
            <w:tcW w:w="3845" w:type="dxa"/>
            <w:gridSpan w:val="3"/>
            <w:vMerge w:val="continue"/>
            <w:vAlign w:val="center"/>
          </w:tcPr>
          <w:p>
            <w:pPr>
              <w:widowControl/>
              <w:jc w:val="center"/>
              <w:rPr>
                <w:rFonts w:ascii="宋体" w:hAnsi="宋体" w:cs="宋体"/>
                <w:kern w:val="0"/>
                <w:sz w:val="18"/>
                <w:szCs w:val="18"/>
              </w:rPr>
            </w:pPr>
          </w:p>
        </w:tc>
        <w:tc>
          <w:tcPr>
            <w:tcW w:w="3625" w:type="dxa"/>
            <w:gridSpan w:val="4"/>
            <w:vMerge w:val="continue"/>
            <w:vAlign w:val="center"/>
          </w:tcPr>
          <w:p>
            <w:pPr>
              <w:widowControl/>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center"/>
              <w:rPr>
                <w:rFonts w:ascii="宋体" w:hAnsi="宋体"/>
                <w:kern w:val="0"/>
                <w:sz w:val="18"/>
                <w:szCs w:val="18"/>
              </w:rPr>
            </w:pPr>
            <w:r>
              <w:rPr>
                <w:rFonts w:hint="eastAsia" w:ascii="宋体" w:hAnsi="宋体"/>
                <w:kern w:val="0"/>
                <w:sz w:val="18"/>
                <w:szCs w:val="18"/>
              </w:rPr>
              <w:t>承诺投资项目</w:t>
            </w:r>
          </w:p>
        </w:tc>
        <w:tc>
          <w:tcPr>
            <w:tcW w:w="847" w:type="dxa"/>
            <w:shd w:val="clear" w:color="auto" w:fill="auto"/>
            <w:vAlign w:val="center"/>
          </w:tcPr>
          <w:p>
            <w:pPr>
              <w:jc w:val="center"/>
              <w:rPr>
                <w:rFonts w:ascii="宋体" w:hAnsi="宋体"/>
                <w:kern w:val="0"/>
                <w:sz w:val="18"/>
                <w:szCs w:val="18"/>
              </w:rPr>
            </w:pPr>
            <w:r>
              <w:rPr>
                <w:rFonts w:hint="eastAsia" w:ascii="宋体" w:hAnsi="宋体"/>
                <w:kern w:val="0"/>
                <w:sz w:val="18"/>
                <w:szCs w:val="18"/>
              </w:rPr>
              <w:t>已变更项目(含部分变更)</w:t>
            </w:r>
          </w:p>
        </w:tc>
        <w:tc>
          <w:tcPr>
            <w:tcW w:w="1026" w:type="dxa"/>
            <w:vAlign w:val="center"/>
          </w:tcPr>
          <w:p>
            <w:pPr>
              <w:widowControl/>
              <w:jc w:val="center"/>
              <w:rPr>
                <w:rFonts w:ascii="宋体" w:hAnsi="宋体" w:cs="宋体"/>
                <w:kern w:val="0"/>
                <w:sz w:val="18"/>
                <w:szCs w:val="18"/>
              </w:rPr>
            </w:pPr>
            <w:r>
              <w:rPr>
                <w:rFonts w:hint="eastAsia" w:ascii="宋体" w:hAnsi="宋体" w:cs="宋体"/>
                <w:kern w:val="0"/>
                <w:sz w:val="18"/>
                <w:szCs w:val="18"/>
              </w:rPr>
              <w:t>募集资金承诺投资总额</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调整后投资总额</w:t>
            </w:r>
          </w:p>
        </w:tc>
        <w:tc>
          <w:tcPr>
            <w:tcW w:w="927" w:type="dxa"/>
            <w:shd w:val="clear" w:color="auto" w:fill="auto"/>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截至期末承诺投入金额</w:t>
            </w:r>
          </w:p>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(1)</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w:t>
            </w:r>
          </w:p>
          <w:p>
            <w:pPr>
              <w:widowControl/>
              <w:jc w:val="center"/>
              <w:rPr>
                <w:rFonts w:ascii="宋体" w:hAnsi="宋体" w:cs="宋体"/>
                <w:kern w:val="0"/>
                <w:sz w:val="18"/>
                <w:szCs w:val="18"/>
              </w:rPr>
            </w:pPr>
            <w:r>
              <w:rPr>
                <w:rFonts w:hint="eastAsia" w:ascii="宋体" w:hAnsi="宋体" w:cs="宋体"/>
                <w:kern w:val="0"/>
                <w:sz w:val="18"/>
                <w:szCs w:val="18"/>
              </w:rPr>
              <w:t>投入金额</w:t>
            </w:r>
          </w:p>
        </w:tc>
        <w:tc>
          <w:tcPr>
            <w:tcW w:w="1103" w:type="dxa"/>
            <w:shd w:val="clear" w:color="auto" w:fill="auto"/>
            <w:vAlign w:val="center"/>
          </w:tcPr>
          <w:p>
            <w:pPr>
              <w:widowControl/>
              <w:ind w:left="-162" w:leftChars="-77" w:right="-107" w:rightChars="-51"/>
              <w:jc w:val="center"/>
              <w:rPr>
                <w:rFonts w:ascii="宋体" w:hAnsi="宋体" w:cs="宋体"/>
                <w:kern w:val="0"/>
                <w:sz w:val="18"/>
                <w:szCs w:val="18"/>
              </w:rPr>
            </w:pPr>
            <w:r>
              <w:rPr>
                <w:rFonts w:hint="eastAsia" w:ascii="宋体" w:hAnsi="宋体" w:cs="宋体"/>
                <w:kern w:val="0"/>
                <w:sz w:val="18"/>
                <w:szCs w:val="18"/>
              </w:rPr>
              <w:t>截至期末</w:t>
            </w:r>
          </w:p>
          <w:p>
            <w:pPr>
              <w:widowControl/>
              <w:ind w:left="-162" w:leftChars="-77" w:right="-107" w:rightChars="-51"/>
              <w:jc w:val="center"/>
              <w:rPr>
                <w:rFonts w:ascii="宋体" w:hAnsi="宋体" w:cs="宋体"/>
                <w:kern w:val="0"/>
                <w:sz w:val="18"/>
                <w:szCs w:val="18"/>
              </w:rPr>
            </w:pPr>
            <w:r>
              <w:rPr>
                <w:rFonts w:hint="eastAsia" w:ascii="宋体" w:hAnsi="宋体" w:cs="宋体"/>
                <w:kern w:val="0"/>
                <w:sz w:val="18"/>
                <w:szCs w:val="18"/>
              </w:rPr>
              <w:t>累计投入金额</w:t>
            </w:r>
          </w:p>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(2)</w:t>
            </w:r>
          </w:p>
        </w:tc>
        <w:tc>
          <w:tcPr>
            <w:tcW w:w="1493" w:type="dxa"/>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截至期末累计投入金额与承诺投入金额的差额</w:t>
            </w:r>
          </w:p>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(3)＝(2)-(1)</w:t>
            </w:r>
          </w:p>
        </w:tc>
        <w:tc>
          <w:tcPr>
            <w:tcW w:w="1249" w:type="dxa"/>
            <w:shd w:val="clear" w:color="auto" w:fill="auto"/>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截至期末投入进度(%)</w:t>
            </w:r>
          </w:p>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(4)＝(2)/(1)</w:t>
            </w:r>
          </w:p>
        </w:tc>
        <w:tc>
          <w:tcPr>
            <w:tcW w:w="969"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项目达到预定可使用状态日期</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本年度实现的效益</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是否达到预计效益</w:t>
            </w:r>
          </w:p>
        </w:tc>
        <w:tc>
          <w:tcPr>
            <w:tcW w:w="856" w:type="dxa"/>
            <w:shd w:val="clear" w:color="auto" w:fill="auto"/>
            <w:vAlign w:val="center"/>
          </w:tcPr>
          <w:p>
            <w:pPr>
              <w:widowControl/>
              <w:ind w:left="-107" w:leftChars="-51" w:right="-107" w:rightChars="-51"/>
              <w:jc w:val="center"/>
              <w:rPr>
                <w:rFonts w:ascii="宋体" w:hAnsi="宋体" w:cs="宋体"/>
                <w:kern w:val="0"/>
                <w:sz w:val="18"/>
                <w:szCs w:val="18"/>
              </w:rPr>
            </w:pPr>
            <w:r>
              <w:rPr>
                <w:rFonts w:hint="eastAsia" w:ascii="宋体" w:hAnsi="宋体" w:cs="宋体"/>
                <w:kern w:val="0"/>
                <w:sz w:val="18"/>
                <w:szCs w:val="18"/>
              </w:rPr>
              <w:t>项目可行性是否发生重大变化</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center"/>
              <w:rPr>
                <w:rFonts w:ascii="宋体" w:hAnsi="宋体"/>
                <w:kern w:val="0"/>
                <w:sz w:val="18"/>
                <w:szCs w:val="18"/>
              </w:rPr>
            </w:pPr>
            <w:r>
              <w:rPr>
                <w:rFonts w:hint="eastAsia"/>
                <w:sz w:val="18"/>
                <w:szCs w:val="18"/>
              </w:rPr>
              <w:t>国家一类生物抗癌新药重组人血管内皮抑素注射液研发项目</w:t>
            </w:r>
          </w:p>
        </w:tc>
        <w:tc>
          <w:tcPr>
            <w:tcW w:w="847" w:type="dxa"/>
            <w:shd w:val="clear" w:color="auto" w:fill="auto"/>
            <w:vAlign w:val="center"/>
          </w:tcPr>
          <w:p>
            <w:pPr>
              <w:jc w:val="center"/>
              <w:rPr>
                <w:rFonts w:ascii="宋体" w:hAnsi="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15,610.00</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3,493.63</w:t>
            </w:r>
          </w:p>
        </w:tc>
        <w:tc>
          <w:tcPr>
            <w:tcW w:w="927"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4</w:t>
            </w:r>
            <w:r>
              <w:rPr>
                <w:rFonts w:hint="eastAsia" w:ascii="宋体" w:hAnsi="宋体"/>
                <w:kern w:val="0"/>
                <w:sz w:val="18"/>
                <w:szCs w:val="18"/>
              </w:rPr>
              <w:t>,</w:t>
            </w:r>
            <w:r>
              <w:rPr>
                <w:rFonts w:ascii="宋体" w:hAnsi="宋体"/>
                <w:kern w:val="0"/>
                <w:sz w:val="18"/>
                <w:szCs w:val="18"/>
              </w:rPr>
              <w:t>515.88</w:t>
            </w:r>
          </w:p>
        </w:tc>
        <w:tc>
          <w:tcPr>
            <w:tcW w:w="1493" w:type="dxa"/>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center"/>
              <w:rPr>
                <w:rFonts w:ascii="宋体" w:hAnsi="宋体"/>
                <w:sz w:val="18"/>
                <w:szCs w:val="18"/>
              </w:rPr>
            </w:pPr>
            <w:r>
              <w:rPr>
                <w:rFonts w:hint="eastAsia" w:ascii="宋体" w:hAnsi="宋体"/>
                <w:sz w:val="18"/>
                <w:szCs w:val="18"/>
              </w:rPr>
              <w:t>2019.12</w:t>
            </w:r>
          </w:p>
          <w:p>
            <w:pPr>
              <w:widowControl/>
              <w:jc w:val="center"/>
              <w:rPr>
                <w:rFonts w:ascii="宋体" w:hAnsi="宋体" w:cs="宋体"/>
                <w:kern w:val="0"/>
                <w:sz w:val="18"/>
                <w:szCs w:val="18"/>
              </w:rPr>
            </w:pPr>
            <w:r>
              <w:rPr>
                <w:rFonts w:hint="eastAsia" w:ascii="宋体" w:hAnsi="宋体"/>
                <w:sz w:val="18"/>
                <w:szCs w:val="18"/>
              </w:rPr>
              <w:t>（注6）</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ind w:firstLine="180" w:firstLineChars="100"/>
              <w:jc w:val="center"/>
              <w:rPr>
                <w:rFonts w:ascii="宋体" w:hAnsi="宋体"/>
                <w:kern w:val="0"/>
                <w:sz w:val="18"/>
                <w:szCs w:val="18"/>
              </w:rPr>
            </w:pPr>
            <w:r>
              <w:rPr>
                <w:rFonts w:hint="eastAsia" w:ascii="宋体" w:hAnsi="宋体"/>
                <w:kern w:val="0"/>
                <w:sz w:val="18"/>
                <w:szCs w:val="18"/>
              </w:rPr>
              <w:t>是</w:t>
            </w:r>
          </w:p>
          <w:p>
            <w:pPr>
              <w:widowControl/>
              <w:jc w:val="center"/>
              <w:rPr>
                <w:rFonts w:ascii="宋体" w:hAnsi="宋体"/>
                <w:kern w:val="0"/>
                <w:sz w:val="18"/>
                <w:szCs w:val="18"/>
              </w:rPr>
            </w:pPr>
            <w:r>
              <w:rPr>
                <w:rFonts w:hint="eastAsia" w:ascii="宋体" w:hAnsi="宋体"/>
                <w:kern w:val="0"/>
                <w:sz w:val="18"/>
                <w:szCs w:val="18"/>
              </w:rPr>
              <w:t>（注7）</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sz w:val="18"/>
                <w:szCs w:val="18"/>
              </w:rPr>
              <w:t>原料药（河东）、制剂（河西）调整改建项目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4,600.00</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4,600.00</w:t>
            </w:r>
          </w:p>
        </w:tc>
        <w:tc>
          <w:tcPr>
            <w:tcW w:w="927"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4</w:t>
            </w:r>
            <w:r>
              <w:rPr>
                <w:rFonts w:hint="eastAsia" w:ascii="宋体" w:hAnsi="宋体"/>
                <w:kern w:val="0"/>
                <w:sz w:val="18"/>
                <w:szCs w:val="18"/>
              </w:rPr>
              <w:t>,</w:t>
            </w:r>
            <w:r>
              <w:rPr>
                <w:rFonts w:ascii="宋体" w:hAnsi="宋体"/>
                <w:kern w:val="0"/>
                <w:sz w:val="18"/>
                <w:szCs w:val="18"/>
              </w:rPr>
              <w:t>649.6</w:t>
            </w:r>
            <w:r>
              <w:rPr>
                <w:rFonts w:hint="eastAsia" w:ascii="宋体" w:hAnsi="宋体"/>
                <w:kern w:val="0"/>
                <w:sz w:val="18"/>
                <w:szCs w:val="18"/>
              </w:rPr>
              <w:t>8</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cs="宋体"/>
                <w:kern w:val="0"/>
                <w:sz w:val="18"/>
                <w:szCs w:val="18"/>
              </w:rPr>
            </w:pPr>
            <w:r>
              <w:rPr>
                <w:rFonts w:ascii="宋体" w:hAnsi="宋体"/>
                <w:sz w:val="18"/>
                <w:szCs w:val="18"/>
              </w:rPr>
              <w:t>2017.07</w:t>
            </w:r>
          </w:p>
        </w:tc>
        <w:tc>
          <w:tcPr>
            <w:tcW w:w="972" w:type="dxa"/>
            <w:shd w:val="clear" w:color="auto" w:fill="auto"/>
            <w:vAlign w:val="center"/>
          </w:tcPr>
          <w:p>
            <w:pPr>
              <w:widowControl/>
              <w:ind w:right="90"/>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187.32</w:t>
            </w:r>
          </w:p>
          <w:p>
            <w:pPr>
              <w:widowControl/>
              <w:jc w:val="center"/>
              <w:rPr>
                <w:rFonts w:ascii="宋体" w:hAnsi="宋体" w:cs="宋体"/>
                <w:kern w:val="0"/>
                <w:sz w:val="18"/>
                <w:szCs w:val="18"/>
              </w:rPr>
            </w:pPr>
            <w:r>
              <w:rPr>
                <w:rFonts w:hint="eastAsia" w:ascii="宋体" w:hAnsi="宋体"/>
                <w:kern w:val="0"/>
                <w:sz w:val="18"/>
                <w:szCs w:val="18"/>
              </w:rPr>
              <w:t>（注3）</w:t>
            </w:r>
          </w:p>
        </w:tc>
        <w:tc>
          <w:tcPr>
            <w:tcW w:w="828"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否</w:t>
            </w:r>
          </w:p>
          <w:p>
            <w:pPr>
              <w:widowControl/>
              <w:jc w:val="center"/>
              <w:rPr>
                <w:rFonts w:ascii="宋体" w:hAnsi="宋体"/>
                <w:kern w:val="0"/>
                <w:sz w:val="18"/>
                <w:szCs w:val="18"/>
              </w:rPr>
            </w:pPr>
            <w:r>
              <w:rPr>
                <w:rFonts w:hint="eastAsia" w:ascii="宋体" w:hAnsi="宋体"/>
                <w:kern w:val="0"/>
                <w:sz w:val="18"/>
                <w:szCs w:val="18"/>
              </w:rPr>
              <w:t>（注4）</w:t>
            </w:r>
          </w:p>
        </w:tc>
        <w:tc>
          <w:tcPr>
            <w:tcW w:w="856"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sz w:val="18"/>
                <w:szCs w:val="18"/>
              </w:rPr>
              <w:t>原料药二期项目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2,867.45</w:t>
            </w:r>
          </w:p>
        </w:tc>
        <w:tc>
          <w:tcPr>
            <w:tcW w:w="927"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ascii="宋体" w:hAnsi="宋体"/>
                <w:kern w:val="0"/>
                <w:sz w:val="18"/>
                <w:szCs w:val="18"/>
              </w:rPr>
              <w:t>0</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2,627.7</w:t>
            </w:r>
            <w:r>
              <w:rPr>
                <w:rFonts w:hint="eastAsia" w:ascii="宋体" w:hAnsi="宋体"/>
                <w:kern w:val="0"/>
                <w:sz w:val="18"/>
                <w:szCs w:val="18"/>
              </w:rPr>
              <w:t>1</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sz w:val="18"/>
                <w:szCs w:val="18"/>
              </w:rPr>
            </w:pPr>
            <w:r>
              <w:rPr>
                <w:rFonts w:hint="eastAsia" w:ascii="宋体" w:hAnsi="宋体"/>
                <w:sz w:val="18"/>
                <w:szCs w:val="18"/>
              </w:rPr>
              <w:t>2022.09</w:t>
            </w:r>
          </w:p>
          <w:p>
            <w:pPr>
              <w:widowControl/>
              <w:jc w:val="center"/>
              <w:rPr>
                <w:rFonts w:ascii="宋体" w:hAnsi="宋体" w:cs="宋体"/>
                <w:kern w:val="0"/>
                <w:sz w:val="18"/>
                <w:szCs w:val="18"/>
              </w:rPr>
            </w:pPr>
            <w:r>
              <w:rPr>
                <w:rFonts w:hint="eastAsia" w:ascii="宋体" w:hAnsi="宋体" w:cs="宋体"/>
                <w:kern w:val="0"/>
                <w:sz w:val="18"/>
                <w:szCs w:val="18"/>
              </w:rPr>
              <w:t>（注8）</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sz w:val="18"/>
                <w:szCs w:val="18"/>
              </w:rPr>
              <w:t>药品自动化立体仓库项目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3,679.68</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812.23</w:t>
            </w:r>
          </w:p>
        </w:tc>
        <w:tc>
          <w:tcPr>
            <w:tcW w:w="927"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874.70</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center"/>
              <w:rPr>
                <w:rFonts w:ascii="宋体" w:hAnsi="宋体"/>
                <w:sz w:val="18"/>
                <w:szCs w:val="18"/>
              </w:rPr>
            </w:pPr>
            <w:r>
              <w:rPr>
                <w:rFonts w:ascii="宋体" w:hAnsi="宋体"/>
                <w:sz w:val="18"/>
                <w:szCs w:val="18"/>
              </w:rPr>
              <w:t>20</w:t>
            </w:r>
            <w:r>
              <w:rPr>
                <w:rFonts w:hint="eastAsia" w:ascii="宋体" w:hAnsi="宋体"/>
                <w:sz w:val="18"/>
                <w:szCs w:val="18"/>
              </w:rPr>
              <w:t>16.11</w:t>
            </w:r>
          </w:p>
          <w:p>
            <w:pPr>
              <w:widowControl/>
              <w:jc w:val="center"/>
              <w:rPr>
                <w:rFonts w:ascii="宋体" w:hAnsi="宋体" w:cs="宋体"/>
                <w:kern w:val="0"/>
                <w:sz w:val="18"/>
                <w:szCs w:val="18"/>
              </w:rPr>
            </w:pPr>
            <w:r>
              <w:rPr>
                <w:rFonts w:hint="eastAsia" w:ascii="宋体" w:hAnsi="宋体"/>
                <w:sz w:val="18"/>
                <w:szCs w:val="18"/>
              </w:rPr>
              <w:t>（注1）</w:t>
            </w:r>
          </w:p>
        </w:tc>
        <w:tc>
          <w:tcPr>
            <w:tcW w:w="972" w:type="dxa"/>
            <w:shd w:val="clear" w:color="auto" w:fill="auto"/>
            <w:vAlign w:val="center"/>
          </w:tcPr>
          <w:p>
            <w:pPr>
              <w:widowControl/>
              <w:jc w:val="center"/>
              <w:rPr>
                <w:rFonts w:ascii="宋体" w:hAnsi="宋体"/>
                <w:kern w:val="0"/>
                <w:sz w:val="18"/>
                <w:szCs w:val="18"/>
              </w:rPr>
            </w:pPr>
            <w:r>
              <w:rPr>
                <w:rFonts w:ascii="宋体" w:hAnsi="宋体"/>
                <w:kern w:val="0"/>
                <w:sz w:val="18"/>
                <w:szCs w:val="18"/>
              </w:rPr>
              <w:t>-200.62</w:t>
            </w:r>
          </w:p>
          <w:p>
            <w:pPr>
              <w:widowControl/>
              <w:jc w:val="center"/>
              <w:rPr>
                <w:rFonts w:ascii="宋体" w:hAnsi="宋体" w:cs="宋体"/>
                <w:kern w:val="0"/>
                <w:sz w:val="18"/>
                <w:szCs w:val="18"/>
              </w:rPr>
            </w:pPr>
            <w:r>
              <w:rPr>
                <w:rFonts w:ascii="宋体" w:hAnsi="宋体"/>
                <w:kern w:val="0"/>
                <w:sz w:val="18"/>
                <w:szCs w:val="18"/>
              </w:rPr>
              <w:t>(</w:t>
            </w:r>
            <w:r>
              <w:rPr>
                <w:rFonts w:hint="eastAsia" w:ascii="宋体" w:hAnsi="宋体"/>
                <w:kern w:val="0"/>
                <w:sz w:val="18"/>
                <w:szCs w:val="18"/>
              </w:rPr>
              <w:t>注5)</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ind w:firstLine="180" w:firstLineChars="100"/>
              <w:jc w:val="center"/>
              <w:rPr>
                <w:rFonts w:ascii="宋体" w:hAnsi="宋体"/>
                <w:kern w:val="0"/>
                <w:sz w:val="18"/>
                <w:szCs w:val="18"/>
              </w:rPr>
            </w:pPr>
            <w:r>
              <w:rPr>
                <w:rFonts w:hint="eastAsia" w:ascii="宋体" w:hAnsi="宋体"/>
                <w:kern w:val="0"/>
                <w:sz w:val="18"/>
                <w:szCs w:val="18"/>
              </w:rPr>
              <w:t>是</w:t>
            </w:r>
          </w:p>
          <w:p>
            <w:pPr>
              <w:widowControl/>
              <w:jc w:val="center"/>
              <w:rPr>
                <w:rFonts w:ascii="宋体" w:hAnsi="宋体" w:cs="宋体"/>
                <w:kern w:val="0"/>
                <w:sz w:val="18"/>
                <w:szCs w:val="18"/>
              </w:rPr>
            </w:pPr>
            <w:r>
              <w:rPr>
                <w:rFonts w:hint="eastAsia" w:ascii="宋体" w:hAnsi="宋体" w:cs="宋体"/>
                <w:kern w:val="0"/>
                <w:sz w:val="18"/>
                <w:szCs w:val="18"/>
              </w:rPr>
              <w:t>（注2）</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sz w:val="18"/>
                <w:szCs w:val="18"/>
              </w:rPr>
              <w:t>医药营销网络建设项目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6,900.00</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6,900.00</w:t>
            </w:r>
          </w:p>
        </w:tc>
        <w:tc>
          <w:tcPr>
            <w:tcW w:w="927" w:type="dxa"/>
            <w:shd w:val="clear" w:color="auto" w:fill="auto"/>
            <w:vAlign w:val="center"/>
          </w:tcPr>
          <w:p>
            <w:pPr>
              <w:widowControl/>
              <w:ind w:left="-107" w:leftChars="-51"/>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981.05</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2017.10</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sz w:val="18"/>
                <w:szCs w:val="18"/>
              </w:rPr>
              <w:t>医药研发中心项目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10,600.00</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10,600.00</w:t>
            </w:r>
          </w:p>
        </w:tc>
        <w:tc>
          <w:tcPr>
            <w:tcW w:w="92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11,100.62</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center"/>
              <w:rPr>
                <w:rFonts w:ascii="宋体" w:hAnsi="宋体" w:cs="宋体"/>
                <w:kern w:val="0"/>
                <w:sz w:val="18"/>
                <w:szCs w:val="18"/>
              </w:rPr>
            </w:pPr>
            <w:r>
              <w:rPr>
                <w:rFonts w:hint="eastAsia" w:ascii="宋体" w:hAnsi="宋体"/>
                <w:sz w:val="18"/>
                <w:szCs w:val="18"/>
              </w:rPr>
              <w:t>2019.12</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补充医药业务营运资金</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10,000.00</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8,848.05</w:t>
            </w:r>
          </w:p>
        </w:tc>
        <w:tc>
          <w:tcPr>
            <w:tcW w:w="92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8,890.70</w:t>
            </w: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抗肿瘤 1 类新药 YS001的研发项目</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cs="宋体"/>
                <w:kern w:val="0"/>
                <w:sz w:val="18"/>
                <w:szCs w:val="18"/>
              </w:rPr>
            </w:pPr>
            <w:r>
              <w:rPr>
                <w:rFonts w:hint="eastAsia" w:ascii="宋体" w:hAnsi="宋体"/>
                <w:sz w:val="18"/>
                <w:szCs w:val="18"/>
              </w:rPr>
              <w:t>——</w:t>
            </w:r>
          </w:p>
        </w:tc>
        <w:tc>
          <w:tcPr>
            <w:tcW w:w="1026"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3,500.00</w:t>
            </w:r>
          </w:p>
        </w:tc>
        <w:tc>
          <w:tcPr>
            <w:tcW w:w="927"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kern w:val="0"/>
                <w:sz w:val="24"/>
              </w:rPr>
            </w:pPr>
            <w:r>
              <w:rPr>
                <w:rFonts w:hint="eastAsia" w:ascii="宋体" w:hAnsi="宋体"/>
                <w:kern w:val="0"/>
                <w:sz w:val="18"/>
                <w:szCs w:val="18"/>
              </w:rPr>
              <w:t>188.04</w:t>
            </w:r>
          </w:p>
          <w:p>
            <w:pPr>
              <w:widowControl/>
              <w:jc w:val="center"/>
              <w:rPr>
                <w:rFonts w:ascii="宋体" w:hAnsi="宋体" w:cs="宋体"/>
                <w:kern w:val="0"/>
                <w:sz w:val="18"/>
                <w:szCs w:val="18"/>
              </w:rPr>
            </w:pPr>
          </w:p>
        </w:tc>
        <w:tc>
          <w:tcPr>
            <w:tcW w:w="1103" w:type="dxa"/>
            <w:shd w:val="clear" w:color="auto" w:fill="auto"/>
            <w:vAlign w:val="center"/>
          </w:tcPr>
          <w:p>
            <w:pPr>
              <w:widowControl/>
              <w:jc w:val="center"/>
              <w:rPr>
                <w:kern w:val="0"/>
                <w:sz w:val="22"/>
                <w:szCs w:val="22"/>
              </w:rPr>
            </w:pPr>
            <w:r>
              <w:rPr>
                <w:rFonts w:hint="eastAsia" w:ascii="宋体" w:hAnsi="宋体"/>
                <w:kern w:val="0"/>
                <w:sz w:val="18"/>
                <w:szCs w:val="18"/>
              </w:rPr>
              <w:t>2,242.04</w:t>
            </w:r>
          </w:p>
          <w:p>
            <w:pPr>
              <w:widowControl/>
              <w:jc w:val="center"/>
              <w:rPr>
                <w:rFonts w:ascii="宋体" w:hAnsi="宋体"/>
                <w:kern w:val="0"/>
                <w:sz w:val="18"/>
                <w:szCs w:val="18"/>
              </w:rPr>
            </w:pPr>
          </w:p>
        </w:tc>
        <w:tc>
          <w:tcPr>
            <w:tcW w:w="1493" w:type="dxa"/>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wordWrap w:val="0"/>
              <w:jc w:val="center"/>
              <w:rPr>
                <w:rFonts w:ascii="宋体" w:hAnsi="宋体" w:cs="宋体"/>
                <w:kern w:val="0"/>
                <w:sz w:val="18"/>
                <w:szCs w:val="18"/>
              </w:rPr>
            </w:pPr>
            <w:r>
              <w:rPr>
                <w:rFonts w:ascii="宋体" w:hAnsi="宋体"/>
                <w:sz w:val="18"/>
                <w:szCs w:val="18"/>
              </w:rPr>
              <w:t>2024.12(注</w:t>
            </w:r>
            <w:r>
              <w:rPr>
                <w:rFonts w:hint="eastAsia" w:ascii="宋体" w:hAnsi="宋体"/>
                <w:sz w:val="18"/>
                <w:szCs w:val="18"/>
              </w:rPr>
              <w:t>1</w:t>
            </w:r>
            <w:r>
              <w:rPr>
                <w:rFonts w:ascii="宋体" w:hAnsi="宋体"/>
                <w:sz w:val="18"/>
                <w:szCs w:val="18"/>
              </w:rPr>
              <w:t>1</w:t>
            </w:r>
            <w:r>
              <w:rPr>
                <w:rFonts w:hint="eastAsia" w:ascii="宋体" w:hAnsi="宋体"/>
                <w:sz w:val="18"/>
                <w:szCs w:val="18"/>
              </w:rPr>
              <w:t>)</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西洛他唑等上市化学仿制药的一致性评价项目</w:t>
            </w:r>
          </w:p>
        </w:tc>
        <w:tc>
          <w:tcPr>
            <w:tcW w:w="847"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center"/>
              <w:rPr>
                <w:rFonts w:ascii="宋体" w:hAnsi="宋体"/>
                <w:kern w:val="0"/>
                <w:sz w:val="18"/>
                <w:szCs w:val="18"/>
              </w:rPr>
            </w:pPr>
            <w:r>
              <w:rPr>
                <w:rFonts w:ascii="宋体" w:hAnsi="宋体"/>
                <w:sz w:val="18"/>
                <w:szCs w:val="18"/>
              </w:rPr>
              <w:t>1,534.00</w:t>
            </w:r>
          </w:p>
        </w:tc>
        <w:tc>
          <w:tcPr>
            <w:tcW w:w="927"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kern w:val="0"/>
                <w:sz w:val="18"/>
                <w:szCs w:val="18"/>
              </w:rPr>
            </w:pPr>
            <w:r>
              <w:rPr>
                <w:rFonts w:ascii="宋体" w:hAnsi="宋体"/>
                <w:kern w:val="0"/>
                <w:sz w:val="18"/>
                <w:szCs w:val="18"/>
              </w:rPr>
              <w:t>0.46</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730.24</w:t>
            </w:r>
          </w:p>
        </w:tc>
        <w:tc>
          <w:tcPr>
            <w:tcW w:w="1493" w:type="dxa"/>
            <w:vAlign w:val="center"/>
          </w:tcPr>
          <w:p>
            <w:pPr>
              <w:widowControl/>
              <w:jc w:val="center"/>
              <w:rPr>
                <w:rFonts w:ascii="宋体" w:hAnsi="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kern w:val="0"/>
                <w:sz w:val="18"/>
                <w:szCs w:val="18"/>
              </w:rPr>
            </w:pPr>
            <w:r>
              <w:rPr>
                <w:rFonts w:ascii="宋体" w:hAnsi="宋体"/>
                <w:sz w:val="18"/>
                <w:szCs w:val="18"/>
              </w:rPr>
              <w:t>2023.12</w:t>
            </w:r>
          </w:p>
        </w:tc>
        <w:tc>
          <w:tcPr>
            <w:tcW w:w="972"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是</w:t>
            </w:r>
          </w:p>
          <w:p>
            <w:pPr>
              <w:widowControl/>
              <w:jc w:val="center"/>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利奈唑胺与沃诺拉赞的仿制项目</w:t>
            </w:r>
          </w:p>
        </w:tc>
        <w:tc>
          <w:tcPr>
            <w:tcW w:w="847"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是</w:t>
            </w:r>
          </w:p>
        </w:tc>
        <w:tc>
          <w:tcPr>
            <w:tcW w:w="1026" w:type="dxa"/>
            <w:vAlign w:val="center"/>
          </w:tcPr>
          <w:p>
            <w:pPr>
              <w:widowControl/>
              <w:jc w:val="center"/>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center"/>
              <w:rPr>
                <w:rFonts w:ascii="宋体" w:hAnsi="宋体"/>
                <w:kern w:val="0"/>
                <w:sz w:val="18"/>
                <w:szCs w:val="18"/>
              </w:rPr>
            </w:pPr>
            <w:r>
              <w:rPr>
                <w:rFonts w:ascii="宋体" w:hAnsi="宋体"/>
                <w:sz w:val="18"/>
                <w:szCs w:val="18"/>
              </w:rPr>
              <w:t>1,480.37</w:t>
            </w:r>
          </w:p>
        </w:tc>
        <w:tc>
          <w:tcPr>
            <w:tcW w:w="927"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kern w:val="0"/>
                <w:sz w:val="18"/>
                <w:szCs w:val="18"/>
              </w:rPr>
            </w:pPr>
            <w:r>
              <w:rPr>
                <w:rFonts w:ascii="宋体" w:hAnsi="宋体"/>
                <w:kern w:val="0"/>
                <w:sz w:val="18"/>
                <w:szCs w:val="18"/>
              </w:rPr>
              <w:t>1.75</w:t>
            </w:r>
          </w:p>
        </w:tc>
        <w:tc>
          <w:tcPr>
            <w:tcW w:w="1103" w:type="dxa"/>
            <w:shd w:val="clear" w:color="auto" w:fill="auto"/>
            <w:vAlign w:val="center"/>
          </w:tcPr>
          <w:p>
            <w:pPr>
              <w:widowControl/>
              <w:jc w:val="center"/>
              <w:rPr>
                <w:rFonts w:ascii="宋体" w:hAnsi="宋体"/>
                <w:kern w:val="0"/>
                <w:sz w:val="18"/>
                <w:szCs w:val="18"/>
              </w:rPr>
            </w:pPr>
            <w:r>
              <w:rPr>
                <w:rFonts w:ascii="宋体" w:hAnsi="宋体"/>
                <w:kern w:val="0"/>
                <w:sz w:val="18"/>
                <w:szCs w:val="18"/>
              </w:rPr>
              <w:t>542.21</w:t>
            </w:r>
          </w:p>
        </w:tc>
        <w:tc>
          <w:tcPr>
            <w:tcW w:w="1493" w:type="dxa"/>
            <w:vAlign w:val="center"/>
          </w:tcPr>
          <w:p>
            <w:pPr>
              <w:widowControl/>
              <w:jc w:val="center"/>
              <w:rPr>
                <w:rFonts w:ascii="宋体" w:hAnsi="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kern w:val="0"/>
                <w:sz w:val="18"/>
                <w:szCs w:val="18"/>
              </w:rPr>
            </w:pPr>
            <w:r>
              <w:rPr>
                <w:rFonts w:ascii="宋体" w:hAnsi="宋体"/>
                <w:sz w:val="18"/>
                <w:szCs w:val="18"/>
              </w:rPr>
              <w:t>2026.09</w:t>
            </w:r>
          </w:p>
        </w:tc>
        <w:tc>
          <w:tcPr>
            <w:tcW w:w="972"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是</w:t>
            </w:r>
          </w:p>
          <w:p>
            <w:pPr>
              <w:widowControl/>
              <w:jc w:val="center"/>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永久补充流动资金</w:t>
            </w:r>
          </w:p>
        </w:tc>
        <w:tc>
          <w:tcPr>
            <w:tcW w:w="847" w:type="dxa"/>
            <w:shd w:val="clear" w:color="auto" w:fill="auto"/>
            <w:vAlign w:val="center"/>
          </w:tcPr>
          <w:p>
            <w:pPr>
              <w:widowControl/>
              <w:jc w:val="center"/>
              <w:rPr>
                <w:rFonts w:ascii="宋体" w:hAnsi="宋体" w:cs="宋体"/>
                <w:kern w:val="0"/>
                <w:sz w:val="18"/>
                <w:szCs w:val="18"/>
              </w:rPr>
            </w:pPr>
          </w:p>
        </w:tc>
        <w:tc>
          <w:tcPr>
            <w:tcW w:w="1026" w:type="dxa"/>
            <w:vAlign w:val="center"/>
          </w:tcPr>
          <w:p>
            <w:pPr>
              <w:widowControl/>
              <w:jc w:val="center"/>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5,602.00</w:t>
            </w:r>
          </w:p>
        </w:tc>
        <w:tc>
          <w:tcPr>
            <w:tcW w:w="927" w:type="dxa"/>
            <w:shd w:val="clear" w:color="auto" w:fill="auto"/>
            <w:vAlign w:val="center"/>
          </w:tcPr>
          <w:p>
            <w:pPr>
              <w:widowControl/>
              <w:jc w:val="center"/>
              <w:rPr>
                <w:rFonts w:ascii="宋体" w:hAnsi="宋体"/>
                <w:sz w:val="18"/>
                <w:szCs w:val="18"/>
              </w:rPr>
            </w:pPr>
            <w:r>
              <w:rPr>
                <w:rFonts w:hint="eastAsia" w:ascii="宋体" w:hAnsi="宋体"/>
                <w:sz w:val="18"/>
                <w:szCs w:val="18"/>
              </w:rPr>
              <w:t>不适用</w:t>
            </w:r>
          </w:p>
        </w:tc>
        <w:tc>
          <w:tcPr>
            <w:tcW w:w="1035" w:type="dxa"/>
            <w:shd w:val="clear" w:color="auto" w:fill="auto"/>
            <w:vAlign w:val="center"/>
          </w:tcPr>
          <w:p>
            <w:pPr>
              <w:widowControl/>
              <w:jc w:val="center"/>
              <w:rPr>
                <w:rFonts w:ascii="宋体" w:hAnsi="宋体"/>
                <w:kern w:val="0"/>
                <w:sz w:val="18"/>
                <w:szCs w:val="18"/>
              </w:rPr>
            </w:pPr>
            <w:r>
              <w:rPr>
                <w:rFonts w:ascii="宋体" w:hAnsi="宋体"/>
                <w:kern w:val="0"/>
                <w:sz w:val="18"/>
                <w:szCs w:val="18"/>
              </w:rPr>
              <w:t>0</w:t>
            </w:r>
          </w:p>
        </w:tc>
        <w:tc>
          <w:tcPr>
            <w:tcW w:w="1103" w:type="dxa"/>
            <w:shd w:val="clear" w:color="auto" w:fill="auto"/>
            <w:vAlign w:val="center"/>
          </w:tcPr>
          <w:p>
            <w:pPr>
              <w:widowControl/>
              <w:jc w:val="center"/>
              <w:rPr>
                <w:rFonts w:ascii="宋体" w:hAnsi="宋体"/>
                <w:kern w:val="0"/>
                <w:sz w:val="18"/>
                <w:szCs w:val="18"/>
              </w:rPr>
            </w:pPr>
            <w:r>
              <w:rPr>
                <w:rFonts w:hint="eastAsia" w:ascii="宋体" w:hAnsi="宋体"/>
                <w:sz w:val="18"/>
                <w:szCs w:val="18"/>
              </w:rPr>
              <w:t>5,602.00</w:t>
            </w:r>
          </w:p>
        </w:tc>
        <w:tc>
          <w:tcPr>
            <w:tcW w:w="1493" w:type="dxa"/>
            <w:vAlign w:val="center"/>
          </w:tcPr>
          <w:p>
            <w:pPr>
              <w:widowControl/>
              <w:jc w:val="center"/>
              <w:rPr>
                <w:rFonts w:ascii="宋体" w:hAnsi="宋体"/>
                <w:sz w:val="18"/>
                <w:szCs w:val="18"/>
              </w:rPr>
            </w:pPr>
            <w:r>
              <w:rPr>
                <w:rFonts w:hint="eastAsia" w:ascii="宋体" w:hAnsi="宋体"/>
                <w:sz w:val="18"/>
                <w:szCs w:val="18"/>
              </w:rPr>
              <w:t>不适用</w:t>
            </w:r>
          </w:p>
        </w:tc>
        <w:tc>
          <w:tcPr>
            <w:tcW w:w="1249" w:type="dxa"/>
            <w:shd w:val="clear" w:color="auto" w:fill="auto"/>
            <w:vAlign w:val="center"/>
          </w:tcPr>
          <w:p>
            <w:pPr>
              <w:widowControl/>
              <w:jc w:val="center"/>
              <w:rPr>
                <w:rFonts w:ascii="宋体" w:hAnsi="宋体"/>
                <w:sz w:val="18"/>
                <w:szCs w:val="18"/>
              </w:rPr>
            </w:pPr>
            <w:r>
              <w:rPr>
                <w:rFonts w:hint="eastAsia" w:ascii="宋体" w:hAnsi="宋体"/>
                <w:sz w:val="18"/>
                <w:szCs w:val="18"/>
              </w:rPr>
              <w:t>不适用</w:t>
            </w:r>
          </w:p>
        </w:tc>
        <w:tc>
          <w:tcPr>
            <w:tcW w:w="969" w:type="dxa"/>
            <w:shd w:val="clear" w:color="auto" w:fill="auto"/>
            <w:vAlign w:val="center"/>
          </w:tcPr>
          <w:p>
            <w:pPr>
              <w:widowControl/>
              <w:jc w:val="center"/>
              <w:rPr>
                <w:rFonts w:ascii="宋体" w:hAnsi="宋体"/>
                <w:sz w:val="18"/>
                <w:szCs w:val="18"/>
              </w:rPr>
            </w:pPr>
            <w:r>
              <w:rPr>
                <w:rFonts w:hint="eastAsia" w:ascii="宋体" w:hAnsi="宋体"/>
                <w:sz w:val="18"/>
                <w:szCs w:val="18"/>
              </w:rPr>
              <w:t>——</w:t>
            </w:r>
          </w:p>
        </w:tc>
        <w:tc>
          <w:tcPr>
            <w:tcW w:w="972"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84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026" w:type="dxa"/>
            <w:vAlign w:val="center"/>
          </w:tcPr>
          <w:p>
            <w:pPr>
              <w:jc w:val="center"/>
              <w:rPr>
                <w:rFonts w:ascii="宋体" w:hAnsi="宋体" w:cs="宋体"/>
                <w:kern w:val="0"/>
                <w:sz w:val="18"/>
                <w:szCs w:val="18"/>
              </w:rPr>
            </w:pPr>
            <w:r>
              <w:rPr>
                <w:rFonts w:ascii="宋体" w:hAnsi="宋体" w:cs="宋体"/>
                <w:kern w:val="0"/>
                <w:sz w:val="18"/>
                <w:szCs w:val="18"/>
              </w:rPr>
              <w:t>51,389.68</w:t>
            </w:r>
          </w:p>
        </w:tc>
        <w:tc>
          <w:tcPr>
            <w:tcW w:w="1026" w:type="dxa"/>
            <w:shd w:val="clear" w:color="auto" w:fill="auto"/>
            <w:vAlign w:val="center"/>
          </w:tcPr>
          <w:p>
            <w:pPr>
              <w:jc w:val="center"/>
              <w:rPr>
                <w:rFonts w:ascii="宋体" w:hAnsi="宋体" w:cs="宋体"/>
                <w:kern w:val="0"/>
                <w:sz w:val="18"/>
                <w:szCs w:val="18"/>
              </w:rPr>
            </w:pPr>
            <w:r>
              <w:rPr>
                <w:rFonts w:ascii="宋体" w:hAnsi="宋体" w:cs="宋体"/>
                <w:kern w:val="0"/>
                <w:sz w:val="18"/>
                <w:szCs w:val="18"/>
              </w:rPr>
              <w:t>50,237.73</w:t>
            </w:r>
          </w:p>
        </w:tc>
        <w:tc>
          <w:tcPr>
            <w:tcW w:w="927" w:type="dxa"/>
            <w:shd w:val="clear" w:color="auto" w:fill="auto"/>
            <w:vAlign w:val="center"/>
          </w:tcPr>
          <w:p>
            <w:pPr>
              <w:widowControl/>
              <w:jc w:val="center"/>
              <w:rPr>
                <w:rFonts w:ascii="宋体" w:hAnsi="宋体" w:cs="宋体"/>
                <w:kern w:val="0"/>
                <w:sz w:val="18"/>
                <w:szCs w:val="18"/>
              </w:rPr>
            </w:pPr>
          </w:p>
        </w:tc>
        <w:tc>
          <w:tcPr>
            <w:tcW w:w="103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190.24</w:t>
            </w:r>
          </w:p>
        </w:tc>
        <w:tc>
          <w:tcPr>
            <w:tcW w:w="1103" w:type="dxa"/>
            <w:shd w:val="clear" w:color="auto" w:fill="auto"/>
            <w:vAlign w:val="center"/>
          </w:tcPr>
          <w:p>
            <w:pPr>
              <w:widowControl/>
              <w:jc w:val="center"/>
              <w:rPr>
                <w:rFonts w:ascii="宋体" w:hAnsi="宋体"/>
                <w:sz w:val="18"/>
                <w:szCs w:val="18"/>
              </w:rPr>
            </w:pPr>
            <w:r>
              <w:rPr>
                <w:rFonts w:hint="eastAsia" w:ascii="宋体" w:hAnsi="宋体"/>
                <w:sz w:val="18"/>
                <w:szCs w:val="18"/>
              </w:rPr>
              <w:t>48,756.83</w:t>
            </w:r>
          </w:p>
          <w:p>
            <w:pPr>
              <w:widowControl/>
              <w:ind w:left="-107" w:leftChars="-51" w:right="-107" w:rightChars="-51"/>
              <w:jc w:val="center"/>
              <w:rPr>
                <w:rFonts w:ascii="宋体" w:hAnsi="宋体" w:cs="宋体"/>
                <w:kern w:val="0"/>
                <w:sz w:val="18"/>
                <w:szCs w:val="18"/>
              </w:rPr>
            </w:pPr>
          </w:p>
        </w:tc>
        <w:tc>
          <w:tcPr>
            <w:tcW w:w="1493" w:type="dxa"/>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249"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69"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72"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未达到计划进度原因(分具体募投项目)</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注1：药品自动化立体仓库项目未达到计划进度，原因为由于项目可行性发生变化，公司不再进行仓库二期投入。</w:t>
            </w:r>
          </w:p>
          <w:p>
            <w:pPr>
              <w:widowControl/>
              <w:rPr>
                <w:rFonts w:ascii="宋体" w:hAnsi="宋体" w:cs="宋体"/>
                <w:kern w:val="0"/>
                <w:sz w:val="18"/>
                <w:szCs w:val="18"/>
              </w:rPr>
            </w:pPr>
            <w:r>
              <w:rPr>
                <w:rFonts w:hint="eastAsia" w:ascii="宋体" w:hAnsi="宋体" w:cs="宋体"/>
                <w:kern w:val="0"/>
                <w:sz w:val="18"/>
                <w:szCs w:val="18"/>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p>
            <w:pPr>
              <w:widowControl/>
              <w:rPr>
                <w:rFonts w:ascii="宋体" w:hAnsi="宋体" w:cs="宋体"/>
                <w:kern w:val="0"/>
                <w:sz w:val="18"/>
                <w:szCs w:val="18"/>
              </w:rPr>
            </w:pPr>
            <w:r>
              <w:rPr>
                <w:rFonts w:hint="eastAsia" w:ascii="宋体" w:hAnsi="宋体" w:cs="宋体"/>
                <w:kern w:val="0"/>
                <w:sz w:val="18"/>
                <w:szCs w:val="18"/>
              </w:rPr>
              <w:t>注8：公司原料药二期项目分两期实施，一期为扩建工业用房，二期为在厂房内建设多个生产车间。目前工业用房完成建设并取得不动产证。由于二期项目环境影响评价报告暂未完成审批，造成了项目延误，预测该项目将于2022年9月完成建设并投入使用。</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项目可行性发生重大变化的情况说明</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注2:药品自动化立体仓库项目发生变化。</w:t>
            </w:r>
          </w:p>
          <w:p>
            <w:pPr>
              <w:widowControl/>
              <w:rPr>
                <w:rFonts w:ascii="宋体" w:hAnsi="宋体" w:cs="宋体"/>
                <w:kern w:val="0"/>
                <w:sz w:val="18"/>
                <w:szCs w:val="18"/>
              </w:rPr>
            </w:pPr>
            <w:r>
              <w:rPr>
                <w:rFonts w:hint="eastAsia" w:ascii="宋体" w:hAnsi="宋体" w:cs="宋体"/>
                <w:kern w:val="0"/>
                <w:sz w:val="18"/>
                <w:szCs w:val="18"/>
              </w:rPr>
              <w:t>公司在《江苏吴中医药发展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注7：国家一类生物抗癌新药重组人血管内皮抑素注射液研发项目发生变化</w:t>
            </w:r>
          </w:p>
          <w:p>
            <w:pPr>
              <w:widowControl/>
              <w:rPr>
                <w:rFonts w:ascii="宋体" w:hAnsi="宋体" w:cs="宋体"/>
                <w:kern w:val="0"/>
                <w:sz w:val="18"/>
                <w:szCs w:val="18"/>
              </w:rPr>
            </w:pPr>
            <w:r>
              <w:rPr>
                <w:rFonts w:hint="eastAsia" w:ascii="宋体" w:hAnsi="宋体" w:cs="宋体"/>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rPr>
                <w:rFonts w:ascii="宋体" w:hAnsi="宋体" w:cs="宋体"/>
                <w:kern w:val="0"/>
                <w:sz w:val="18"/>
                <w:szCs w:val="18"/>
              </w:rPr>
            </w:pPr>
            <w:r>
              <w:rPr>
                <w:rFonts w:hint="eastAsia" w:ascii="宋体" w:hAnsi="宋体" w:cs="宋体"/>
                <w:kern w:val="0"/>
                <w:sz w:val="18"/>
                <w:szCs w:val="18"/>
              </w:rPr>
              <w:t>综合上述因素，为降低投资风险，提高募集资金使用效率，充分保证公司及全体股东的利益，公司拟对原募投项目“国家一类生物抗癌新药重组人血管内皮抑素注射液研发项目”进行变更。</w:t>
            </w:r>
          </w:p>
          <w:p>
            <w:pPr>
              <w:widowControl/>
              <w:rPr>
                <w:rFonts w:ascii="宋体" w:hAnsi="宋体" w:cs="宋体"/>
                <w:kern w:val="0"/>
                <w:sz w:val="18"/>
                <w:szCs w:val="18"/>
              </w:rPr>
            </w:pPr>
            <w:r>
              <w:rPr>
                <w:rFonts w:hint="eastAsia" w:ascii="宋体" w:hAnsi="宋体" w:cs="宋体"/>
                <w:kern w:val="0"/>
                <w:sz w:val="18"/>
                <w:szCs w:val="18"/>
              </w:rPr>
              <w:t>根据公司下属江苏吴中医药集团有限公司经营发展和实际生产需要，经公司第九届董事会第六次会议、公司第九届监事会第六次会议及2019年第五次临时股东大会审议通过《江苏吴中医药发展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 xml:space="preserve"> 注9：“西洛他唑等上市化学仿制药的一致性评价项目”中的西洛他唑片、利奈唑胺葡萄糖注射液、注射用艾司奥美拉唑钠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ascii="宋体" w:hAnsi="宋体" w:cs="宋体"/>
                <w:kern w:val="0"/>
                <w:sz w:val="18"/>
                <w:szCs w:val="18"/>
              </w:rPr>
            </w:pPr>
            <w:r>
              <w:rPr>
                <w:rFonts w:hint="eastAsia" w:ascii="宋体" w:hAnsi="宋体" w:cs="宋体"/>
                <w:kern w:val="0"/>
                <w:sz w:val="18"/>
                <w:szCs w:val="18"/>
              </w:rPr>
              <w:t>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 永久补充流动资金，用于公司日常经营活动，本次变更用途的募集资金金额占公司募集资金净额的 11.15%。 （具体公告详见公司于2021年4月28日在《中国证券报》《上海证券报》及上海证券交易所网站上披露的相关公告。）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募集资金投资项目先期投入及置换情况</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出具信会师报字[2015]第115404号《关于江苏吴中医药发展股份有限公司以自筹资金预先投入募集资金投资项目专项鉴证报告。</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用闲置募集资金暂时补充流动资金情况</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对闲置募集资金进行现金管理，投资相关产品情况</w:t>
            </w:r>
          </w:p>
        </w:tc>
        <w:tc>
          <w:tcPr>
            <w:tcW w:w="8505" w:type="dxa"/>
            <w:gridSpan w:val="8"/>
            <w:vAlign w:val="center"/>
          </w:tcPr>
          <w:p>
            <w:pPr>
              <w:widowControl/>
              <w:rPr>
                <w:rFonts w:ascii="宋体" w:hAnsi="宋体" w:cs="宋体"/>
                <w:kern w:val="0"/>
                <w:sz w:val="18"/>
                <w:szCs w:val="18"/>
              </w:rPr>
            </w:pPr>
            <w:r>
              <w:rPr>
                <w:rFonts w:ascii="宋体" w:hAnsi="宋体" w:cs="宋体"/>
                <w:kern w:val="0"/>
                <w:sz w:val="18"/>
                <w:szCs w:val="18"/>
              </w:rPr>
              <w:t>不适用</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用超募资金永久补充流动资金或归还银行贷款情况</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项目资金结余的金额及形成原因</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5987" w:type="dxa"/>
            <w:gridSpan w:val="5"/>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募集资金其他使用情况</w:t>
            </w:r>
          </w:p>
        </w:tc>
        <w:tc>
          <w:tcPr>
            <w:tcW w:w="8505"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bl>
    <w:p>
      <w:pPr>
        <w:spacing w:line="460" w:lineRule="exact"/>
        <w:ind w:right="420"/>
        <w:rPr>
          <w:rFonts w:ascii="宋体" w:hAnsi="宋体" w:cs="宋体"/>
          <w:kern w:val="0"/>
          <w:sz w:val="18"/>
          <w:szCs w:val="18"/>
        </w:rPr>
      </w:pPr>
      <w:r>
        <w:rPr>
          <w:rFonts w:hint="eastAsia" w:ascii="宋体" w:hAnsi="宋体" w:cs="宋体"/>
          <w:kern w:val="0"/>
          <w:sz w:val="18"/>
          <w:szCs w:val="18"/>
        </w:rPr>
        <w:t>注3：原料药（河东）、制剂（河西）调整改建项目本年度实现的效益，依照江苏省医药设计院研究有限公司于2014年12月江苏吴中医药集团有限公司苏州制药厂出具的《原料药（河东）、制剂（河西）调整改建项目可行性研究报告》中对建设项目财务分析的相关方式进行效益计算，其中：销售收入按该募投项目相关产品销售收入；相关税金及附加按国家规定比例扣减；相关成本按实际发生数扣减；相关费用参照可行性报告按销售收入比例估算。</w:t>
      </w:r>
    </w:p>
    <w:p>
      <w:pPr>
        <w:spacing w:line="460" w:lineRule="exact"/>
        <w:ind w:right="420"/>
        <w:rPr>
          <w:rFonts w:ascii="宋体" w:hAnsi="宋体" w:cs="宋体"/>
          <w:kern w:val="0"/>
          <w:sz w:val="18"/>
          <w:szCs w:val="18"/>
        </w:rPr>
      </w:pPr>
      <w:r>
        <w:rPr>
          <w:rFonts w:hint="eastAsia" w:ascii="宋体" w:hAnsi="宋体" w:cs="宋体"/>
          <w:kern w:val="0"/>
          <w:sz w:val="18"/>
          <w:szCs w:val="18"/>
        </w:rPr>
        <w:t>注4：受市场影响,主产品匹多莫德产量及售价大幅下降，导致原料药（河东）、制剂（河西）调整改建项目效益不及预期。</w:t>
      </w:r>
    </w:p>
    <w:p>
      <w:pPr>
        <w:spacing w:line="460" w:lineRule="exact"/>
        <w:ind w:right="420"/>
        <w:rPr>
          <w:rFonts w:ascii="宋体" w:hAnsi="宋体" w:cs="宋体"/>
          <w:kern w:val="0"/>
          <w:sz w:val="18"/>
          <w:szCs w:val="18"/>
        </w:rPr>
      </w:pPr>
      <w:r>
        <w:rPr>
          <w:rFonts w:hint="eastAsia" w:ascii="宋体" w:hAnsi="宋体" w:cs="宋体"/>
          <w:kern w:val="0"/>
          <w:sz w:val="18"/>
          <w:szCs w:val="18"/>
        </w:rPr>
        <w:t>注5： 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pPr>
        <w:spacing w:line="460" w:lineRule="exact"/>
        <w:ind w:right="420"/>
        <w:rPr>
          <w:rFonts w:ascii="宋体" w:hAnsi="宋体" w:cs="宋体"/>
          <w:kern w:val="0"/>
          <w:sz w:val="18"/>
          <w:szCs w:val="18"/>
        </w:rPr>
      </w:pPr>
      <w:r>
        <w:rPr>
          <w:rFonts w:hint="eastAsia" w:ascii="宋体" w:hAnsi="宋体" w:cs="宋体"/>
          <w:kern w:val="0"/>
          <w:sz w:val="18"/>
          <w:szCs w:val="18"/>
        </w:rPr>
        <w:t>注10：已累计投入募集资金总额包含募集资金现金管理所获收益后再投入金额。</w:t>
      </w:r>
    </w:p>
    <w:p>
      <w:pPr>
        <w:spacing w:line="460" w:lineRule="exact"/>
        <w:ind w:right="420"/>
        <w:rPr>
          <w:rFonts w:ascii="宋体" w:hAnsi="宋体" w:cs="宋体"/>
          <w:kern w:val="0"/>
          <w:sz w:val="18"/>
          <w:szCs w:val="18"/>
        </w:rPr>
      </w:pPr>
      <w:r>
        <w:rPr>
          <w:rFonts w:ascii="宋体" w:hAnsi="宋体" w:cs="宋体"/>
          <w:kern w:val="0"/>
          <w:sz w:val="18"/>
          <w:szCs w:val="18"/>
        </w:rPr>
        <w:t>注</w:t>
      </w:r>
      <w:r>
        <w:rPr>
          <w:rFonts w:hint="eastAsia" w:ascii="宋体" w:hAnsi="宋体" w:cs="宋体"/>
          <w:kern w:val="0"/>
          <w:sz w:val="18"/>
          <w:szCs w:val="18"/>
        </w:rPr>
        <w:t>1</w:t>
      </w:r>
      <w:r>
        <w:rPr>
          <w:rFonts w:ascii="宋体" w:hAnsi="宋体" w:cs="宋体"/>
          <w:kern w:val="0"/>
          <w:sz w:val="18"/>
          <w:szCs w:val="18"/>
        </w:rPr>
        <w:t>1：原</w:t>
      </w:r>
      <w:r>
        <w:rPr>
          <w:rFonts w:hint="eastAsia" w:ascii="宋体" w:hAnsi="宋体" w:cs="宋体"/>
          <w:kern w:val="0"/>
          <w:sz w:val="18"/>
          <w:szCs w:val="18"/>
        </w:rPr>
        <w:t>项目达到预定可使用状态日期为2</w:t>
      </w:r>
      <w:r>
        <w:rPr>
          <w:rFonts w:ascii="宋体" w:hAnsi="宋体" w:cs="宋体"/>
          <w:kern w:val="0"/>
          <w:sz w:val="18"/>
          <w:szCs w:val="18"/>
        </w:rPr>
        <w:t>022年</w:t>
      </w:r>
      <w:r>
        <w:rPr>
          <w:rFonts w:hint="eastAsia" w:ascii="宋体" w:hAnsi="宋体" w:cs="宋体"/>
          <w:kern w:val="0"/>
          <w:sz w:val="18"/>
          <w:szCs w:val="18"/>
        </w:rPr>
        <w:t>6月，后因受上海上半年疫情影响，入组进度相比计划严重滞后。根据国家药监局药品审评中心最新的技术指导原则，本项目一期临床除了获得传统的剂量耐受性毒性数据以外，还将观察受试者的治疗获益和生存情况，整个试验预计在2024年底完成。</w:t>
      </w:r>
    </w:p>
    <w:p>
      <w:pPr>
        <w:spacing w:line="460" w:lineRule="exact"/>
        <w:ind w:right="420"/>
        <w:rPr>
          <w:rFonts w:ascii="宋体" w:hAnsi="宋体" w:cs="宋体"/>
          <w:kern w:val="0"/>
          <w:szCs w:val="21"/>
        </w:rPr>
      </w:pPr>
    </w:p>
    <w:p>
      <w:pPr>
        <w:spacing w:line="460" w:lineRule="exact"/>
        <w:ind w:right="420"/>
        <w:rPr>
          <w:rFonts w:ascii="宋体" w:hAnsi="宋体" w:cs="宋体"/>
          <w:kern w:val="0"/>
          <w:szCs w:val="21"/>
        </w:rPr>
      </w:pPr>
    </w:p>
    <w:p>
      <w:pPr>
        <w:spacing w:line="460" w:lineRule="exact"/>
        <w:ind w:right="420"/>
        <w:rPr>
          <w:rFonts w:ascii="黑体" w:hAnsi="宋体" w:eastAsia="黑体" w:cs="宋体"/>
          <w:b/>
          <w:bCs/>
          <w:kern w:val="0"/>
          <w:sz w:val="28"/>
          <w:szCs w:val="28"/>
        </w:rPr>
      </w:pPr>
      <w:r>
        <w:rPr>
          <w:rFonts w:ascii="宋体" w:hAnsi="宋体" w:cs="宋体"/>
          <w:kern w:val="0"/>
          <w:szCs w:val="21"/>
        </w:rPr>
        <w:br w:type="page"/>
      </w:r>
      <w:r>
        <w:rPr>
          <w:rFonts w:hint="eastAsia" w:ascii="宋体" w:hAnsi="宋体" w:cs="宋体"/>
          <w:b/>
          <w:bCs/>
          <w:kern w:val="0"/>
          <w:sz w:val="24"/>
        </w:rPr>
        <w:t xml:space="preserve">附件2：      </w:t>
      </w:r>
      <w:r>
        <w:rPr>
          <w:rFonts w:hint="eastAsia" w:ascii="宋体" w:hAnsi="宋体" w:cs="宋体"/>
          <w:kern w:val="0"/>
          <w:szCs w:val="21"/>
        </w:rPr>
        <w:t xml:space="preserve">                                    </w:t>
      </w:r>
      <w:r>
        <w:rPr>
          <w:rFonts w:hint="eastAsia" w:ascii="黑体" w:hAnsi="宋体" w:eastAsia="黑体" w:cs="宋体"/>
          <w:b/>
          <w:bCs/>
          <w:kern w:val="0"/>
          <w:sz w:val="28"/>
          <w:szCs w:val="28"/>
        </w:rPr>
        <w:t xml:space="preserve"> </w:t>
      </w:r>
    </w:p>
    <w:p>
      <w:pPr>
        <w:spacing w:line="460" w:lineRule="exact"/>
        <w:ind w:right="420"/>
        <w:jc w:val="center"/>
        <w:rPr>
          <w:rFonts w:ascii="黑体" w:hAnsi="宋体" w:eastAsia="黑体" w:cs="宋体"/>
          <w:b/>
          <w:bCs/>
          <w:kern w:val="0"/>
          <w:sz w:val="28"/>
          <w:szCs w:val="28"/>
        </w:rPr>
      </w:pPr>
      <w:r>
        <w:rPr>
          <w:rFonts w:hint="eastAsia" w:ascii="黑体" w:hAnsi="宋体" w:eastAsia="黑体" w:cs="宋体"/>
          <w:b/>
          <w:bCs/>
          <w:kern w:val="0"/>
          <w:sz w:val="28"/>
          <w:szCs w:val="28"/>
        </w:rPr>
        <w:t>变更募集资金投资项目情况表</w:t>
      </w:r>
    </w:p>
    <w:p>
      <w:pPr>
        <w:spacing w:line="460" w:lineRule="exact"/>
        <w:ind w:right="420"/>
        <w:jc w:val="center"/>
        <w:rPr>
          <w:rFonts w:ascii="宋体" w:hAnsi="宋体" w:cs="宋体"/>
          <w:kern w:val="0"/>
          <w:szCs w:val="21"/>
        </w:rPr>
      </w:pPr>
      <w:r>
        <w:rPr>
          <w:rFonts w:hint="eastAsia" w:ascii="宋体" w:hAnsi="宋体" w:cs="宋体"/>
          <w:kern w:val="0"/>
          <w:szCs w:val="21"/>
        </w:rPr>
        <w:t>2022年上半年</w:t>
      </w:r>
    </w:p>
    <w:p>
      <w:pPr>
        <w:spacing w:line="460" w:lineRule="exact"/>
        <w:ind w:left="-2" w:leftChars="-1" w:right="-802"/>
        <w:rPr>
          <w:rFonts w:ascii="宋体" w:hAnsi="宋体"/>
          <w:szCs w:val="21"/>
        </w:rPr>
      </w:pPr>
      <w:r>
        <w:rPr>
          <w:rFonts w:hint="eastAsia" w:ascii="宋体" w:hAnsi="宋体" w:cs="宋体"/>
          <w:kern w:val="0"/>
          <w:szCs w:val="21"/>
        </w:rPr>
        <w:t>编制单位：江苏吴中医药发展股份有限公司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单位：人民币万元</w:t>
      </w:r>
    </w:p>
    <w:tbl>
      <w:tblPr>
        <w:tblStyle w:val="5"/>
        <w:tblW w:w="14060" w:type="dxa"/>
        <w:tblInd w:w="88"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autofit"/>
        <w:tblCellMar>
          <w:top w:w="0" w:type="dxa"/>
          <w:left w:w="108" w:type="dxa"/>
          <w:bottom w:w="0" w:type="dxa"/>
          <w:right w:w="108" w:type="dxa"/>
        </w:tblCellMar>
      </w:tblPr>
      <w:tblGrid>
        <w:gridCol w:w="1527"/>
        <w:gridCol w:w="1528"/>
        <w:gridCol w:w="1285"/>
        <w:gridCol w:w="1143"/>
        <w:gridCol w:w="1557"/>
        <w:gridCol w:w="1080"/>
        <w:gridCol w:w="1260"/>
        <w:gridCol w:w="1272"/>
        <w:gridCol w:w="1260"/>
        <w:gridCol w:w="900"/>
        <w:gridCol w:w="1248"/>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PrEx>
        <w:trPr>
          <w:trHeight w:val="1200" w:hRule="atLeast"/>
        </w:trPr>
        <w:tc>
          <w:tcPr>
            <w:tcW w:w="1527" w:type="dxa"/>
            <w:shd w:val="clear" w:color="auto" w:fill="auto"/>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变更后的项目</w:t>
            </w:r>
          </w:p>
        </w:tc>
        <w:tc>
          <w:tcPr>
            <w:tcW w:w="1528" w:type="dxa"/>
            <w:shd w:val="clear" w:color="auto" w:fill="auto"/>
            <w:vAlign w:val="center"/>
          </w:tcPr>
          <w:p>
            <w:pPr>
              <w:widowControl/>
              <w:spacing w:line="460" w:lineRule="exact"/>
              <w:jc w:val="center"/>
              <w:rPr>
                <w:rFonts w:ascii="宋体" w:hAnsi="宋体" w:cs="宋体"/>
                <w:kern w:val="0"/>
                <w:sz w:val="18"/>
                <w:szCs w:val="18"/>
              </w:rPr>
            </w:pPr>
            <w:r>
              <w:rPr>
                <w:rFonts w:hint="eastAsia" w:ascii="宋体" w:hAnsi="宋体" w:cs="宋体"/>
                <w:kern w:val="0"/>
                <w:sz w:val="18"/>
                <w:szCs w:val="18"/>
              </w:rPr>
              <w:t>对应的原项目</w:t>
            </w:r>
          </w:p>
        </w:tc>
        <w:tc>
          <w:tcPr>
            <w:tcW w:w="1285" w:type="dxa"/>
            <w:shd w:val="clear" w:color="auto" w:fill="auto"/>
            <w:vAlign w:val="center"/>
          </w:tcPr>
          <w:p>
            <w:pPr>
              <w:jc w:val="center"/>
              <w:rPr>
                <w:rFonts w:ascii="宋体" w:hAnsi="宋体"/>
                <w:kern w:val="0"/>
                <w:sz w:val="18"/>
                <w:szCs w:val="18"/>
              </w:rPr>
            </w:pPr>
            <w:r>
              <w:rPr>
                <w:rFonts w:hint="eastAsia" w:ascii="宋体" w:hAnsi="宋体"/>
                <w:kern w:val="0"/>
                <w:sz w:val="18"/>
                <w:szCs w:val="18"/>
              </w:rPr>
              <w:t>变更后项目拟投入募集资金总额</w:t>
            </w:r>
          </w:p>
        </w:tc>
        <w:tc>
          <w:tcPr>
            <w:tcW w:w="1143" w:type="dxa"/>
            <w:shd w:val="clear" w:color="auto" w:fill="auto"/>
            <w:vAlign w:val="center"/>
          </w:tcPr>
          <w:p>
            <w:pPr>
              <w:jc w:val="center"/>
              <w:rPr>
                <w:rFonts w:ascii="宋体" w:hAnsi="宋体"/>
                <w:kern w:val="0"/>
                <w:sz w:val="18"/>
                <w:szCs w:val="18"/>
              </w:rPr>
            </w:pPr>
            <w:r>
              <w:rPr>
                <w:rFonts w:hint="eastAsia" w:ascii="宋体" w:hAnsi="宋体"/>
                <w:kern w:val="0"/>
                <w:sz w:val="18"/>
                <w:szCs w:val="18"/>
              </w:rPr>
              <w:t>截至期末计划累计投资金额</w:t>
            </w:r>
          </w:p>
          <w:p>
            <w:pPr>
              <w:jc w:val="center"/>
              <w:rPr>
                <w:rFonts w:ascii="宋体" w:hAnsi="宋体"/>
                <w:kern w:val="0"/>
                <w:sz w:val="18"/>
                <w:szCs w:val="18"/>
              </w:rPr>
            </w:pPr>
            <w:r>
              <w:rPr>
                <w:rFonts w:hint="eastAsia" w:ascii="宋体" w:hAnsi="宋体"/>
                <w:kern w:val="0"/>
                <w:sz w:val="18"/>
                <w:szCs w:val="18"/>
              </w:rPr>
              <w:t>(1)</w:t>
            </w:r>
          </w:p>
        </w:tc>
        <w:tc>
          <w:tcPr>
            <w:tcW w:w="1557" w:type="dxa"/>
            <w:shd w:val="clear" w:color="auto" w:fill="auto"/>
            <w:vAlign w:val="center"/>
          </w:tcPr>
          <w:p>
            <w:pPr>
              <w:jc w:val="center"/>
              <w:rPr>
                <w:rFonts w:ascii="宋体" w:hAnsi="宋体"/>
                <w:kern w:val="0"/>
                <w:sz w:val="18"/>
                <w:szCs w:val="18"/>
              </w:rPr>
            </w:pPr>
            <w:r>
              <w:rPr>
                <w:rFonts w:hint="eastAsia" w:ascii="宋体" w:hAnsi="宋体"/>
                <w:kern w:val="0"/>
                <w:sz w:val="18"/>
                <w:szCs w:val="18"/>
              </w:rPr>
              <w:t>本年度实际投入金额</w:t>
            </w:r>
          </w:p>
        </w:tc>
        <w:tc>
          <w:tcPr>
            <w:tcW w:w="1080" w:type="dxa"/>
            <w:shd w:val="clear" w:color="auto" w:fill="auto"/>
            <w:vAlign w:val="center"/>
          </w:tcPr>
          <w:p>
            <w:pPr>
              <w:jc w:val="center"/>
              <w:rPr>
                <w:rFonts w:ascii="宋体" w:hAnsi="宋体"/>
                <w:kern w:val="0"/>
                <w:sz w:val="18"/>
                <w:szCs w:val="18"/>
              </w:rPr>
            </w:pPr>
            <w:r>
              <w:rPr>
                <w:rFonts w:hint="eastAsia" w:ascii="宋体" w:hAnsi="宋体"/>
                <w:kern w:val="0"/>
                <w:sz w:val="18"/>
                <w:szCs w:val="18"/>
              </w:rPr>
              <w:t>实际累计投入金额</w:t>
            </w:r>
          </w:p>
          <w:p>
            <w:pPr>
              <w:jc w:val="center"/>
              <w:rPr>
                <w:rFonts w:ascii="宋体" w:hAnsi="宋体"/>
                <w:kern w:val="0"/>
                <w:sz w:val="18"/>
                <w:szCs w:val="18"/>
              </w:rPr>
            </w:pPr>
            <w:r>
              <w:rPr>
                <w:rFonts w:hint="eastAsia" w:ascii="宋体" w:hAnsi="宋体"/>
                <w:kern w:val="0"/>
                <w:sz w:val="18"/>
                <w:szCs w:val="18"/>
              </w:rPr>
              <w:t>(2)</w:t>
            </w:r>
          </w:p>
        </w:tc>
        <w:tc>
          <w:tcPr>
            <w:tcW w:w="1260" w:type="dxa"/>
            <w:shd w:val="clear" w:color="auto" w:fill="auto"/>
            <w:vAlign w:val="center"/>
          </w:tcPr>
          <w:p>
            <w:pPr>
              <w:jc w:val="center"/>
              <w:rPr>
                <w:rFonts w:ascii="宋体" w:hAnsi="宋体"/>
                <w:kern w:val="0"/>
                <w:sz w:val="18"/>
                <w:szCs w:val="18"/>
              </w:rPr>
            </w:pPr>
            <w:r>
              <w:rPr>
                <w:rFonts w:hint="eastAsia" w:ascii="宋体" w:hAnsi="宋体"/>
                <w:kern w:val="0"/>
                <w:sz w:val="18"/>
                <w:szCs w:val="18"/>
              </w:rPr>
              <w:t>投资进度(%)</w:t>
            </w:r>
          </w:p>
          <w:p>
            <w:pPr>
              <w:jc w:val="center"/>
              <w:rPr>
                <w:rFonts w:ascii="宋体" w:hAnsi="宋体"/>
                <w:kern w:val="0"/>
                <w:sz w:val="18"/>
                <w:szCs w:val="18"/>
              </w:rPr>
            </w:pPr>
            <w:r>
              <w:rPr>
                <w:rFonts w:hint="eastAsia" w:ascii="宋体" w:hAnsi="宋体"/>
                <w:kern w:val="0"/>
                <w:sz w:val="18"/>
                <w:szCs w:val="18"/>
              </w:rPr>
              <w:t>(3)=(2)/(1)</w:t>
            </w:r>
          </w:p>
        </w:tc>
        <w:tc>
          <w:tcPr>
            <w:tcW w:w="1272" w:type="dxa"/>
            <w:shd w:val="clear" w:color="auto" w:fill="auto"/>
            <w:vAlign w:val="center"/>
          </w:tcPr>
          <w:p>
            <w:pPr>
              <w:ind w:left="-107" w:leftChars="-51" w:right="-107" w:rightChars="-51"/>
              <w:jc w:val="center"/>
              <w:rPr>
                <w:rFonts w:ascii="宋体" w:hAnsi="宋体"/>
                <w:kern w:val="0"/>
                <w:sz w:val="18"/>
                <w:szCs w:val="18"/>
              </w:rPr>
            </w:pPr>
            <w:r>
              <w:rPr>
                <w:rFonts w:hint="eastAsia" w:ascii="宋体" w:hAnsi="宋体"/>
                <w:kern w:val="0"/>
                <w:sz w:val="18"/>
                <w:szCs w:val="18"/>
              </w:rPr>
              <w:t>项目达到预定可使用状态日期</w:t>
            </w:r>
          </w:p>
        </w:tc>
        <w:tc>
          <w:tcPr>
            <w:tcW w:w="1260" w:type="dxa"/>
            <w:shd w:val="clear" w:color="auto" w:fill="auto"/>
            <w:vAlign w:val="center"/>
          </w:tcPr>
          <w:p>
            <w:pPr>
              <w:jc w:val="center"/>
              <w:rPr>
                <w:rFonts w:ascii="宋体" w:hAnsi="宋体"/>
                <w:kern w:val="0"/>
                <w:sz w:val="18"/>
                <w:szCs w:val="18"/>
              </w:rPr>
            </w:pPr>
            <w:r>
              <w:rPr>
                <w:rFonts w:hint="eastAsia" w:ascii="宋体" w:hAnsi="宋体"/>
                <w:kern w:val="0"/>
                <w:sz w:val="18"/>
                <w:szCs w:val="18"/>
              </w:rPr>
              <w:t>本年度实现的效益</w:t>
            </w:r>
          </w:p>
        </w:tc>
        <w:tc>
          <w:tcPr>
            <w:tcW w:w="900" w:type="dxa"/>
            <w:shd w:val="clear" w:color="auto" w:fill="auto"/>
            <w:vAlign w:val="center"/>
          </w:tcPr>
          <w:p>
            <w:pPr>
              <w:jc w:val="center"/>
              <w:rPr>
                <w:rFonts w:ascii="宋体" w:hAnsi="宋体"/>
                <w:kern w:val="0"/>
                <w:sz w:val="18"/>
                <w:szCs w:val="18"/>
              </w:rPr>
            </w:pPr>
            <w:r>
              <w:rPr>
                <w:rFonts w:hint="eastAsia" w:ascii="宋体" w:hAnsi="宋体"/>
                <w:kern w:val="0"/>
                <w:sz w:val="18"/>
                <w:szCs w:val="18"/>
              </w:rPr>
              <w:t>是否达到预计效益</w:t>
            </w:r>
          </w:p>
        </w:tc>
        <w:tc>
          <w:tcPr>
            <w:tcW w:w="1248" w:type="dxa"/>
            <w:shd w:val="clear" w:color="auto" w:fill="auto"/>
            <w:vAlign w:val="center"/>
          </w:tcPr>
          <w:p>
            <w:pPr>
              <w:jc w:val="center"/>
              <w:rPr>
                <w:rFonts w:ascii="宋体" w:hAnsi="宋体"/>
                <w:kern w:val="0"/>
                <w:sz w:val="18"/>
                <w:szCs w:val="18"/>
              </w:rPr>
            </w:pPr>
            <w:r>
              <w:rPr>
                <w:rFonts w:hint="eastAsia" w:ascii="宋体" w:hAnsi="宋体"/>
                <w:kern w:val="0"/>
                <w:sz w:val="18"/>
                <w:szCs w:val="18"/>
              </w:rPr>
              <w:t>变更后的项目可行性是否发生重大变化</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jc w:val="center"/>
              <w:rPr>
                <w:rFonts w:ascii="宋体" w:hAnsi="宋体" w:cs="宋体"/>
                <w:kern w:val="0"/>
                <w:sz w:val="18"/>
                <w:szCs w:val="18"/>
              </w:rPr>
            </w:pPr>
            <w:r>
              <w:rPr>
                <w:rFonts w:hint="eastAsia"/>
                <w:sz w:val="18"/>
                <w:szCs w:val="18"/>
              </w:rPr>
              <w:t>原料药二期</w:t>
            </w:r>
          </w:p>
        </w:tc>
        <w:tc>
          <w:tcPr>
            <w:tcW w:w="152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药品自动化立体仓库项目（注1）</w:t>
            </w:r>
          </w:p>
        </w:tc>
        <w:tc>
          <w:tcPr>
            <w:tcW w:w="128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2,867.45</w:t>
            </w:r>
          </w:p>
        </w:tc>
        <w:tc>
          <w:tcPr>
            <w:tcW w:w="1143"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557" w:type="dxa"/>
            <w:shd w:val="clear" w:color="auto" w:fill="auto"/>
            <w:vAlign w:val="center"/>
          </w:tcPr>
          <w:p>
            <w:pPr>
              <w:widowControl/>
              <w:ind w:right="180"/>
              <w:jc w:val="center"/>
              <w:rPr>
                <w:rFonts w:ascii="宋体" w:hAnsi="宋体" w:cs="宋体"/>
                <w:kern w:val="0"/>
                <w:sz w:val="18"/>
                <w:szCs w:val="18"/>
              </w:rPr>
            </w:pPr>
            <w:r>
              <w:rPr>
                <w:rFonts w:ascii="宋体" w:hAnsi="宋体" w:cs="宋体"/>
                <w:kern w:val="0"/>
                <w:sz w:val="18"/>
                <w:szCs w:val="18"/>
              </w:rPr>
              <w:t>0</w:t>
            </w:r>
          </w:p>
        </w:tc>
        <w:tc>
          <w:tcPr>
            <w:tcW w:w="1080"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2,627.7</w:t>
            </w:r>
            <w:r>
              <w:rPr>
                <w:rFonts w:hint="eastAsia" w:ascii="宋体" w:hAnsi="宋体" w:cs="宋体"/>
                <w:kern w:val="0"/>
                <w:sz w:val="18"/>
                <w:szCs w:val="18"/>
              </w:rPr>
              <w:t>1</w:t>
            </w:r>
          </w:p>
        </w:tc>
        <w:tc>
          <w:tcPr>
            <w:tcW w:w="1260" w:type="dxa"/>
            <w:shd w:val="clear" w:color="auto" w:fill="auto"/>
            <w:vAlign w:val="center"/>
          </w:tcPr>
          <w:p>
            <w:pPr>
              <w:widowControl/>
              <w:jc w:val="center"/>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202</w:t>
            </w:r>
            <w:r>
              <w:rPr>
                <w:rFonts w:hint="eastAsia" w:ascii="宋体" w:hAnsi="宋体" w:cs="宋体"/>
                <w:kern w:val="0"/>
                <w:sz w:val="18"/>
                <w:szCs w:val="18"/>
              </w:rPr>
              <w:t>2</w:t>
            </w:r>
            <w:r>
              <w:rPr>
                <w:rFonts w:ascii="宋体" w:hAnsi="宋体" w:cs="宋体"/>
                <w:kern w:val="0"/>
                <w:sz w:val="18"/>
                <w:szCs w:val="18"/>
              </w:rPr>
              <w:t>.09</w:t>
            </w:r>
          </w:p>
        </w:tc>
        <w:tc>
          <w:tcPr>
            <w:tcW w:w="126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jc w:val="center"/>
              <w:rPr>
                <w:rFonts w:ascii="宋体" w:hAnsi="宋体" w:cs="宋体"/>
                <w:kern w:val="0"/>
                <w:sz w:val="18"/>
                <w:szCs w:val="18"/>
              </w:rPr>
            </w:pPr>
            <w:r>
              <w:rPr>
                <w:rFonts w:hint="eastAsia"/>
                <w:sz w:val="18"/>
                <w:szCs w:val="18"/>
              </w:rPr>
              <w:t>抗肿瘤 1 类 新药YS001的研发项目</w:t>
            </w:r>
          </w:p>
        </w:tc>
        <w:tc>
          <w:tcPr>
            <w:tcW w:w="152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国家一类生物抗癌新药重组人血管内皮抑素注射液研发项目（注2）</w:t>
            </w:r>
          </w:p>
        </w:tc>
        <w:tc>
          <w:tcPr>
            <w:tcW w:w="128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3,500.00</w:t>
            </w:r>
          </w:p>
        </w:tc>
        <w:tc>
          <w:tcPr>
            <w:tcW w:w="1143"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557" w:type="dxa"/>
            <w:shd w:val="clear" w:color="auto" w:fill="auto"/>
            <w:vAlign w:val="center"/>
          </w:tcPr>
          <w:p>
            <w:pPr>
              <w:widowControl/>
              <w:jc w:val="center"/>
              <w:rPr>
                <w:kern w:val="0"/>
                <w:sz w:val="24"/>
              </w:rPr>
            </w:pPr>
            <w:r>
              <w:rPr>
                <w:rFonts w:hint="eastAsia" w:ascii="宋体" w:hAnsi="宋体"/>
                <w:kern w:val="0"/>
                <w:sz w:val="18"/>
                <w:szCs w:val="18"/>
              </w:rPr>
              <w:t>188.04</w:t>
            </w:r>
          </w:p>
          <w:p>
            <w:pPr>
              <w:widowControl/>
              <w:jc w:val="center"/>
              <w:rPr>
                <w:rFonts w:ascii="宋体" w:hAnsi="宋体" w:cs="宋体"/>
                <w:kern w:val="0"/>
                <w:sz w:val="18"/>
                <w:szCs w:val="18"/>
              </w:rPr>
            </w:pPr>
          </w:p>
        </w:tc>
        <w:tc>
          <w:tcPr>
            <w:tcW w:w="1080" w:type="dxa"/>
            <w:shd w:val="clear" w:color="auto" w:fill="auto"/>
            <w:vAlign w:val="center"/>
          </w:tcPr>
          <w:p>
            <w:pPr>
              <w:widowControl/>
              <w:jc w:val="center"/>
              <w:rPr>
                <w:kern w:val="0"/>
                <w:sz w:val="22"/>
                <w:szCs w:val="22"/>
              </w:rPr>
            </w:pPr>
            <w:r>
              <w:rPr>
                <w:rFonts w:hint="eastAsia" w:ascii="宋体" w:hAnsi="宋体"/>
                <w:kern w:val="0"/>
                <w:sz w:val="18"/>
                <w:szCs w:val="18"/>
              </w:rPr>
              <w:t>2,242.04</w:t>
            </w:r>
          </w:p>
          <w:p>
            <w:pPr>
              <w:widowControl/>
              <w:jc w:val="center"/>
              <w:rPr>
                <w:rFonts w:ascii="宋体" w:hAnsi="宋体"/>
                <w:kern w:val="0"/>
                <w:sz w:val="18"/>
                <w:szCs w:val="18"/>
              </w:rPr>
            </w:pPr>
          </w:p>
        </w:tc>
        <w:tc>
          <w:tcPr>
            <w:tcW w:w="1260" w:type="dxa"/>
            <w:shd w:val="clear" w:color="auto" w:fill="auto"/>
            <w:vAlign w:val="center"/>
          </w:tcPr>
          <w:p>
            <w:pPr>
              <w:widowControl/>
              <w:jc w:val="center"/>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2024.12</w:t>
            </w:r>
          </w:p>
        </w:tc>
        <w:tc>
          <w:tcPr>
            <w:tcW w:w="126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jc w:val="center"/>
              <w:rPr>
                <w:rFonts w:ascii="宋体" w:hAnsi="宋体" w:cs="宋体"/>
                <w:kern w:val="0"/>
                <w:sz w:val="18"/>
                <w:szCs w:val="18"/>
              </w:rPr>
            </w:pPr>
            <w:r>
              <w:rPr>
                <w:rFonts w:hint="eastAsia"/>
                <w:sz w:val="18"/>
                <w:szCs w:val="18"/>
              </w:rPr>
              <w:t>西洛他唑等 上市化学仿 制药的一致 性评价项目</w:t>
            </w:r>
          </w:p>
        </w:tc>
        <w:tc>
          <w:tcPr>
            <w:tcW w:w="152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国家一类生物抗癌新药重组人血管内皮抑素注射液研发项目</w:t>
            </w:r>
          </w:p>
        </w:tc>
        <w:tc>
          <w:tcPr>
            <w:tcW w:w="128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1,534.00</w:t>
            </w:r>
          </w:p>
        </w:tc>
        <w:tc>
          <w:tcPr>
            <w:tcW w:w="1143"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557" w:type="dxa"/>
            <w:shd w:val="clear" w:color="auto" w:fill="auto"/>
            <w:vAlign w:val="center"/>
          </w:tcPr>
          <w:p>
            <w:pPr>
              <w:widowControl/>
              <w:jc w:val="center"/>
              <w:rPr>
                <w:rFonts w:ascii="宋体" w:hAnsi="宋体"/>
                <w:kern w:val="0"/>
                <w:sz w:val="18"/>
                <w:szCs w:val="18"/>
              </w:rPr>
            </w:pPr>
            <w:r>
              <w:rPr>
                <w:rFonts w:ascii="宋体" w:hAnsi="宋体"/>
                <w:kern w:val="0"/>
                <w:sz w:val="18"/>
                <w:szCs w:val="18"/>
              </w:rPr>
              <w:t>0.46</w:t>
            </w:r>
          </w:p>
        </w:tc>
        <w:tc>
          <w:tcPr>
            <w:tcW w:w="1080" w:type="dxa"/>
            <w:shd w:val="clear" w:color="auto" w:fill="auto"/>
            <w:vAlign w:val="center"/>
          </w:tcPr>
          <w:p>
            <w:pPr>
              <w:widowControl/>
              <w:jc w:val="center"/>
              <w:rPr>
                <w:rFonts w:ascii="宋体" w:hAnsi="宋体"/>
                <w:kern w:val="0"/>
                <w:sz w:val="18"/>
                <w:szCs w:val="18"/>
              </w:rPr>
            </w:pPr>
            <w:r>
              <w:rPr>
                <w:rFonts w:ascii="宋体" w:hAnsi="宋体"/>
                <w:kern w:val="0"/>
                <w:sz w:val="18"/>
                <w:szCs w:val="18"/>
              </w:rPr>
              <w:t>730.24</w:t>
            </w:r>
          </w:p>
        </w:tc>
        <w:tc>
          <w:tcPr>
            <w:tcW w:w="1260" w:type="dxa"/>
            <w:shd w:val="clear" w:color="auto" w:fill="auto"/>
            <w:vAlign w:val="center"/>
          </w:tcPr>
          <w:p>
            <w:pPr>
              <w:widowControl/>
              <w:jc w:val="center"/>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2023.12</w:t>
            </w:r>
          </w:p>
        </w:tc>
        <w:tc>
          <w:tcPr>
            <w:tcW w:w="126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jc w:val="center"/>
              <w:rPr>
                <w:rFonts w:cs="Arial"/>
                <w:color w:val="000000"/>
                <w:sz w:val="18"/>
                <w:szCs w:val="18"/>
              </w:rPr>
            </w:pPr>
            <w:r>
              <w:rPr>
                <w:rFonts w:hint="eastAsia" w:cs="Arial"/>
                <w:color w:val="000000"/>
                <w:sz w:val="18"/>
                <w:szCs w:val="18"/>
              </w:rPr>
              <w:t>是</w:t>
            </w:r>
          </w:p>
          <w:p>
            <w:pPr>
              <w:widowControl/>
              <w:jc w:val="center"/>
              <w:rPr>
                <w:rFonts w:ascii="宋体" w:hAnsi="宋体" w:cs="宋体"/>
                <w:kern w:val="0"/>
                <w:sz w:val="18"/>
                <w:szCs w:val="18"/>
              </w:rPr>
            </w:pPr>
            <w:r>
              <w:rPr>
                <w:rFonts w:hint="eastAsia" w:ascii="宋体" w:hAnsi="宋体" w:cs="宋体"/>
                <w:sz w:val="18"/>
                <w:szCs w:val="18"/>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jc w:val="center"/>
              <w:rPr>
                <w:rFonts w:ascii="宋体" w:hAnsi="宋体" w:cs="宋体"/>
                <w:kern w:val="0"/>
                <w:sz w:val="18"/>
                <w:szCs w:val="18"/>
              </w:rPr>
            </w:pPr>
            <w:r>
              <w:rPr>
                <w:rFonts w:hint="eastAsia"/>
                <w:sz w:val="18"/>
                <w:szCs w:val="18"/>
              </w:rPr>
              <w:t>利奈唑胺与 沃诺拉赞的 仿制项目</w:t>
            </w:r>
          </w:p>
        </w:tc>
        <w:tc>
          <w:tcPr>
            <w:tcW w:w="1528" w:type="dxa"/>
            <w:shd w:val="clear" w:color="auto" w:fill="auto"/>
            <w:vAlign w:val="center"/>
          </w:tcPr>
          <w:p>
            <w:pPr>
              <w:widowControl/>
              <w:jc w:val="center"/>
              <w:rPr>
                <w:rFonts w:ascii="宋体" w:hAnsi="宋体" w:cs="宋体"/>
                <w:kern w:val="0"/>
                <w:sz w:val="18"/>
                <w:szCs w:val="18"/>
              </w:rPr>
            </w:pPr>
            <w:r>
              <w:rPr>
                <w:rFonts w:hint="eastAsia" w:cs="Arial"/>
                <w:color w:val="000000"/>
                <w:sz w:val="18"/>
                <w:szCs w:val="18"/>
              </w:rPr>
              <w:t>国家一类生物抗癌新药重组人血管内皮抑素注射液研发项目</w:t>
            </w:r>
          </w:p>
        </w:tc>
        <w:tc>
          <w:tcPr>
            <w:tcW w:w="128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1,480.37</w:t>
            </w:r>
          </w:p>
        </w:tc>
        <w:tc>
          <w:tcPr>
            <w:tcW w:w="1143"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557" w:type="dxa"/>
            <w:shd w:val="clear" w:color="auto" w:fill="auto"/>
            <w:vAlign w:val="center"/>
          </w:tcPr>
          <w:p>
            <w:pPr>
              <w:widowControl/>
              <w:jc w:val="center"/>
              <w:rPr>
                <w:rFonts w:ascii="宋体" w:hAnsi="宋体"/>
                <w:kern w:val="0"/>
                <w:sz w:val="18"/>
                <w:szCs w:val="18"/>
              </w:rPr>
            </w:pPr>
            <w:r>
              <w:rPr>
                <w:rFonts w:ascii="宋体" w:hAnsi="宋体"/>
                <w:kern w:val="0"/>
                <w:sz w:val="18"/>
                <w:szCs w:val="18"/>
              </w:rPr>
              <w:t>1.75</w:t>
            </w:r>
          </w:p>
        </w:tc>
        <w:tc>
          <w:tcPr>
            <w:tcW w:w="1080" w:type="dxa"/>
            <w:shd w:val="clear" w:color="auto" w:fill="auto"/>
            <w:vAlign w:val="center"/>
          </w:tcPr>
          <w:p>
            <w:pPr>
              <w:widowControl/>
              <w:jc w:val="center"/>
              <w:rPr>
                <w:rFonts w:ascii="宋体" w:hAnsi="宋体"/>
                <w:kern w:val="0"/>
                <w:sz w:val="18"/>
                <w:szCs w:val="18"/>
              </w:rPr>
            </w:pPr>
            <w:r>
              <w:rPr>
                <w:rFonts w:ascii="宋体" w:hAnsi="宋体"/>
                <w:kern w:val="0"/>
                <w:sz w:val="18"/>
                <w:szCs w:val="18"/>
              </w:rPr>
              <w:t>542.21</w:t>
            </w:r>
          </w:p>
        </w:tc>
        <w:tc>
          <w:tcPr>
            <w:tcW w:w="1260" w:type="dxa"/>
            <w:shd w:val="clear" w:color="auto" w:fill="auto"/>
            <w:vAlign w:val="center"/>
          </w:tcPr>
          <w:p>
            <w:pPr>
              <w:widowControl/>
              <w:jc w:val="center"/>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2026.09</w:t>
            </w:r>
          </w:p>
        </w:tc>
        <w:tc>
          <w:tcPr>
            <w:tcW w:w="126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jc w:val="center"/>
              <w:rPr>
                <w:rFonts w:cs="Arial"/>
                <w:color w:val="000000"/>
                <w:sz w:val="18"/>
                <w:szCs w:val="18"/>
              </w:rPr>
            </w:pPr>
            <w:r>
              <w:rPr>
                <w:rFonts w:hint="eastAsia" w:cs="Arial"/>
                <w:color w:val="000000"/>
                <w:sz w:val="18"/>
                <w:szCs w:val="18"/>
              </w:rPr>
              <w:t>是</w:t>
            </w:r>
          </w:p>
          <w:p>
            <w:pPr>
              <w:widowControl/>
              <w:jc w:val="center"/>
              <w:rPr>
                <w:rFonts w:ascii="宋体" w:hAnsi="宋体" w:cs="宋体"/>
                <w:kern w:val="0"/>
                <w:sz w:val="18"/>
                <w:szCs w:val="18"/>
              </w:rPr>
            </w:pPr>
            <w:r>
              <w:rPr>
                <w:rFonts w:hint="eastAsia" w:ascii="宋体" w:hAnsi="宋体" w:cs="宋体"/>
                <w:sz w:val="18"/>
                <w:szCs w:val="18"/>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合  计</w:t>
            </w:r>
          </w:p>
        </w:tc>
        <w:tc>
          <w:tcPr>
            <w:tcW w:w="1528" w:type="dxa"/>
            <w:shd w:val="clear" w:color="auto" w:fill="auto"/>
            <w:vAlign w:val="center"/>
          </w:tcPr>
          <w:p>
            <w:pPr>
              <w:widowControl/>
              <w:jc w:val="center"/>
              <w:rPr>
                <w:rFonts w:ascii="宋体" w:hAnsi="宋体" w:cs="宋体"/>
                <w:kern w:val="0"/>
                <w:sz w:val="18"/>
                <w:szCs w:val="18"/>
              </w:rPr>
            </w:pPr>
          </w:p>
        </w:tc>
        <w:tc>
          <w:tcPr>
            <w:tcW w:w="1285"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6,367.45</w:t>
            </w:r>
          </w:p>
        </w:tc>
        <w:tc>
          <w:tcPr>
            <w:tcW w:w="1143"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1557" w:type="dxa"/>
            <w:shd w:val="clear" w:color="auto" w:fill="auto"/>
            <w:vAlign w:val="center"/>
          </w:tcPr>
          <w:p>
            <w:pPr>
              <w:widowControl/>
              <w:jc w:val="center"/>
              <w:rPr>
                <w:rFonts w:ascii="宋体" w:hAnsi="宋体" w:cs="宋体"/>
                <w:kern w:val="0"/>
                <w:sz w:val="18"/>
                <w:szCs w:val="18"/>
              </w:rPr>
            </w:pPr>
            <w:r>
              <w:rPr>
                <w:rFonts w:ascii="宋体" w:hAnsi="宋体" w:cs="宋体"/>
                <w:kern w:val="0"/>
                <w:sz w:val="18"/>
                <w:szCs w:val="18"/>
              </w:rPr>
              <w:t>190.24</w:t>
            </w:r>
          </w:p>
        </w:tc>
        <w:tc>
          <w:tcPr>
            <w:tcW w:w="108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6,142.18</w:t>
            </w:r>
          </w:p>
        </w:tc>
        <w:tc>
          <w:tcPr>
            <w:tcW w:w="1260" w:type="dxa"/>
            <w:shd w:val="clear" w:color="auto" w:fill="auto"/>
            <w:vAlign w:val="center"/>
          </w:tcPr>
          <w:p>
            <w:pPr>
              <w:widowControl/>
              <w:jc w:val="center"/>
              <w:rPr>
                <w:rFonts w:ascii="宋体" w:hAnsi="宋体" w:cs="宋体"/>
                <w:kern w:val="0"/>
                <w:sz w:val="18"/>
                <w:szCs w:val="18"/>
              </w:rPr>
            </w:pPr>
            <w:r>
              <w:rPr>
                <w:rFonts w:ascii="Arial Narrow" w:hAnsi="Arial Narrow" w:cs="Arial"/>
                <w:color w:val="000000"/>
                <w:sz w:val="18"/>
                <w:szCs w:val="18"/>
              </w:rPr>
              <w:t>-</w:t>
            </w:r>
          </w:p>
        </w:tc>
        <w:tc>
          <w:tcPr>
            <w:tcW w:w="1272" w:type="dxa"/>
            <w:shd w:val="clear" w:color="auto" w:fill="auto"/>
            <w:vAlign w:val="center"/>
          </w:tcPr>
          <w:p>
            <w:pPr>
              <w:widowControl/>
              <w:jc w:val="center"/>
              <w:rPr>
                <w:rFonts w:ascii="宋体" w:hAnsi="宋体" w:cs="宋体"/>
                <w:kern w:val="0"/>
                <w:sz w:val="18"/>
                <w:szCs w:val="18"/>
              </w:rPr>
            </w:pPr>
            <w:r>
              <w:rPr>
                <w:rFonts w:ascii="Arial Narrow" w:hAnsi="Arial Narrow" w:cs="Arial"/>
                <w:color w:val="000000"/>
                <w:sz w:val="18"/>
                <w:szCs w:val="18"/>
              </w:rPr>
              <w:t>-</w:t>
            </w:r>
          </w:p>
        </w:tc>
        <w:tc>
          <w:tcPr>
            <w:tcW w:w="1260" w:type="dxa"/>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900" w:type="dxa"/>
            <w:shd w:val="clear" w:color="auto" w:fill="auto"/>
            <w:vAlign w:val="center"/>
          </w:tcPr>
          <w:p>
            <w:pPr>
              <w:widowControl/>
              <w:jc w:val="center"/>
              <w:rPr>
                <w:rFonts w:ascii="宋体" w:hAnsi="宋体" w:cs="宋体"/>
                <w:kern w:val="0"/>
                <w:sz w:val="18"/>
                <w:szCs w:val="18"/>
              </w:rPr>
            </w:pPr>
            <w:r>
              <w:rPr>
                <w:rFonts w:ascii="Arial Narrow" w:hAnsi="Arial Narrow" w:cs="Arial"/>
                <w:color w:val="000000"/>
                <w:sz w:val="18"/>
                <w:szCs w:val="18"/>
              </w:rPr>
              <w:t>-</w:t>
            </w:r>
          </w:p>
        </w:tc>
        <w:tc>
          <w:tcPr>
            <w:tcW w:w="1248" w:type="dxa"/>
            <w:shd w:val="clear" w:color="auto" w:fill="auto"/>
            <w:vAlign w:val="center"/>
          </w:tcPr>
          <w:p>
            <w:pPr>
              <w:widowControl/>
              <w:jc w:val="center"/>
              <w:rPr>
                <w:rFonts w:ascii="宋体" w:hAnsi="宋体" w:cs="宋体"/>
                <w:kern w:val="0"/>
                <w:sz w:val="18"/>
                <w:szCs w:val="18"/>
              </w:rPr>
            </w:pPr>
            <w:r>
              <w:rPr>
                <w:rFonts w:ascii="Arial Narrow" w:hAnsi="Arial Narrow" w:cs="Arial"/>
                <w:color w:val="00000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483" w:type="dxa"/>
            <w:gridSpan w:val="4"/>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变更原因、决策程序及信息披露情况说明(分具体募投项目)</w:t>
            </w:r>
          </w:p>
        </w:tc>
        <w:tc>
          <w:tcPr>
            <w:tcW w:w="8577" w:type="dxa"/>
            <w:gridSpan w:val="7"/>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注1：药品自动化立体仓库项目</w:t>
            </w:r>
          </w:p>
          <w:p>
            <w:pPr>
              <w:widowControl/>
              <w:rPr>
                <w:rFonts w:ascii="宋体" w:hAnsi="宋体" w:cs="宋体"/>
                <w:kern w:val="0"/>
                <w:sz w:val="18"/>
                <w:szCs w:val="18"/>
              </w:rPr>
            </w:pPr>
            <w:r>
              <w:rPr>
                <w:rFonts w:hint="eastAsia" w:ascii="宋体" w:hAnsi="宋体" w:cs="宋体"/>
                <w:kern w:val="0"/>
                <w:sz w:val="18"/>
                <w:szCs w:val="18"/>
              </w:rPr>
              <w:t>公司在《江苏吴中医药发展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注2：国家一类生物抗癌新药重组人血管内皮抑素注射液研发项目</w:t>
            </w:r>
          </w:p>
          <w:p>
            <w:pPr>
              <w:widowControl/>
              <w:rPr>
                <w:rFonts w:ascii="宋体" w:hAnsi="宋体" w:cs="宋体"/>
                <w:kern w:val="0"/>
                <w:sz w:val="18"/>
                <w:szCs w:val="18"/>
              </w:rPr>
            </w:pPr>
            <w:r>
              <w:rPr>
                <w:rFonts w:hint="eastAsia" w:ascii="宋体" w:hAnsi="宋体" w:cs="宋体"/>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rPr>
                <w:rFonts w:ascii="宋体" w:hAnsi="宋体" w:cs="宋体"/>
                <w:kern w:val="0"/>
                <w:sz w:val="18"/>
                <w:szCs w:val="18"/>
              </w:rPr>
            </w:pPr>
            <w:r>
              <w:rPr>
                <w:rFonts w:hint="eastAsia" w:ascii="宋体" w:hAnsi="宋体" w:cs="宋体"/>
                <w:kern w:val="0"/>
                <w:sz w:val="18"/>
                <w:szCs w:val="18"/>
              </w:rPr>
              <w:t>综合上述因素，为降低投资风险，提高募集资金使用效率，充分保证公司及全体股东的利益，公司拟对原募投项目“国家一类生物抗癌新药重组人血管内皮抑素注射液研发项目”进行变更。</w:t>
            </w:r>
          </w:p>
          <w:p>
            <w:pPr>
              <w:widowControl/>
              <w:rPr>
                <w:rFonts w:ascii="宋体" w:hAnsi="宋体" w:cs="宋体"/>
                <w:kern w:val="0"/>
                <w:sz w:val="18"/>
                <w:szCs w:val="18"/>
              </w:rPr>
            </w:pPr>
            <w:r>
              <w:rPr>
                <w:rFonts w:hint="eastAsia" w:ascii="宋体" w:hAnsi="宋体" w:cs="宋体"/>
                <w:kern w:val="0"/>
                <w:sz w:val="18"/>
                <w:szCs w:val="18"/>
              </w:rPr>
              <w:t>根据公司下属江苏吴中医药集团有限公司经营发展和实际生产需要，经公司第九届董事会第六次会议、公司第九届监事会第六次会议及2019年第五次临时股东大会审议通过《江苏吴中医药发展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483" w:type="dxa"/>
            <w:gridSpan w:val="4"/>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未达到计划进度的情况和原因(分具体募投项目)</w:t>
            </w:r>
          </w:p>
        </w:tc>
        <w:tc>
          <w:tcPr>
            <w:tcW w:w="8577" w:type="dxa"/>
            <w:gridSpan w:val="7"/>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483" w:type="dxa"/>
            <w:gridSpan w:val="4"/>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8577" w:type="dxa"/>
            <w:gridSpan w:val="7"/>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注3：“西洛他唑等上市化学仿制药的一致性评价项目”中的西洛他唑片、利奈唑胺葡萄糖注射液、注射用艾司奥美拉唑钠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ascii="宋体" w:hAnsi="宋体" w:cs="宋体"/>
                <w:kern w:val="0"/>
                <w:sz w:val="18"/>
                <w:szCs w:val="18"/>
              </w:rPr>
            </w:pPr>
            <w:r>
              <w:rPr>
                <w:rFonts w:hint="eastAsia" w:ascii="宋体" w:hAnsi="宋体" w:cs="宋体"/>
                <w:kern w:val="0"/>
                <w:sz w:val="18"/>
                <w:szCs w:val="18"/>
              </w:rPr>
              <w:t>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万元及利息收入永久补充流动资金， 用于公司日常经营活动，本次变更用途的募集资金金额占公司募集资金净额的 11.15%。 （具体公告详见公司于2021年4月28日在《中国证券报》《上海证券报》及上海证券交易所网站上披露的相关公告。）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bl>
    <w:p>
      <w:pPr>
        <w:spacing w:line="360" w:lineRule="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71BE1"/>
    <w:rsid w:val="0000038C"/>
    <w:rsid w:val="000026E6"/>
    <w:rsid w:val="000052DC"/>
    <w:rsid w:val="0001153F"/>
    <w:rsid w:val="00015559"/>
    <w:rsid w:val="0003171D"/>
    <w:rsid w:val="00034EAF"/>
    <w:rsid w:val="000377FA"/>
    <w:rsid w:val="00037B42"/>
    <w:rsid w:val="000514F9"/>
    <w:rsid w:val="00055DC4"/>
    <w:rsid w:val="0006039B"/>
    <w:rsid w:val="00070F99"/>
    <w:rsid w:val="0007113B"/>
    <w:rsid w:val="00077985"/>
    <w:rsid w:val="000972A4"/>
    <w:rsid w:val="000B0F9D"/>
    <w:rsid w:val="000B3BC8"/>
    <w:rsid w:val="000C1EBF"/>
    <w:rsid w:val="000D2DCA"/>
    <w:rsid w:val="000D5160"/>
    <w:rsid w:val="000D59A8"/>
    <w:rsid w:val="000E2525"/>
    <w:rsid w:val="000E39CC"/>
    <w:rsid w:val="000E5928"/>
    <w:rsid w:val="000E7F53"/>
    <w:rsid w:val="000F3A78"/>
    <w:rsid w:val="001044FC"/>
    <w:rsid w:val="00115DE0"/>
    <w:rsid w:val="00116203"/>
    <w:rsid w:val="00125BE8"/>
    <w:rsid w:val="00125EB5"/>
    <w:rsid w:val="00127ECC"/>
    <w:rsid w:val="001302DF"/>
    <w:rsid w:val="00141A30"/>
    <w:rsid w:val="0014235B"/>
    <w:rsid w:val="001433F4"/>
    <w:rsid w:val="001449C0"/>
    <w:rsid w:val="00151157"/>
    <w:rsid w:val="00163205"/>
    <w:rsid w:val="00164FAA"/>
    <w:rsid w:val="00167B35"/>
    <w:rsid w:val="00173650"/>
    <w:rsid w:val="001741A0"/>
    <w:rsid w:val="00184711"/>
    <w:rsid w:val="00190F6C"/>
    <w:rsid w:val="00194544"/>
    <w:rsid w:val="001947CB"/>
    <w:rsid w:val="001A6F91"/>
    <w:rsid w:val="001C16DA"/>
    <w:rsid w:val="001C73AC"/>
    <w:rsid w:val="001D0721"/>
    <w:rsid w:val="001D198B"/>
    <w:rsid w:val="001E0DDC"/>
    <w:rsid w:val="001E39C4"/>
    <w:rsid w:val="001E49FF"/>
    <w:rsid w:val="001E57CA"/>
    <w:rsid w:val="001F698F"/>
    <w:rsid w:val="00201E57"/>
    <w:rsid w:val="00204DB0"/>
    <w:rsid w:val="002101B8"/>
    <w:rsid w:val="002127B8"/>
    <w:rsid w:val="00217521"/>
    <w:rsid w:val="00227A64"/>
    <w:rsid w:val="002343EA"/>
    <w:rsid w:val="002442A3"/>
    <w:rsid w:val="00251C73"/>
    <w:rsid w:val="00252380"/>
    <w:rsid w:val="002554B0"/>
    <w:rsid w:val="00256018"/>
    <w:rsid w:val="002561CC"/>
    <w:rsid w:val="0025726D"/>
    <w:rsid w:val="0025795B"/>
    <w:rsid w:val="00266464"/>
    <w:rsid w:val="00270486"/>
    <w:rsid w:val="0027220C"/>
    <w:rsid w:val="0027295C"/>
    <w:rsid w:val="00276B63"/>
    <w:rsid w:val="002808AB"/>
    <w:rsid w:val="00284CD2"/>
    <w:rsid w:val="00285AE5"/>
    <w:rsid w:val="00297F43"/>
    <w:rsid w:val="002A1B60"/>
    <w:rsid w:val="002B5713"/>
    <w:rsid w:val="002B7CCB"/>
    <w:rsid w:val="002C43B8"/>
    <w:rsid w:val="002C71E7"/>
    <w:rsid w:val="002D2369"/>
    <w:rsid w:val="002D348C"/>
    <w:rsid w:val="002D4C8C"/>
    <w:rsid w:val="002F64AF"/>
    <w:rsid w:val="002F74DC"/>
    <w:rsid w:val="00322CB8"/>
    <w:rsid w:val="00324EB8"/>
    <w:rsid w:val="003307ED"/>
    <w:rsid w:val="003334F6"/>
    <w:rsid w:val="003402E8"/>
    <w:rsid w:val="00342CB6"/>
    <w:rsid w:val="0035286E"/>
    <w:rsid w:val="00353BA1"/>
    <w:rsid w:val="0035576C"/>
    <w:rsid w:val="00360937"/>
    <w:rsid w:val="00361463"/>
    <w:rsid w:val="00363847"/>
    <w:rsid w:val="003702AD"/>
    <w:rsid w:val="0037324C"/>
    <w:rsid w:val="00373349"/>
    <w:rsid w:val="0038210C"/>
    <w:rsid w:val="003870CC"/>
    <w:rsid w:val="003A1590"/>
    <w:rsid w:val="003A63F8"/>
    <w:rsid w:val="003B1D84"/>
    <w:rsid w:val="003B5345"/>
    <w:rsid w:val="003C607D"/>
    <w:rsid w:val="003C7A7E"/>
    <w:rsid w:val="003D0C3B"/>
    <w:rsid w:val="003D1CB6"/>
    <w:rsid w:val="003D3FFF"/>
    <w:rsid w:val="003D6B86"/>
    <w:rsid w:val="003D798A"/>
    <w:rsid w:val="003E2FD2"/>
    <w:rsid w:val="003E355B"/>
    <w:rsid w:val="003F4088"/>
    <w:rsid w:val="003F5DA1"/>
    <w:rsid w:val="00417107"/>
    <w:rsid w:val="0041720E"/>
    <w:rsid w:val="0042410C"/>
    <w:rsid w:val="00425611"/>
    <w:rsid w:val="0042644B"/>
    <w:rsid w:val="004374BE"/>
    <w:rsid w:val="00444265"/>
    <w:rsid w:val="004502F4"/>
    <w:rsid w:val="004667F2"/>
    <w:rsid w:val="00475AC0"/>
    <w:rsid w:val="00493831"/>
    <w:rsid w:val="004958E0"/>
    <w:rsid w:val="00496E8A"/>
    <w:rsid w:val="004A41EF"/>
    <w:rsid w:val="004A44DF"/>
    <w:rsid w:val="004B68A5"/>
    <w:rsid w:val="004B70B1"/>
    <w:rsid w:val="004B7E3E"/>
    <w:rsid w:val="004C0C76"/>
    <w:rsid w:val="004C27B9"/>
    <w:rsid w:val="004C3A3E"/>
    <w:rsid w:val="004C3DB4"/>
    <w:rsid w:val="004D2BA0"/>
    <w:rsid w:val="004D3489"/>
    <w:rsid w:val="004E363D"/>
    <w:rsid w:val="004F1ED6"/>
    <w:rsid w:val="004F1F15"/>
    <w:rsid w:val="004F65E5"/>
    <w:rsid w:val="005014D1"/>
    <w:rsid w:val="005036F1"/>
    <w:rsid w:val="00511CC2"/>
    <w:rsid w:val="00517C61"/>
    <w:rsid w:val="005216F4"/>
    <w:rsid w:val="00533D0F"/>
    <w:rsid w:val="0054211F"/>
    <w:rsid w:val="00542DA0"/>
    <w:rsid w:val="0054311D"/>
    <w:rsid w:val="00543E11"/>
    <w:rsid w:val="005477DA"/>
    <w:rsid w:val="005526B0"/>
    <w:rsid w:val="005542A7"/>
    <w:rsid w:val="00555131"/>
    <w:rsid w:val="00557690"/>
    <w:rsid w:val="00565741"/>
    <w:rsid w:val="0056668D"/>
    <w:rsid w:val="005712CB"/>
    <w:rsid w:val="005737FA"/>
    <w:rsid w:val="00577CBB"/>
    <w:rsid w:val="00580E39"/>
    <w:rsid w:val="00582889"/>
    <w:rsid w:val="00591636"/>
    <w:rsid w:val="00591C2B"/>
    <w:rsid w:val="005B31BE"/>
    <w:rsid w:val="005B442C"/>
    <w:rsid w:val="005B4F18"/>
    <w:rsid w:val="005C3668"/>
    <w:rsid w:val="005D417A"/>
    <w:rsid w:val="005D4ACB"/>
    <w:rsid w:val="005D5EDA"/>
    <w:rsid w:val="005E4AFF"/>
    <w:rsid w:val="005F0AEF"/>
    <w:rsid w:val="00606509"/>
    <w:rsid w:val="00615D49"/>
    <w:rsid w:val="006216B9"/>
    <w:rsid w:val="006412D7"/>
    <w:rsid w:val="006446F0"/>
    <w:rsid w:val="00645C77"/>
    <w:rsid w:val="00647683"/>
    <w:rsid w:val="00647A28"/>
    <w:rsid w:val="006530C7"/>
    <w:rsid w:val="00654C80"/>
    <w:rsid w:val="00662769"/>
    <w:rsid w:val="00663516"/>
    <w:rsid w:val="0067327D"/>
    <w:rsid w:val="00682D83"/>
    <w:rsid w:val="00683AED"/>
    <w:rsid w:val="0069424B"/>
    <w:rsid w:val="00695D72"/>
    <w:rsid w:val="00697F78"/>
    <w:rsid w:val="006A4EA1"/>
    <w:rsid w:val="006B29CA"/>
    <w:rsid w:val="006B2B65"/>
    <w:rsid w:val="006B7491"/>
    <w:rsid w:val="006C1D25"/>
    <w:rsid w:val="006E12CC"/>
    <w:rsid w:val="0070006A"/>
    <w:rsid w:val="007001F0"/>
    <w:rsid w:val="007014FC"/>
    <w:rsid w:val="00712B2A"/>
    <w:rsid w:val="007230C3"/>
    <w:rsid w:val="0075060C"/>
    <w:rsid w:val="007564B5"/>
    <w:rsid w:val="0076676A"/>
    <w:rsid w:val="00766EEB"/>
    <w:rsid w:val="00772A33"/>
    <w:rsid w:val="00772E4B"/>
    <w:rsid w:val="0078609E"/>
    <w:rsid w:val="007906CC"/>
    <w:rsid w:val="007918EE"/>
    <w:rsid w:val="007A1575"/>
    <w:rsid w:val="007B73C3"/>
    <w:rsid w:val="007C79A9"/>
    <w:rsid w:val="007C7BAF"/>
    <w:rsid w:val="007E27D9"/>
    <w:rsid w:val="007E3476"/>
    <w:rsid w:val="00802A0A"/>
    <w:rsid w:val="00822766"/>
    <w:rsid w:val="0082305D"/>
    <w:rsid w:val="00824AB0"/>
    <w:rsid w:val="008270A7"/>
    <w:rsid w:val="008378DC"/>
    <w:rsid w:val="00837AFB"/>
    <w:rsid w:val="008412C9"/>
    <w:rsid w:val="00841584"/>
    <w:rsid w:val="008448FE"/>
    <w:rsid w:val="008839ED"/>
    <w:rsid w:val="00887DA0"/>
    <w:rsid w:val="00893296"/>
    <w:rsid w:val="008935D4"/>
    <w:rsid w:val="008A72B1"/>
    <w:rsid w:val="008B3703"/>
    <w:rsid w:val="008B3DD4"/>
    <w:rsid w:val="008B43ED"/>
    <w:rsid w:val="008B4735"/>
    <w:rsid w:val="008C0E07"/>
    <w:rsid w:val="008C4A5A"/>
    <w:rsid w:val="008E325B"/>
    <w:rsid w:val="008E57CC"/>
    <w:rsid w:val="008E6165"/>
    <w:rsid w:val="008F5155"/>
    <w:rsid w:val="008F6AB5"/>
    <w:rsid w:val="0090039B"/>
    <w:rsid w:val="00933FA5"/>
    <w:rsid w:val="00934104"/>
    <w:rsid w:val="00935F0C"/>
    <w:rsid w:val="0094672C"/>
    <w:rsid w:val="00953697"/>
    <w:rsid w:val="00955A3F"/>
    <w:rsid w:val="00960430"/>
    <w:rsid w:val="00963B12"/>
    <w:rsid w:val="00967AA4"/>
    <w:rsid w:val="00972218"/>
    <w:rsid w:val="009841CB"/>
    <w:rsid w:val="009878ED"/>
    <w:rsid w:val="00995DC5"/>
    <w:rsid w:val="009A34AB"/>
    <w:rsid w:val="009D55F1"/>
    <w:rsid w:val="009E1FA0"/>
    <w:rsid w:val="009E3014"/>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47CDA"/>
    <w:rsid w:val="00A51FF0"/>
    <w:rsid w:val="00A71BE1"/>
    <w:rsid w:val="00A72475"/>
    <w:rsid w:val="00A842DF"/>
    <w:rsid w:val="00A950B9"/>
    <w:rsid w:val="00A973BC"/>
    <w:rsid w:val="00A97968"/>
    <w:rsid w:val="00AA10D4"/>
    <w:rsid w:val="00AA706B"/>
    <w:rsid w:val="00AB0CFB"/>
    <w:rsid w:val="00AB15F8"/>
    <w:rsid w:val="00AB2664"/>
    <w:rsid w:val="00AB33C0"/>
    <w:rsid w:val="00AB53AC"/>
    <w:rsid w:val="00AB6C97"/>
    <w:rsid w:val="00AC11D0"/>
    <w:rsid w:val="00AC7ABF"/>
    <w:rsid w:val="00AD0003"/>
    <w:rsid w:val="00AD18D6"/>
    <w:rsid w:val="00AD7DEB"/>
    <w:rsid w:val="00AF3E20"/>
    <w:rsid w:val="00AF45BF"/>
    <w:rsid w:val="00AF476E"/>
    <w:rsid w:val="00B03668"/>
    <w:rsid w:val="00B07E79"/>
    <w:rsid w:val="00B10FF0"/>
    <w:rsid w:val="00B129EF"/>
    <w:rsid w:val="00B17AF8"/>
    <w:rsid w:val="00B27494"/>
    <w:rsid w:val="00B31A8D"/>
    <w:rsid w:val="00B369BE"/>
    <w:rsid w:val="00B37311"/>
    <w:rsid w:val="00B40795"/>
    <w:rsid w:val="00B40E4D"/>
    <w:rsid w:val="00B52013"/>
    <w:rsid w:val="00B57C2F"/>
    <w:rsid w:val="00B70134"/>
    <w:rsid w:val="00B777A2"/>
    <w:rsid w:val="00B83EF8"/>
    <w:rsid w:val="00B87AB6"/>
    <w:rsid w:val="00B929E0"/>
    <w:rsid w:val="00BA1EF6"/>
    <w:rsid w:val="00BA46C7"/>
    <w:rsid w:val="00BB3DF2"/>
    <w:rsid w:val="00BB5C59"/>
    <w:rsid w:val="00BB5E17"/>
    <w:rsid w:val="00BB5F62"/>
    <w:rsid w:val="00BC645C"/>
    <w:rsid w:val="00BC7D27"/>
    <w:rsid w:val="00BD58E6"/>
    <w:rsid w:val="00BE0A0A"/>
    <w:rsid w:val="00BE0DD8"/>
    <w:rsid w:val="00BE7989"/>
    <w:rsid w:val="00BF0DC1"/>
    <w:rsid w:val="00BF5380"/>
    <w:rsid w:val="00BF68F7"/>
    <w:rsid w:val="00C00261"/>
    <w:rsid w:val="00C01D90"/>
    <w:rsid w:val="00C1036D"/>
    <w:rsid w:val="00C14435"/>
    <w:rsid w:val="00C37A71"/>
    <w:rsid w:val="00C442D1"/>
    <w:rsid w:val="00C45DDA"/>
    <w:rsid w:val="00C51C5F"/>
    <w:rsid w:val="00C51E1F"/>
    <w:rsid w:val="00C62BAA"/>
    <w:rsid w:val="00C65924"/>
    <w:rsid w:val="00C66833"/>
    <w:rsid w:val="00C6792D"/>
    <w:rsid w:val="00C71DAA"/>
    <w:rsid w:val="00C745A9"/>
    <w:rsid w:val="00C76B43"/>
    <w:rsid w:val="00C770B6"/>
    <w:rsid w:val="00C77455"/>
    <w:rsid w:val="00C77936"/>
    <w:rsid w:val="00C77C63"/>
    <w:rsid w:val="00C8490D"/>
    <w:rsid w:val="00C84E9B"/>
    <w:rsid w:val="00C875F5"/>
    <w:rsid w:val="00CA1004"/>
    <w:rsid w:val="00CA49A9"/>
    <w:rsid w:val="00CB2DCE"/>
    <w:rsid w:val="00CC65AD"/>
    <w:rsid w:val="00CC7C0B"/>
    <w:rsid w:val="00CD2A4D"/>
    <w:rsid w:val="00CD5891"/>
    <w:rsid w:val="00CD607E"/>
    <w:rsid w:val="00CD6EAB"/>
    <w:rsid w:val="00CD7F62"/>
    <w:rsid w:val="00CE3B3D"/>
    <w:rsid w:val="00CE4D8A"/>
    <w:rsid w:val="00CF2676"/>
    <w:rsid w:val="00CF3A66"/>
    <w:rsid w:val="00CF42BE"/>
    <w:rsid w:val="00CF7E7A"/>
    <w:rsid w:val="00D0156B"/>
    <w:rsid w:val="00D01A7C"/>
    <w:rsid w:val="00D04CBB"/>
    <w:rsid w:val="00D05E2F"/>
    <w:rsid w:val="00D141A5"/>
    <w:rsid w:val="00D21B8D"/>
    <w:rsid w:val="00D24824"/>
    <w:rsid w:val="00D25042"/>
    <w:rsid w:val="00D26654"/>
    <w:rsid w:val="00D26D15"/>
    <w:rsid w:val="00D27E79"/>
    <w:rsid w:val="00D3212E"/>
    <w:rsid w:val="00D431AD"/>
    <w:rsid w:val="00D45281"/>
    <w:rsid w:val="00D53DC4"/>
    <w:rsid w:val="00D57603"/>
    <w:rsid w:val="00D601FE"/>
    <w:rsid w:val="00D6753A"/>
    <w:rsid w:val="00D7040A"/>
    <w:rsid w:val="00D71559"/>
    <w:rsid w:val="00D7374F"/>
    <w:rsid w:val="00D73864"/>
    <w:rsid w:val="00D77523"/>
    <w:rsid w:val="00D819D3"/>
    <w:rsid w:val="00D86A2F"/>
    <w:rsid w:val="00D90744"/>
    <w:rsid w:val="00D909E7"/>
    <w:rsid w:val="00D90BC6"/>
    <w:rsid w:val="00D92B06"/>
    <w:rsid w:val="00D9452A"/>
    <w:rsid w:val="00DC0757"/>
    <w:rsid w:val="00DD409A"/>
    <w:rsid w:val="00DD4D91"/>
    <w:rsid w:val="00DE24B3"/>
    <w:rsid w:val="00DE3893"/>
    <w:rsid w:val="00DF08C9"/>
    <w:rsid w:val="00E003D0"/>
    <w:rsid w:val="00E025CD"/>
    <w:rsid w:val="00E05034"/>
    <w:rsid w:val="00E13F46"/>
    <w:rsid w:val="00E14AD6"/>
    <w:rsid w:val="00E15E53"/>
    <w:rsid w:val="00E220DE"/>
    <w:rsid w:val="00E26F68"/>
    <w:rsid w:val="00E30EA1"/>
    <w:rsid w:val="00E31233"/>
    <w:rsid w:val="00E373CB"/>
    <w:rsid w:val="00E552C5"/>
    <w:rsid w:val="00E74755"/>
    <w:rsid w:val="00E74E4D"/>
    <w:rsid w:val="00E77D37"/>
    <w:rsid w:val="00E81D6C"/>
    <w:rsid w:val="00E821A0"/>
    <w:rsid w:val="00E90C0B"/>
    <w:rsid w:val="00E915EA"/>
    <w:rsid w:val="00E9529E"/>
    <w:rsid w:val="00E96761"/>
    <w:rsid w:val="00E97E93"/>
    <w:rsid w:val="00EA6444"/>
    <w:rsid w:val="00EB0FB2"/>
    <w:rsid w:val="00EB67A2"/>
    <w:rsid w:val="00EB7FBA"/>
    <w:rsid w:val="00ED4169"/>
    <w:rsid w:val="00ED4428"/>
    <w:rsid w:val="00ED6800"/>
    <w:rsid w:val="00EE1038"/>
    <w:rsid w:val="00EE1637"/>
    <w:rsid w:val="00EE2FF9"/>
    <w:rsid w:val="00EF2FAC"/>
    <w:rsid w:val="00EF67AA"/>
    <w:rsid w:val="00F03FA2"/>
    <w:rsid w:val="00F07A0E"/>
    <w:rsid w:val="00F10224"/>
    <w:rsid w:val="00F11687"/>
    <w:rsid w:val="00F13C59"/>
    <w:rsid w:val="00F161EE"/>
    <w:rsid w:val="00F168FB"/>
    <w:rsid w:val="00F21312"/>
    <w:rsid w:val="00F22E15"/>
    <w:rsid w:val="00F23D77"/>
    <w:rsid w:val="00F25681"/>
    <w:rsid w:val="00F3504C"/>
    <w:rsid w:val="00F41A60"/>
    <w:rsid w:val="00F41B3B"/>
    <w:rsid w:val="00F43502"/>
    <w:rsid w:val="00F642E6"/>
    <w:rsid w:val="00F75621"/>
    <w:rsid w:val="00F75B8D"/>
    <w:rsid w:val="00F7601B"/>
    <w:rsid w:val="00F81130"/>
    <w:rsid w:val="00F82AEB"/>
    <w:rsid w:val="00F84401"/>
    <w:rsid w:val="00F92A30"/>
    <w:rsid w:val="00F95412"/>
    <w:rsid w:val="00FA5496"/>
    <w:rsid w:val="00FA7E3D"/>
    <w:rsid w:val="00FA7E9E"/>
    <w:rsid w:val="00FB3375"/>
    <w:rsid w:val="00FB56C5"/>
    <w:rsid w:val="00FB79DD"/>
    <w:rsid w:val="00FC49C6"/>
    <w:rsid w:val="00FC55F2"/>
    <w:rsid w:val="00FD17D4"/>
    <w:rsid w:val="00FD212D"/>
    <w:rsid w:val="00FE4FBE"/>
    <w:rsid w:val="00FE57F0"/>
    <w:rsid w:val="00FE5ACA"/>
    <w:rsid w:val="00FF4417"/>
    <w:rsid w:val="011E1FE4"/>
    <w:rsid w:val="05AB320E"/>
    <w:rsid w:val="075A7AEE"/>
    <w:rsid w:val="0F824086"/>
    <w:rsid w:val="20F70189"/>
    <w:rsid w:val="23231726"/>
    <w:rsid w:val="23A203FB"/>
    <w:rsid w:val="265E6816"/>
    <w:rsid w:val="295403E9"/>
    <w:rsid w:val="29C23EF5"/>
    <w:rsid w:val="33AB50A9"/>
    <w:rsid w:val="34EB7E53"/>
    <w:rsid w:val="377E7503"/>
    <w:rsid w:val="3A4F1346"/>
    <w:rsid w:val="3C8A7F52"/>
    <w:rsid w:val="3F163D1F"/>
    <w:rsid w:val="4125399A"/>
    <w:rsid w:val="46F35349"/>
    <w:rsid w:val="4A421E6C"/>
    <w:rsid w:val="4C615185"/>
    <w:rsid w:val="4E0C04AB"/>
    <w:rsid w:val="513C13D7"/>
    <w:rsid w:val="58706FB3"/>
    <w:rsid w:val="6712451C"/>
    <w:rsid w:val="702D2D59"/>
    <w:rsid w:val="73A40BF2"/>
    <w:rsid w:val="744630E1"/>
    <w:rsid w:val="74F17E67"/>
    <w:rsid w:val="75C630A2"/>
    <w:rsid w:val="75F23B02"/>
    <w:rsid w:val="782D7408"/>
    <w:rsid w:val="7E1A54F8"/>
    <w:rsid w:val="7FF9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10999</Words>
  <Characters>12706</Characters>
  <Lines>95</Lines>
  <Paragraphs>26</Paragraphs>
  <TotalTime>24</TotalTime>
  <ScaleCrop>false</ScaleCrop>
  <LinksUpToDate>false</LinksUpToDate>
  <CharactersWithSpaces>12893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2022-08-22T06:31:00Z</dcterms:created>
  <dc:creator>李锐</dc:creator>
  <cp:lastModifiedBy>王雅杰</cp:lastModifiedBy>
  <dcterms:modified xsi:type="dcterms:W3CDTF">2022-08-26T05:37:09Z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4750FE94F88041E883D3F9D0AC2C67DB</vt:lpwstr>
  </property>
</Properties>
</file>