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EBD" w:rsidRDefault="00EB1EBD" w:rsidP="00EB1EBD">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A56ED5">
        <w:rPr>
          <w:rFonts w:ascii="宋体" w:hAnsi="宋体" w:cs="宋体" w:hint="eastAsia"/>
          <w:color w:val="000000"/>
          <w:kern w:val="0"/>
          <w:sz w:val="24"/>
        </w:rPr>
        <w:t>：临2019-</w:t>
      </w:r>
      <w:r w:rsidR="008312C0" w:rsidRPr="00A56ED5">
        <w:rPr>
          <w:rFonts w:ascii="宋体" w:hAnsi="宋体" w:cs="宋体" w:hint="eastAsia"/>
          <w:color w:val="000000"/>
          <w:kern w:val="0"/>
          <w:sz w:val="24"/>
        </w:rPr>
        <w:t>06</w:t>
      </w:r>
      <w:r w:rsidR="00A56ED5" w:rsidRPr="00A56ED5">
        <w:rPr>
          <w:rFonts w:ascii="宋体" w:hAnsi="宋体" w:cs="宋体" w:hint="eastAsia"/>
          <w:color w:val="000000"/>
          <w:kern w:val="0"/>
          <w:sz w:val="24"/>
        </w:rPr>
        <w:t>5</w:t>
      </w:r>
    </w:p>
    <w:p w:rsidR="00EB1EBD" w:rsidRDefault="00EB1EBD" w:rsidP="00EB1EBD">
      <w:pPr>
        <w:spacing w:line="360" w:lineRule="auto"/>
        <w:ind w:rightChars="-73" w:right="-153"/>
        <w:jc w:val="center"/>
        <w:rPr>
          <w:rFonts w:ascii="黑体" w:eastAsia="黑体" w:hAnsi="宋体"/>
          <w:b/>
          <w:bCs/>
          <w:color w:val="FF0000"/>
          <w:sz w:val="32"/>
        </w:rPr>
      </w:pPr>
    </w:p>
    <w:p w:rsidR="00EB1EBD" w:rsidRDefault="00EB1EBD" w:rsidP="00EB1EBD">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江苏吴中实业股份有限公司</w:t>
      </w:r>
    </w:p>
    <w:p w:rsidR="00EB1EBD" w:rsidRPr="00A527F1" w:rsidRDefault="00EB1EBD" w:rsidP="00EB1EBD">
      <w:pPr>
        <w:spacing w:line="360" w:lineRule="auto"/>
        <w:ind w:rightChars="-73" w:right="-153"/>
        <w:jc w:val="center"/>
        <w:rPr>
          <w:rFonts w:ascii="黑体" w:eastAsia="黑体" w:hAnsi="宋体"/>
          <w:b/>
          <w:bCs/>
          <w:color w:val="FF0000"/>
          <w:sz w:val="32"/>
        </w:rPr>
      </w:pPr>
      <w:r w:rsidRPr="00DF23D2">
        <w:rPr>
          <w:rFonts w:ascii="黑体" w:eastAsia="黑体" w:hAnsi="宋体" w:hint="eastAsia"/>
          <w:b/>
          <w:bCs/>
          <w:color w:val="FF0000"/>
          <w:sz w:val="32"/>
        </w:rPr>
        <w:t>关于</w:t>
      </w:r>
      <w:r w:rsidR="003A50CE">
        <w:rPr>
          <w:rFonts w:ascii="黑体" w:eastAsia="黑体" w:hAnsi="宋体" w:hint="eastAsia"/>
          <w:b/>
          <w:bCs/>
          <w:color w:val="FF0000"/>
          <w:sz w:val="32"/>
        </w:rPr>
        <w:t>业绩承诺补偿股份回购实施结果及股份变动</w:t>
      </w:r>
      <w:r w:rsidRPr="00D12422">
        <w:rPr>
          <w:rFonts w:ascii="黑体" w:eastAsia="黑体" w:hAnsi="宋体" w:hint="eastAsia"/>
          <w:b/>
          <w:bCs/>
          <w:color w:val="FF0000"/>
          <w:sz w:val="32"/>
        </w:rPr>
        <w:t>的</w:t>
      </w:r>
      <w:r w:rsidRPr="008844E4">
        <w:rPr>
          <w:rFonts w:ascii="黑体" w:eastAsia="黑体" w:hAnsi="宋体" w:hint="eastAsia"/>
          <w:b/>
          <w:bCs/>
          <w:color w:val="FF0000"/>
          <w:sz w:val="32"/>
        </w:rPr>
        <w:t>公告</w:t>
      </w:r>
    </w:p>
    <w:p w:rsidR="00EB1EBD" w:rsidRDefault="00EB1EBD" w:rsidP="00EB1EBD">
      <w:pPr>
        <w:autoSpaceDE w:val="0"/>
        <w:autoSpaceDN w:val="0"/>
        <w:adjustRightInd w:val="0"/>
        <w:spacing w:line="360" w:lineRule="auto"/>
        <w:ind w:firstLineChars="200" w:firstLine="482"/>
        <w:rPr>
          <w:rFonts w:ascii="ˎ̥" w:hAnsi="ˎ̥" w:hint="eastAsia"/>
          <w:b/>
          <w:sz w:val="24"/>
        </w:rPr>
      </w:pPr>
    </w:p>
    <w:p w:rsidR="00EB1EBD" w:rsidRDefault="00EB1EBD" w:rsidP="00EB1EBD">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EB1EBD" w:rsidRDefault="00EB1EBD" w:rsidP="00EB1EBD">
      <w:pPr>
        <w:pStyle w:val="Default"/>
        <w:spacing w:line="460" w:lineRule="exact"/>
      </w:pPr>
    </w:p>
    <w:p w:rsidR="003A50CE" w:rsidRPr="00234B50" w:rsidRDefault="003A50CE" w:rsidP="003A50CE">
      <w:pPr>
        <w:spacing w:line="336" w:lineRule="auto"/>
        <w:ind w:firstLine="540"/>
        <w:rPr>
          <w:rFonts w:ascii="宋体" w:hAnsi="宋体"/>
          <w:b/>
          <w:sz w:val="24"/>
        </w:rPr>
      </w:pPr>
      <w:r w:rsidRPr="00234B50">
        <w:rPr>
          <w:rFonts w:ascii="宋体" w:hAnsi="宋体" w:hint="eastAsia"/>
          <w:b/>
          <w:sz w:val="24"/>
        </w:rPr>
        <w:t>重要内容提示：</w:t>
      </w:r>
    </w:p>
    <w:p w:rsidR="003A50CE" w:rsidRPr="00234B50" w:rsidRDefault="003A50CE" w:rsidP="003A50CE">
      <w:pPr>
        <w:numPr>
          <w:ilvl w:val="0"/>
          <w:numId w:val="1"/>
        </w:numPr>
        <w:tabs>
          <w:tab w:val="num" w:pos="900"/>
        </w:tabs>
        <w:adjustRightInd w:val="0"/>
        <w:snapToGrid w:val="0"/>
        <w:spacing w:line="360" w:lineRule="auto"/>
        <w:rPr>
          <w:rFonts w:asciiTheme="minorEastAsia" w:hAnsiTheme="minorEastAsia"/>
          <w:color w:val="000000"/>
          <w:sz w:val="24"/>
        </w:rPr>
      </w:pPr>
      <w:r w:rsidRPr="003A50CE">
        <w:rPr>
          <w:rFonts w:asciiTheme="minorEastAsia" w:hAnsiTheme="minorEastAsia" w:hint="eastAsia"/>
          <w:color w:val="000000"/>
          <w:sz w:val="24"/>
        </w:rPr>
        <w:t>本次业绩承诺补偿应回购股份已完成回购，共计</w:t>
      </w:r>
      <w:r w:rsidRPr="003A50CE">
        <w:rPr>
          <w:rFonts w:asciiTheme="minorEastAsia" w:hAnsiTheme="minorEastAsia"/>
          <w:color w:val="000000"/>
          <w:sz w:val="24"/>
        </w:rPr>
        <w:t>9,503,126</w:t>
      </w:r>
      <w:r w:rsidRPr="003A50CE">
        <w:rPr>
          <w:rFonts w:asciiTheme="minorEastAsia" w:hAnsiTheme="minorEastAsia" w:hint="eastAsia"/>
          <w:color w:val="000000"/>
          <w:sz w:val="24"/>
        </w:rPr>
        <w:t>股</w:t>
      </w:r>
    </w:p>
    <w:p w:rsidR="003A50CE" w:rsidRDefault="003A50CE" w:rsidP="003A50CE">
      <w:pPr>
        <w:numPr>
          <w:ilvl w:val="0"/>
          <w:numId w:val="1"/>
        </w:numPr>
        <w:tabs>
          <w:tab w:val="num" w:pos="900"/>
        </w:tabs>
        <w:adjustRightInd w:val="0"/>
        <w:snapToGrid w:val="0"/>
        <w:spacing w:line="360" w:lineRule="auto"/>
        <w:rPr>
          <w:rFonts w:asciiTheme="minorEastAsia" w:hAnsiTheme="minorEastAsia"/>
          <w:color w:val="000000"/>
          <w:sz w:val="24"/>
        </w:rPr>
      </w:pPr>
      <w:r w:rsidRPr="003A50CE">
        <w:rPr>
          <w:rFonts w:asciiTheme="minorEastAsia" w:hAnsiTheme="minorEastAsia" w:hint="eastAsia"/>
          <w:color w:val="000000"/>
          <w:sz w:val="24"/>
        </w:rPr>
        <w:t>回购价格：总价人民币</w:t>
      </w:r>
      <w:r>
        <w:rPr>
          <w:rFonts w:asciiTheme="minorEastAsia" w:hAnsiTheme="minorEastAsia" w:hint="eastAsia"/>
          <w:color w:val="000000"/>
          <w:sz w:val="24"/>
        </w:rPr>
        <w:t>2</w:t>
      </w:r>
      <w:r w:rsidRPr="003A50CE">
        <w:rPr>
          <w:rFonts w:asciiTheme="minorEastAsia" w:hAnsiTheme="minorEastAsia" w:hint="eastAsia"/>
          <w:color w:val="000000"/>
          <w:sz w:val="24"/>
        </w:rPr>
        <w:t>元</w:t>
      </w:r>
    </w:p>
    <w:p w:rsidR="003A50CE" w:rsidRPr="003A50CE" w:rsidRDefault="003A50CE" w:rsidP="003A50CE">
      <w:pPr>
        <w:numPr>
          <w:ilvl w:val="0"/>
          <w:numId w:val="1"/>
        </w:numPr>
        <w:adjustRightInd w:val="0"/>
        <w:snapToGrid w:val="0"/>
        <w:spacing w:line="360" w:lineRule="auto"/>
        <w:rPr>
          <w:rFonts w:asciiTheme="minorEastAsia" w:hAnsiTheme="minorEastAsia"/>
          <w:color w:val="000000"/>
          <w:sz w:val="24"/>
        </w:rPr>
      </w:pPr>
      <w:r>
        <w:rPr>
          <w:rFonts w:asciiTheme="minorEastAsia" w:hAnsiTheme="minorEastAsia" w:hint="eastAsia"/>
          <w:color w:val="000000"/>
          <w:sz w:val="24"/>
        </w:rPr>
        <w:t>注销完成后，</w:t>
      </w:r>
      <w:r w:rsidRPr="003A50CE">
        <w:rPr>
          <w:rFonts w:asciiTheme="minorEastAsia" w:hAnsiTheme="minorEastAsia" w:hint="eastAsia"/>
          <w:color w:val="000000"/>
          <w:sz w:val="24"/>
        </w:rPr>
        <w:t>公司总股本由</w:t>
      </w:r>
      <w:r w:rsidRPr="003A50CE">
        <w:rPr>
          <w:rFonts w:asciiTheme="minorEastAsia" w:hAnsiTheme="minorEastAsia"/>
          <w:color w:val="000000"/>
          <w:sz w:val="24"/>
        </w:rPr>
        <w:t>721,891,958</w:t>
      </w:r>
      <w:r w:rsidRPr="003A50CE">
        <w:rPr>
          <w:rFonts w:asciiTheme="minorEastAsia" w:hAnsiTheme="minorEastAsia" w:hint="eastAsia"/>
          <w:color w:val="000000"/>
          <w:sz w:val="24"/>
        </w:rPr>
        <w:t>股变更为</w:t>
      </w:r>
      <w:r w:rsidRPr="003A50CE">
        <w:rPr>
          <w:rFonts w:asciiTheme="minorEastAsia" w:hAnsiTheme="minorEastAsia"/>
          <w:color w:val="000000"/>
          <w:sz w:val="24"/>
        </w:rPr>
        <w:t>712,388,832</w:t>
      </w:r>
      <w:r>
        <w:rPr>
          <w:rFonts w:asciiTheme="minorEastAsia" w:hAnsiTheme="minorEastAsia" w:hint="eastAsia"/>
          <w:color w:val="000000"/>
          <w:sz w:val="24"/>
        </w:rPr>
        <w:t>股</w:t>
      </w:r>
    </w:p>
    <w:p w:rsidR="003A50CE" w:rsidRPr="003A50CE" w:rsidRDefault="003A50CE" w:rsidP="00EB1EBD">
      <w:pPr>
        <w:pStyle w:val="Default"/>
        <w:spacing w:line="460" w:lineRule="exact"/>
      </w:pPr>
    </w:p>
    <w:p w:rsidR="00B80C5E" w:rsidRPr="00B80C5E" w:rsidRDefault="00B80C5E" w:rsidP="00EB1EBD">
      <w:pPr>
        <w:spacing w:line="360" w:lineRule="auto"/>
        <w:rPr>
          <w:rFonts w:asciiTheme="minorEastAsia" w:eastAsiaTheme="minorEastAsia" w:hAnsiTheme="minorEastAsia"/>
          <w:b/>
          <w:sz w:val="24"/>
        </w:rPr>
      </w:pPr>
      <w:r>
        <w:rPr>
          <w:rFonts w:asciiTheme="minorEastAsia" w:eastAsiaTheme="minorEastAsia" w:hAnsiTheme="minorEastAsia" w:hint="eastAsia"/>
          <w:sz w:val="24"/>
        </w:rPr>
        <w:t xml:space="preserve"> </w:t>
      </w:r>
      <w:r w:rsidRPr="00B80C5E">
        <w:rPr>
          <w:rFonts w:asciiTheme="minorEastAsia" w:eastAsiaTheme="minorEastAsia" w:hAnsiTheme="minorEastAsia" w:hint="eastAsia"/>
          <w:b/>
          <w:sz w:val="24"/>
        </w:rPr>
        <w:t xml:space="preserve">   一、回购审批情况</w:t>
      </w:r>
    </w:p>
    <w:p w:rsidR="005712CB" w:rsidRDefault="00EB1EBD" w:rsidP="00B41408">
      <w:pPr>
        <w:spacing w:line="360" w:lineRule="auto"/>
        <w:ind w:firstLineChars="200" w:firstLine="480"/>
        <w:rPr>
          <w:rFonts w:asciiTheme="minorEastAsia" w:eastAsiaTheme="minorEastAsia" w:hAnsiTheme="minorEastAsia"/>
          <w:sz w:val="24"/>
        </w:rPr>
      </w:pPr>
      <w:r w:rsidRPr="00650CAE">
        <w:rPr>
          <w:rFonts w:asciiTheme="minorEastAsia" w:eastAsiaTheme="minorEastAsia" w:hAnsiTheme="minorEastAsia" w:hint="eastAsia"/>
          <w:sz w:val="24"/>
        </w:rPr>
        <w:t>江苏吴中实业股份有限公司（以下简称“公司”）于</w:t>
      </w:r>
      <w:r w:rsidR="00676AF1">
        <w:rPr>
          <w:rFonts w:asciiTheme="minorEastAsia" w:eastAsiaTheme="minorEastAsia" w:hAnsiTheme="minorEastAsia" w:hint="eastAsia"/>
          <w:sz w:val="24"/>
        </w:rPr>
        <w:t>2016年度实施完成</w:t>
      </w:r>
      <w:r w:rsidR="003F2CF8">
        <w:rPr>
          <w:rFonts w:asciiTheme="minorEastAsia" w:eastAsiaTheme="minorEastAsia" w:hAnsiTheme="minorEastAsia" w:hint="eastAsia"/>
          <w:sz w:val="24"/>
        </w:rPr>
        <w:t>“</w:t>
      </w:r>
      <w:r w:rsidR="003F2CF8" w:rsidRPr="003F2CF8">
        <w:rPr>
          <w:rFonts w:asciiTheme="minorEastAsia" w:eastAsiaTheme="minorEastAsia" w:hAnsiTheme="minorEastAsia" w:hint="eastAsia"/>
          <w:sz w:val="24"/>
        </w:rPr>
        <w:t>发行股份及支付现金购买资产并募集配套资金</w:t>
      </w:r>
      <w:r w:rsidR="003F2CF8">
        <w:rPr>
          <w:rFonts w:asciiTheme="minorEastAsia" w:eastAsiaTheme="minorEastAsia" w:hAnsiTheme="minorEastAsia" w:hint="eastAsia"/>
          <w:sz w:val="24"/>
        </w:rPr>
        <w:t>”项目，</w:t>
      </w:r>
      <w:r w:rsidR="00B41408" w:rsidRPr="00B41408">
        <w:rPr>
          <w:rFonts w:asciiTheme="minorEastAsia" w:eastAsiaTheme="minorEastAsia" w:hAnsiTheme="minorEastAsia" w:hint="eastAsia"/>
          <w:sz w:val="24"/>
        </w:rPr>
        <w:t>根据瑞华会计师事务所（特殊普通合伙）出具的《关于响水恒利达科技化工有限公司2018年度业绩承诺实现情况专项审核报告》（瑞华核字[2019]33180010号），响水</w:t>
      </w:r>
      <w:proofErr w:type="gramStart"/>
      <w:r w:rsidR="00B41408" w:rsidRPr="00B41408">
        <w:rPr>
          <w:rFonts w:asciiTheme="minorEastAsia" w:eastAsiaTheme="minorEastAsia" w:hAnsiTheme="minorEastAsia" w:hint="eastAsia"/>
          <w:sz w:val="24"/>
        </w:rPr>
        <w:t>恒</w:t>
      </w:r>
      <w:proofErr w:type="gramEnd"/>
      <w:r w:rsidR="00B41408" w:rsidRPr="00B41408">
        <w:rPr>
          <w:rFonts w:asciiTheme="minorEastAsia" w:eastAsiaTheme="minorEastAsia" w:hAnsiTheme="minorEastAsia" w:hint="eastAsia"/>
          <w:sz w:val="24"/>
        </w:rPr>
        <w:t>利达科技化工有限公司（以下简称“响水</w:t>
      </w:r>
      <w:proofErr w:type="gramStart"/>
      <w:r w:rsidR="00B41408" w:rsidRPr="00B41408">
        <w:rPr>
          <w:rFonts w:asciiTheme="minorEastAsia" w:eastAsiaTheme="minorEastAsia" w:hAnsiTheme="minorEastAsia" w:hint="eastAsia"/>
          <w:sz w:val="24"/>
        </w:rPr>
        <w:t>恒</w:t>
      </w:r>
      <w:proofErr w:type="gramEnd"/>
      <w:r w:rsidR="00B41408" w:rsidRPr="00B41408">
        <w:rPr>
          <w:rFonts w:asciiTheme="minorEastAsia" w:eastAsiaTheme="minorEastAsia" w:hAnsiTheme="minorEastAsia" w:hint="eastAsia"/>
          <w:sz w:val="24"/>
        </w:rPr>
        <w:t>利达”）</w:t>
      </w:r>
      <w:r w:rsidR="00B41408">
        <w:rPr>
          <w:rFonts w:asciiTheme="minorEastAsia" w:eastAsiaTheme="minorEastAsia" w:hAnsiTheme="minorEastAsia" w:hint="eastAsia"/>
          <w:sz w:val="24"/>
        </w:rPr>
        <w:t>2018年度业绩承诺未实现，按照</w:t>
      </w:r>
      <w:r w:rsidR="00B41408" w:rsidRPr="00B41408">
        <w:rPr>
          <w:rFonts w:asciiTheme="minorEastAsia" w:eastAsiaTheme="minorEastAsia" w:hAnsiTheme="minorEastAsia" w:hint="eastAsia"/>
          <w:sz w:val="24"/>
        </w:rPr>
        <w:t>公司与毕红芬、毕永星、潘培华</w:t>
      </w:r>
      <w:r w:rsidR="00B41408">
        <w:rPr>
          <w:rFonts w:asciiTheme="minorEastAsia" w:eastAsiaTheme="minorEastAsia" w:hAnsiTheme="minorEastAsia" w:hint="eastAsia"/>
          <w:sz w:val="24"/>
        </w:rPr>
        <w:t>（以下简称“交易对方”）</w:t>
      </w:r>
      <w:r w:rsidR="00B41408" w:rsidRPr="00B41408">
        <w:rPr>
          <w:rFonts w:asciiTheme="minorEastAsia" w:eastAsiaTheme="minorEastAsia" w:hAnsiTheme="minorEastAsia" w:hint="eastAsia"/>
          <w:sz w:val="24"/>
        </w:rPr>
        <w:t>签订的《江苏吴中实业股份有限公司与毕红芬、毕永星、潘培华发行股份及支付现金购买资产协议》、《江苏吴中实业股份有限公司与毕红芬、毕永星、潘培华发行股份及支付现金购买资产之业绩承诺及补偿协议》</w:t>
      </w:r>
      <w:r w:rsidR="00B41408">
        <w:rPr>
          <w:rFonts w:asciiTheme="minorEastAsia" w:eastAsiaTheme="minorEastAsia" w:hAnsiTheme="minorEastAsia" w:hint="eastAsia"/>
          <w:sz w:val="24"/>
        </w:rPr>
        <w:t>，</w:t>
      </w:r>
      <w:r w:rsidR="00B41408" w:rsidRPr="00B41408">
        <w:rPr>
          <w:rFonts w:asciiTheme="minorEastAsia" w:eastAsiaTheme="minorEastAsia" w:hAnsiTheme="minorEastAsia" w:hint="eastAsia"/>
          <w:sz w:val="24"/>
        </w:rPr>
        <w:t>公司与毕红芬签订的《关于响水恒利达科技化工有限公司年产28200吨中高档有机颜料、50000吨中高档分散染料项目之二期项目业绩承诺协议》</w:t>
      </w:r>
      <w:r w:rsidR="00B41408">
        <w:rPr>
          <w:rFonts w:asciiTheme="minorEastAsia" w:eastAsiaTheme="minorEastAsia" w:hAnsiTheme="minorEastAsia" w:hint="eastAsia"/>
          <w:sz w:val="24"/>
        </w:rPr>
        <w:t>，以及</w:t>
      </w:r>
      <w:r w:rsidR="00B41408" w:rsidRPr="00B41408">
        <w:rPr>
          <w:rFonts w:asciiTheme="minorEastAsia" w:eastAsiaTheme="minorEastAsia" w:hAnsiTheme="minorEastAsia" w:hint="eastAsia"/>
          <w:sz w:val="24"/>
        </w:rPr>
        <w:t>公司与交易对方于2019年5月15日签订的《江苏吴中实业股份有限公司回购并注销业绩补偿股份协议（一）》、《江苏吴中实业股份有限公司回购并注销业绩补偿股份协议（二）》</w:t>
      </w:r>
      <w:r w:rsidR="00B41408">
        <w:rPr>
          <w:rFonts w:asciiTheme="minorEastAsia" w:eastAsiaTheme="minorEastAsia" w:hAnsiTheme="minorEastAsia" w:hint="eastAsia"/>
          <w:sz w:val="24"/>
        </w:rPr>
        <w:t>，</w:t>
      </w:r>
      <w:r w:rsidR="00B41408" w:rsidRPr="00B41408">
        <w:rPr>
          <w:rFonts w:asciiTheme="minorEastAsia" w:eastAsiaTheme="minorEastAsia" w:hAnsiTheme="minorEastAsia" w:hint="eastAsia"/>
          <w:sz w:val="24"/>
        </w:rPr>
        <w:t>毕红芬、毕永星、潘培华应向公司补偿股份数量明细如下表：</w:t>
      </w:r>
    </w:p>
    <w:p w:rsidR="00520DC1" w:rsidRPr="00520DC1" w:rsidRDefault="00520DC1" w:rsidP="00B41408">
      <w:pPr>
        <w:spacing w:line="360" w:lineRule="auto"/>
        <w:ind w:firstLineChars="200" w:firstLine="480"/>
        <w:rPr>
          <w:rFonts w:asciiTheme="minorEastAsia" w:eastAsiaTheme="minorEastAsia" w:hAnsiTheme="minorEastAsia"/>
          <w:sz w:val="24"/>
        </w:rPr>
      </w:pPr>
    </w:p>
    <w:tbl>
      <w:tblPr>
        <w:tblStyle w:val="a3"/>
        <w:tblW w:w="4928"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76"/>
        <w:gridCol w:w="1657"/>
        <w:gridCol w:w="2022"/>
        <w:gridCol w:w="2022"/>
        <w:gridCol w:w="2022"/>
      </w:tblGrid>
      <w:tr w:rsidR="00B41408" w:rsidRPr="00E96224" w:rsidTr="00E01ED0">
        <w:trPr>
          <w:jc w:val="center"/>
        </w:trPr>
        <w:tc>
          <w:tcPr>
            <w:tcW w:w="402" w:type="pct"/>
            <w:vMerge w:val="restart"/>
            <w:vAlign w:val="center"/>
          </w:tcPr>
          <w:p w:rsidR="00B41408" w:rsidRPr="00E96224" w:rsidRDefault="00B41408" w:rsidP="00E01ED0">
            <w:pPr>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lastRenderedPageBreak/>
              <w:t>序号</w:t>
            </w:r>
          </w:p>
        </w:tc>
        <w:tc>
          <w:tcPr>
            <w:tcW w:w="986" w:type="pct"/>
            <w:vMerge w:val="restart"/>
            <w:vAlign w:val="center"/>
          </w:tcPr>
          <w:p w:rsidR="00B41408" w:rsidRPr="00E96224" w:rsidRDefault="00B41408" w:rsidP="00E01ED0">
            <w:pPr>
              <w:jc w:val="center"/>
              <w:rPr>
                <w:rFonts w:asciiTheme="minorEastAsia" w:eastAsiaTheme="minorEastAsia" w:hAnsiTheme="minorEastAsia"/>
                <w:b/>
                <w:sz w:val="21"/>
                <w:szCs w:val="21"/>
              </w:rPr>
            </w:pPr>
            <w:r w:rsidRPr="00E96224">
              <w:rPr>
                <w:rFonts w:asciiTheme="minorEastAsia" w:eastAsiaTheme="minorEastAsia" w:hAnsiTheme="minorEastAsia"/>
                <w:b/>
                <w:sz w:val="21"/>
                <w:szCs w:val="21"/>
              </w:rPr>
              <w:t>业绩承诺方</w:t>
            </w:r>
          </w:p>
        </w:tc>
        <w:tc>
          <w:tcPr>
            <w:tcW w:w="3611" w:type="pct"/>
            <w:gridSpan w:val="3"/>
            <w:vAlign w:val="center"/>
          </w:tcPr>
          <w:p w:rsidR="00B41408" w:rsidRPr="00E96224" w:rsidRDefault="00B41408" w:rsidP="00E01ED0">
            <w:pPr>
              <w:ind w:firstLine="422"/>
              <w:jc w:val="center"/>
              <w:rPr>
                <w:rFonts w:asciiTheme="minorEastAsia" w:eastAsiaTheme="minorEastAsia" w:hAnsiTheme="minorEastAsia"/>
                <w:b/>
                <w:sz w:val="21"/>
                <w:szCs w:val="21"/>
              </w:rPr>
            </w:pPr>
            <w:r w:rsidRPr="00E96224">
              <w:rPr>
                <w:rFonts w:asciiTheme="minorEastAsia" w:eastAsiaTheme="minorEastAsia" w:hAnsiTheme="minorEastAsia"/>
                <w:b/>
                <w:sz w:val="21"/>
                <w:szCs w:val="21"/>
              </w:rPr>
              <w:t>应补偿股份数量（股）</w:t>
            </w:r>
          </w:p>
        </w:tc>
      </w:tr>
      <w:tr w:rsidR="00B41408" w:rsidRPr="00E96224" w:rsidTr="00E01ED0">
        <w:trPr>
          <w:jc w:val="center"/>
        </w:trPr>
        <w:tc>
          <w:tcPr>
            <w:tcW w:w="402" w:type="pct"/>
            <w:vMerge/>
            <w:vAlign w:val="center"/>
          </w:tcPr>
          <w:p w:rsidR="00B41408" w:rsidRPr="00E96224" w:rsidRDefault="00B41408" w:rsidP="00E01ED0">
            <w:pPr>
              <w:ind w:firstLine="422"/>
              <w:jc w:val="center"/>
              <w:rPr>
                <w:rFonts w:asciiTheme="minorEastAsia" w:eastAsiaTheme="minorEastAsia" w:hAnsiTheme="minorEastAsia"/>
                <w:b/>
                <w:sz w:val="21"/>
                <w:szCs w:val="21"/>
              </w:rPr>
            </w:pPr>
          </w:p>
        </w:tc>
        <w:tc>
          <w:tcPr>
            <w:tcW w:w="986" w:type="pct"/>
            <w:vMerge/>
            <w:vAlign w:val="center"/>
          </w:tcPr>
          <w:p w:rsidR="00B41408" w:rsidRPr="00E96224" w:rsidRDefault="00B41408" w:rsidP="00E01ED0">
            <w:pPr>
              <w:ind w:firstLine="422"/>
              <w:jc w:val="center"/>
              <w:rPr>
                <w:rFonts w:asciiTheme="minorEastAsia" w:eastAsiaTheme="minorEastAsia" w:hAnsiTheme="minorEastAsia"/>
                <w:b/>
                <w:sz w:val="21"/>
                <w:szCs w:val="21"/>
              </w:rPr>
            </w:pPr>
          </w:p>
        </w:tc>
        <w:tc>
          <w:tcPr>
            <w:tcW w:w="1204" w:type="pct"/>
            <w:vAlign w:val="center"/>
          </w:tcPr>
          <w:p w:rsidR="00B41408" w:rsidRDefault="00B41408" w:rsidP="00E01ED0">
            <w:pPr>
              <w:jc w:val="center"/>
              <w:rPr>
                <w:rFonts w:asciiTheme="minorEastAsia" w:eastAsiaTheme="minorEastAsia" w:hAnsiTheme="minorEastAsia"/>
                <w:b/>
                <w:sz w:val="21"/>
                <w:szCs w:val="21"/>
              </w:rPr>
            </w:pPr>
            <w:r w:rsidRPr="00E96224">
              <w:rPr>
                <w:rFonts w:asciiTheme="minorEastAsia" w:eastAsiaTheme="minorEastAsia" w:hAnsiTheme="minorEastAsia"/>
                <w:b/>
                <w:sz w:val="21"/>
                <w:szCs w:val="21"/>
              </w:rPr>
              <w:t>一期</w:t>
            </w:r>
            <w:r w:rsidRPr="00E96224">
              <w:rPr>
                <w:rFonts w:asciiTheme="minorEastAsia" w:eastAsiaTheme="minorEastAsia" w:hAnsiTheme="minorEastAsia" w:hint="eastAsia"/>
                <w:b/>
                <w:sz w:val="21"/>
                <w:szCs w:val="21"/>
              </w:rPr>
              <w:t>项目</w:t>
            </w:r>
          </w:p>
          <w:p w:rsidR="00B41408" w:rsidRPr="00E96224" w:rsidRDefault="00B41408" w:rsidP="00E01ED0">
            <w:pPr>
              <w:jc w:val="center"/>
              <w:rPr>
                <w:rFonts w:asciiTheme="minorEastAsia" w:eastAsiaTheme="minorEastAsia" w:hAnsiTheme="minorEastAsia"/>
                <w:b/>
                <w:sz w:val="21"/>
                <w:szCs w:val="21"/>
              </w:rPr>
            </w:pPr>
            <w:r w:rsidRPr="00E96224">
              <w:rPr>
                <w:rFonts w:asciiTheme="minorEastAsia" w:eastAsiaTheme="minorEastAsia" w:hAnsiTheme="minorEastAsia"/>
                <w:b/>
                <w:sz w:val="21"/>
                <w:szCs w:val="21"/>
              </w:rPr>
              <w:t>应补偿股份数</w:t>
            </w:r>
          </w:p>
        </w:tc>
        <w:tc>
          <w:tcPr>
            <w:tcW w:w="1204" w:type="pct"/>
            <w:vAlign w:val="center"/>
          </w:tcPr>
          <w:p w:rsidR="00B41408" w:rsidRDefault="00B41408" w:rsidP="00E01ED0">
            <w:pPr>
              <w:jc w:val="center"/>
              <w:rPr>
                <w:rFonts w:asciiTheme="minorEastAsia" w:eastAsiaTheme="minorEastAsia" w:hAnsiTheme="minorEastAsia"/>
                <w:b/>
                <w:sz w:val="21"/>
                <w:szCs w:val="21"/>
              </w:rPr>
            </w:pPr>
            <w:r w:rsidRPr="00E96224">
              <w:rPr>
                <w:rFonts w:asciiTheme="minorEastAsia" w:eastAsiaTheme="minorEastAsia" w:hAnsiTheme="minorEastAsia"/>
                <w:b/>
                <w:sz w:val="21"/>
                <w:szCs w:val="21"/>
              </w:rPr>
              <w:t>二期</w:t>
            </w:r>
            <w:r w:rsidRPr="00E96224">
              <w:rPr>
                <w:rFonts w:asciiTheme="minorEastAsia" w:eastAsiaTheme="minorEastAsia" w:hAnsiTheme="minorEastAsia" w:hint="eastAsia"/>
                <w:b/>
                <w:sz w:val="21"/>
                <w:szCs w:val="21"/>
              </w:rPr>
              <w:t>项目</w:t>
            </w:r>
          </w:p>
          <w:p w:rsidR="00B41408" w:rsidRPr="00E96224" w:rsidRDefault="00B41408" w:rsidP="00E01ED0">
            <w:pPr>
              <w:jc w:val="center"/>
              <w:rPr>
                <w:rFonts w:asciiTheme="minorEastAsia" w:eastAsiaTheme="minorEastAsia" w:hAnsiTheme="minorEastAsia"/>
                <w:b/>
                <w:sz w:val="21"/>
                <w:szCs w:val="21"/>
              </w:rPr>
            </w:pPr>
            <w:r w:rsidRPr="00E96224">
              <w:rPr>
                <w:rFonts w:asciiTheme="minorEastAsia" w:eastAsiaTheme="minorEastAsia" w:hAnsiTheme="minorEastAsia"/>
                <w:b/>
                <w:sz w:val="21"/>
                <w:szCs w:val="21"/>
              </w:rPr>
              <w:t>应补偿股份数</w:t>
            </w:r>
          </w:p>
        </w:tc>
        <w:tc>
          <w:tcPr>
            <w:tcW w:w="1204" w:type="pct"/>
            <w:vAlign w:val="center"/>
          </w:tcPr>
          <w:p w:rsidR="00B41408" w:rsidRPr="00E96224" w:rsidRDefault="00B41408" w:rsidP="00E01ED0">
            <w:pPr>
              <w:jc w:val="center"/>
              <w:rPr>
                <w:rFonts w:asciiTheme="minorEastAsia" w:eastAsiaTheme="minorEastAsia" w:hAnsiTheme="minorEastAsia"/>
                <w:b/>
                <w:sz w:val="21"/>
                <w:szCs w:val="21"/>
              </w:rPr>
            </w:pPr>
            <w:r w:rsidRPr="00E96224">
              <w:rPr>
                <w:rFonts w:asciiTheme="minorEastAsia" w:eastAsiaTheme="minorEastAsia" w:hAnsiTheme="minorEastAsia"/>
                <w:b/>
                <w:sz w:val="21"/>
                <w:szCs w:val="21"/>
              </w:rPr>
              <w:t>合计</w:t>
            </w:r>
          </w:p>
        </w:tc>
      </w:tr>
      <w:tr w:rsidR="00B41408" w:rsidRPr="00E96224" w:rsidTr="00E01ED0">
        <w:trPr>
          <w:jc w:val="center"/>
        </w:trPr>
        <w:tc>
          <w:tcPr>
            <w:tcW w:w="402" w:type="pct"/>
            <w:vAlign w:val="center"/>
          </w:tcPr>
          <w:p w:rsidR="00B41408" w:rsidRPr="00E96224" w:rsidRDefault="00B41408" w:rsidP="00E01ED0">
            <w:pPr>
              <w:jc w:val="center"/>
              <w:rPr>
                <w:rFonts w:asciiTheme="minorEastAsia" w:eastAsiaTheme="minorEastAsia" w:hAnsiTheme="minorEastAsia"/>
                <w:sz w:val="21"/>
                <w:szCs w:val="21"/>
              </w:rPr>
            </w:pPr>
            <w:r w:rsidRPr="00E96224">
              <w:rPr>
                <w:rFonts w:asciiTheme="minorEastAsia" w:eastAsiaTheme="minorEastAsia" w:hAnsiTheme="minorEastAsia"/>
                <w:sz w:val="21"/>
                <w:szCs w:val="21"/>
              </w:rPr>
              <w:t>1</w:t>
            </w:r>
          </w:p>
        </w:tc>
        <w:tc>
          <w:tcPr>
            <w:tcW w:w="986" w:type="pct"/>
            <w:vAlign w:val="center"/>
          </w:tcPr>
          <w:p w:rsidR="00B41408" w:rsidRPr="00E96224" w:rsidRDefault="00B41408" w:rsidP="00E01ED0">
            <w:pPr>
              <w:jc w:val="center"/>
              <w:rPr>
                <w:rFonts w:asciiTheme="minorEastAsia" w:eastAsiaTheme="minorEastAsia" w:hAnsiTheme="minorEastAsia"/>
                <w:sz w:val="21"/>
                <w:szCs w:val="21"/>
              </w:rPr>
            </w:pPr>
            <w:r w:rsidRPr="00E96224">
              <w:rPr>
                <w:rFonts w:asciiTheme="minorEastAsia" w:eastAsiaTheme="minorEastAsia" w:hAnsiTheme="minorEastAsia"/>
                <w:sz w:val="21"/>
                <w:szCs w:val="21"/>
              </w:rPr>
              <w:t>毕红芬</w:t>
            </w:r>
          </w:p>
        </w:tc>
        <w:tc>
          <w:tcPr>
            <w:tcW w:w="1204" w:type="pct"/>
            <w:vAlign w:val="center"/>
          </w:tcPr>
          <w:p w:rsidR="00B41408" w:rsidRPr="00A77873" w:rsidRDefault="00B41408" w:rsidP="00E01ED0">
            <w:pPr>
              <w:jc w:val="right"/>
              <w:rPr>
                <w:rFonts w:ascii="宋体" w:hAnsi="宋体"/>
                <w:kern w:val="2"/>
                <w:szCs w:val="21"/>
              </w:rPr>
            </w:pPr>
            <w:r w:rsidRPr="00A77873">
              <w:rPr>
                <w:rFonts w:ascii="宋体" w:hAnsi="宋体" w:hint="eastAsia"/>
                <w:kern w:val="2"/>
                <w:szCs w:val="21"/>
              </w:rPr>
              <w:t>6,973,279</w:t>
            </w:r>
          </w:p>
        </w:tc>
        <w:tc>
          <w:tcPr>
            <w:tcW w:w="1204" w:type="pct"/>
            <w:vAlign w:val="center"/>
          </w:tcPr>
          <w:p w:rsidR="00B41408" w:rsidRPr="00E96224" w:rsidRDefault="00B41408" w:rsidP="00E01ED0">
            <w:pPr>
              <w:ind w:firstLine="420"/>
              <w:jc w:val="right"/>
              <w:rPr>
                <w:rFonts w:asciiTheme="minorEastAsia" w:eastAsiaTheme="minorEastAsia" w:hAnsiTheme="minorEastAsia"/>
                <w:sz w:val="21"/>
                <w:szCs w:val="21"/>
              </w:rPr>
            </w:pPr>
            <w:r w:rsidRPr="00515405">
              <w:rPr>
                <w:rFonts w:asciiTheme="minorEastAsia" w:eastAsiaTheme="minorEastAsia" w:hAnsiTheme="minorEastAsia"/>
                <w:sz w:val="21"/>
                <w:szCs w:val="21"/>
              </w:rPr>
              <w:t>876,034</w:t>
            </w:r>
          </w:p>
        </w:tc>
        <w:tc>
          <w:tcPr>
            <w:tcW w:w="1204" w:type="pct"/>
            <w:vAlign w:val="center"/>
          </w:tcPr>
          <w:p w:rsidR="00B41408" w:rsidRPr="00E96224" w:rsidRDefault="00B41408" w:rsidP="00E01ED0">
            <w:pPr>
              <w:ind w:firstLine="420"/>
              <w:jc w:val="right"/>
              <w:rPr>
                <w:rFonts w:asciiTheme="minorEastAsia" w:eastAsiaTheme="minorEastAsia" w:hAnsiTheme="minorEastAsia"/>
                <w:sz w:val="21"/>
                <w:szCs w:val="21"/>
              </w:rPr>
            </w:pPr>
            <w:r>
              <w:rPr>
                <w:rFonts w:asciiTheme="minorEastAsia" w:eastAsiaTheme="minorEastAsia" w:hAnsiTheme="minorEastAsia" w:hint="eastAsia"/>
                <w:sz w:val="21"/>
                <w:szCs w:val="21"/>
              </w:rPr>
              <w:t>7,849,313</w:t>
            </w:r>
          </w:p>
        </w:tc>
      </w:tr>
      <w:tr w:rsidR="00B41408" w:rsidRPr="00E96224" w:rsidTr="00E01ED0">
        <w:trPr>
          <w:jc w:val="center"/>
        </w:trPr>
        <w:tc>
          <w:tcPr>
            <w:tcW w:w="402" w:type="pct"/>
            <w:vAlign w:val="center"/>
          </w:tcPr>
          <w:p w:rsidR="00B41408" w:rsidRPr="00E96224" w:rsidRDefault="00B41408" w:rsidP="00E01ED0">
            <w:pPr>
              <w:jc w:val="center"/>
              <w:rPr>
                <w:rFonts w:asciiTheme="minorEastAsia" w:eastAsiaTheme="minorEastAsia" w:hAnsiTheme="minorEastAsia"/>
                <w:sz w:val="21"/>
                <w:szCs w:val="21"/>
              </w:rPr>
            </w:pPr>
            <w:r w:rsidRPr="00E96224">
              <w:rPr>
                <w:rFonts w:asciiTheme="minorEastAsia" w:eastAsiaTheme="minorEastAsia" w:hAnsiTheme="minorEastAsia"/>
                <w:sz w:val="21"/>
                <w:szCs w:val="21"/>
              </w:rPr>
              <w:t>2</w:t>
            </w:r>
          </w:p>
        </w:tc>
        <w:tc>
          <w:tcPr>
            <w:tcW w:w="986" w:type="pct"/>
            <w:vAlign w:val="center"/>
          </w:tcPr>
          <w:p w:rsidR="00B41408" w:rsidRPr="00E96224" w:rsidRDefault="00B41408" w:rsidP="00E01ED0">
            <w:pPr>
              <w:jc w:val="center"/>
              <w:rPr>
                <w:rFonts w:asciiTheme="minorEastAsia" w:eastAsiaTheme="minorEastAsia" w:hAnsiTheme="minorEastAsia"/>
                <w:sz w:val="21"/>
                <w:szCs w:val="21"/>
              </w:rPr>
            </w:pPr>
            <w:r w:rsidRPr="00E96224">
              <w:rPr>
                <w:rFonts w:asciiTheme="minorEastAsia" w:eastAsiaTheme="minorEastAsia" w:hAnsiTheme="minorEastAsia"/>
                <w:sz w:val="21"/>
                <w:szCs w:val="21"/>
              </w:rPr>
              <w:t>毕永星</w:t>
            </w:r>
          </w:p>
        </w:tc>
        <w:tc>
          <w:tcPr>
            <w:tcW w:w="1204" w:type="pct"/>
            <w:vAlign w:val="center"/>
          </w:tcPr>
          <w:p w:rsidR="00B41408" w:rsidRPr="00A77873" w:rsidRDefault="00B41408" w:rsidP="00E01ED0">
            <w:pPr>
              <w:jc w:val="right"/>
              <w:rPr>
                <w:rFonts w:ascii="宋体" w:hAnsi="宋体"/>
                <w:kern w:val="2"/>
                <w:szCs w:val="21"/>
              </w:rPr>
            </w:pPr>
            <w:r w:rsidRPr="00A77873">
              <w:rPr>
                <w:rFonts w:ascii="宋体" w:hAnsi="宋体" w:hint="eastAsia"/>
                <w:kern w:val="2"/>
                <w:szCs w:val="21"/>
              </w:rPr>
              <w:t>862,709</w:t>
            </w:r>
          </w:p>
        </w:tc>
        <w:tc>
          <w:tcPr>
            <w:tcW w:w="1204" w:type="pct"/>
            <w:vAlign w:val="center"/>
          </w:tcPr>
          <w:p w:rsidR="00B41408" w:rsidRPr="00E96224" w:rsidRDefault="00B41408" w:rsidP="00E01ED0">
            <w:pPr>
              <w:ind w:firstLine="420"/>
              <w:jc w:val="right"/>
              <w:rPr>
                <w:rFonts w:asciiTheme="minorEastAsia" w:eastAsiaTheme="minorEastAsia" w:hAnsiTheme="minorEastAsia"/>
                <w:sz w:val="21"/>
                <w:szCs w:val="21"/>
              </w:rPr>
            </w:pPr>
            <w:r w:rsidRPr="00E96224">
              <w:rPr>
                <w:rFonts w:asciiTheme="minorEastAsia" w:eastAsiaTheme="minorEastAsia" w:hAnsiTheme="minorEastAsia"/>
                <w:sz w:val="21"/>
                <w:szCs w:val="21"/>
              </w:rPr>
              <w:t>不适用</w:t>
            </w:r>
          </w:p>
        </w:tc>
        <w:tc>
          <w:tcPr>
            <w:tcW w:w="1204" w:type="pct"/>
            <w:vAlign w:val="center"/>
          </w:tcPr>
          <w:p w:rsidR="00B41408" w:rsidRPr="00A77873" w:rsidRDefault="00B41408" w:rsidP="00E01ED0">
            <w:pPr>
              <w:jc w:val="right"/>
              <w:rPr>
                <w:rFonts w:ascii="宋体" w:hAnsi="宋体"/>
                <w:kern w:val="2"/>
                <w:szCs w:val="21"/>
              </w:rPr>
            </w:pPr>
            <w:r w:rsidRPr="00A77873">
              <w:rPr>
                <w:rFonts w:ascii="宋体" w:hAnsi="宋体" w:hint="eastAsia"/>
                <w:kern w:val="2"/>
                <w:szCs w:val="21"/>
              </w:rPr>
              <w:t>862,709</w:t>
            </w:r>
          </w:p>
        </w:tc>
      </w:tr>
      <w:tr w:rsidR="00B41408" w:rsidRPr="00E96224" w:rsidTr="00E01ED0">
        <w:trPr>
          <w:jc w:val="center"/>
        </w:trPr>
        <w:tc>
          <w:tcPr>
            <w:tcW w:w="402" w:type="pct"/>
            <w:vAlign w:val="center"/>
          </w:tcPr>
          <w:p w:rsidR="00B41408" w:rsidRPr="00E96224" w:rsidRDefault="00B41408" w:rsidP="00E01ED0">
            <w:pPr>
              <w:jc w:val="center"/>
              <w:rPr>
                <w:rFonts w:asciiTheme="minorEastAsia" w:eastAsiaTheme="minorEastAsia" w:hAnsiTheme="minorEastAsia"/>
                <w:sz w:val="21"/>
                <w:szCs w:val="21"/>
              </w:rPr>
            </w:pPr>
            <w:r w:rsidRPr="00E96224">
              <w:rPr>
                <w:rFonts w:asciiTheme="minorEastAsia" w:eastAsiaTheme="minorEastAsia" w:hAnsiTheme="minorEastAsia"/>
                <w:sz w:val="21"/>
                <w:szCs w:val="21"/>
              </w:rPr>
              <w:t>3</w:t>
            </w:r>
          </w:p>
        </w:tc>
        <w:tc>
          <w:tcPr>
            <w:tcW w:w="986" w:type="pct"/>
            <w:vAlign w:val="center"/>
          </w:tcPr>
          <w:p w:rsidR="00B41408" w:rsidRPr="00E96224" w:rsidRDefault="00B41408" w:rsidP="00E01ED0">
            <w:pPr>
              <w:jc w:val="center"/>
              <w:rPr>
                <w:rFonts w:asciiTheme="minorEastAsia" w:eastAsiaTheme="minorEastAsia" w:hAnsiTheme="minorEastAsia"/>
                <w:sz w:val="21"/>
                <w:szCs w:val="21"/>
              </w:rPr>
            </w:pPr>
            <w:r w:rsidRPr="00E96224">
              <w:rPr>
                <w:rFonts w:asciiTheme="minorEastAsia" w:eastAsiaTheme="minorEastAsia" w:hAnsiTheme="minorEastAsia"/>
                <w:sz w:val="21"/>
                <w:szCs w:val="21"/>
              </w:rPr>
              <w:t>潘培华</w:t>
            </w:r>
          </w:p>
        </w:tc>
        <w:tc>
          <w:tcPr>
            <w:tcW w:w="1204" w:type="pct"/>
            <w:vAlign w:val="center"/>
          </w:tcPr>
          <w:p w:rsidR="00B41408" w:rsidRPr="00A77873" w:rsidRDefault="00B41408" w:rsidP="00E01ED0">
            <w:pPr>
              <w:jc w:val="right"/>
              <w:rPr>
                <w:rFonts w:ascii="宋体" w:hAnsi="宋体"/>
                <w:kern w:val="2"/>
                <w:szCs w:val="21"/>
              </w:rPr>
            </w:pPr>
            <w:r w:rsidRPr="00A77873">
              <w:rPr>
                <w:rFonts w:ascii="宋体" w:hAnsi="宋体" w:hint="eastAsia"/>
                <w:kern w:val="2"/>
                <w:szCs w:val="21"/>
              </w:rPr>
              <w:t>791,104</w:t>
            </w:r>
          </w:p>
        </w:tc>
        <w:tc>
          <w:tcPr>
            <w:tcW w:w="1204" w:type="pct"/>
            <w:vAlign w:val="center"/>
          </w:tcPr>
          <w:p w:rsidR="00B41408" w:rsidRPr="00E96224" w:rsidRDefault="00B41408" w:rsidP="00E01ED0">
            <w:pPr>
              <w:ind w:firstLine="420"/>
              <w:jc w:val="right"/>
              <w:rPr>
                <w:rFonts w:asciiTheme="minorEastAsia" w:eastAsiaTheme="minorEastAsia" w:hAnsiTheme="minorEastAsia"/>
                <w:sz w:val="21"/>
                <w:szCs w:val="21"/>
              </w:rPr>
            </w:pPr>
            <w:r w:rsidRPr="00E96224">
              <w:rPr>
                <w:rFonts w:asciiTheme="minorEastAsia" w:eastAsiaTheme="minorEastAsia" w:hAnsiTheme="minorEastAsia"/>
                <w:sz w:val="21"/>
                <w:szCs w:val="21"/>
              </w:rPr>
              <w:t>不适用</w:t>
            </w:r>
          </w:p>
        </w:tc>
        <w:tc>
          <w:tcPr>
            <w:tcW w:w="1204" w:type="pct"/>
            <w:vAlign w:val="center"/>
          </w:tcPr>
          <w:p w:rsidR="00B41408" w:rsidRPr="00A77873" w:rsidRDefault="00B41408" w:rsidP="00E01ED0">
            <w:pPr>
              <w:jc w:val="right"/>
              <w:rPr>
                <w:rFonts w:ascii="宋体" w:hAnsi="宋体"/>
                <w:kern w:val="2"/>
                <w:szCs w:val="21"/>
              </w:rPr>
            </w:pPr>
            <w:r w:rsidRPr="00A77873">
              <w:rPr>
                <w:rFonts w:ascii="宋体" w:hAnsi="宋体" w:hint="eastAsia"/>
                <w:kern w:val="2"/>
                <w:szCs w:val="21"/>
              </w:rPr>
              <w:t>791,104</w:t>
            </w:r>
          </w:p>
        </w:tc>
      </w:tr>
    </w:tbl>
    <w:p w:rsidR="00EB1EBD" w:rsidRPr="00EB1EBD" w:rsidRDefault="006A3BD2" w:rsidP="006A3BD2">
      <w:pPr>
        <w:spacing w:line="360" w:lineRule="auto"/>
        <w:ind w:firstLineChars="200" w:firstLine="480"/>
        <w:rPr>
          <w:rFonts w:asciiTheme="minorEastAsia" w:eastAsiaTheme="minorEastAsia" w:hAnsiTheme="minorEastAsia"/>
          <w:sz w:val="24"/>
        </w:rPr>
      </w:pPr>
      <w:r w:rsidRPr="006A3BD2">
        <w:rPr>
          <w:rFonts w:asciiTheme="minorEastAsia" w:eastAsiaTheme="minorEastAsia" w:hAnsiTheme="minorEastAsia" w:hint="eastAsia"/>
          <w:sz w:val="24"/>
        </w:rPr>
        <w:t>公司</w:t>
      </w:r>
      <w:r>
        <w:rPr>
          <w:rFonts w:asciiTheme="minorEastAsia" w:eastAsiaTheme="minorEastAsia" w:hAnsiTheme="minorEastAsia" w:hint="eastAsia"/>
          <w:sz w:val="24"/>
        </w:rPr>
        <w:t>于</w:t>
      </w:r>
      <w:r w:rsidRPr="006A3BD2">
        <w:rPr>
          <w:rFonts w:asciiTheme="minorEastAsia" w:eastAsiaTheme="minorEastAsia" w:hAnsiTheme="minorEastAsia" w:hint="eastAsia"/>
          <w:sz w:val="24"/>
        </w:rPr>
        <w:t>2019年5月15日召开第九届董事会2019年第二次临时会议（通讯表决）和第九届监事会2019年第一次临时会议（通讯表决），审议通过了《江苏吴中实业股份有限公司关于拟回购并注销响水恒利达科技化工有限公司未实现业绩承诺所应补偿股份的议案》，该议案</w:t>
      </w:r>
      <w:r>
        <w:rPr>
          <w:rFonts w:asciiTheme="minorEastAsia" w:eastAsiaTheme="minorEastAsia" w:hAnsiTheme="minorEastAsia" w:hint="eastAsia"/>
          <w:sz w:val="24"/>
        </w:rPr>
        <w:t>并</w:t>
      </w:r>
      <w:r w:rsidRPr="006A3BD2">
        <w:rPr>
          <w:rFonts w:asciiTheme="minorEastAsia" w:eastAsiaTheme="minorEastAsia" w:hAnsiTheme="minorEastAsia" w:hint="eastAsia"/>
          <w:sz w:val="24"/>
        </w:rPr>
        <w:t>经公司2019年第二次临时股东大会审议通过</w:t>
      </w:r>
      <w:r>
        <w:rPr>
          <w:rFonts w:asciiTheme="minorEastAsia" w:eastAsiaTheme="minorEastAsia" w:hAnsiTheme="minorEastAsia" w:hint="eastAsia"/>
          <w:sz w:val="24"/>
        </w:rPr>
        <w:t>。公司于2019年6月1日披露了《江苏吴中实业股份有限公司关于拟回购注销业绩补偿股份通知债权人的公告》</w:t>
      </w:r>
      <w:r w:rsidRPr="006A3BD2">
        <w:rPr>
          <w:rFonts w:asciiTheme="minorEastAsia" w:eastAsiaTheme="minorEastAsia" w:hAnsiTheme="minorEastAsia" w:hint="eastAsia"/>
          <w:sz w:val="24"/>
        </w:rPr>
        <w:t>，将本次回购注销股份的情况通知债权人。（具体见公司于2019年5月16日、6月1日在《中国证券报》、《上海证券报》及上海证券交易所网站上披露的相关公告）</w:t>
      </w:r>
    </w:p>
    <w:p w:rsidR="00EB1EBD" w:rsidRPr="006A3BD2" w:rsidRDefault="00EB1EBD" w:rsidP="00EB1EBD">
      <w:pPr>
        <w:spacing w:line="360" w:lineRule="auto"/>
        <w:rPr>
          <w:rFonts w:asciiTheme="minorEastAsia" w:eastAsiaTheme="minorEastAsia" w:hAnsiTheme="minorEastAsia"/>
          <w:sz w:val="24"/>
        </w:rPr>
      </w:pPr>
    </w:p>
    <w:p w:rsidR="00B80C5E" w:rsidRPr="00B80C5E" w:rsidRDefault="00B80C5E" w:rsidP="00B80C5E">
      <w:pPr>
        <w:spacing w:line="360" w:lineRule="auto"/>
        <w:ind w:firstLineChars="200" w:firstLine="482"/>
        <w:rPr>
          <w:rFonts w:asciiTheme="minorEastAsia" w:eastAsiaTheme="minorEastAsia" w:hAnsiTheme="minorEastAsia"/>
          <w:b/>
          <w:sz w:val="24"/>
        </w:rPr>
      </w:pPr>
      <w:r w:rsidRPr="00B80C5E">
        <w:rPr>
          <w:rFonts w:asciiTheme="minorEastAsia" w:eastAsiaTheme="minorEastAsia" w:hAnsiTheme="minorEastAsia" w:hint="eastAsia"/>
          <w:b/>
          <w:sz w:val="24"/>
        </w:rPr>
        <w:t>二、回购实施情况</w:t>
      </w:r>
    </w:p>
    <w:p w:rsidR="00EB1EBD" w:rsidRDefault="002A146D" w:rsidP="00EB1EBD">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w:t>
      </w:r>
      <w:r w:rsidRPr="002A146D">
        <w:rPr>
          <w:rFonts w:asciiTheme="minorEastAsia" w:eastAsiaTheme="minorEastAsia" w:hAnsiTheme="minorEastAsia" w:hint="eastAsia"/>
          <w:sz w:val="24"/>
        </w:rPr>
        <w:t>公司</w:t>
      </w:r>
      <w:r>
        <w:rPr>
          <w:rFonts w:asciiTheme="minorEastAsia" w:eastAsiaTheme="minorEastAsia" w:hAnsiTheme="minorEastAsia" w:hint="eastAsia"/>
          <w:sz w:val="24"/>
        </w:rPr>
        <w:t>本次实施</w:t>
      </w:r>
      <w:r w:rsidRPr="002A146D">
        <w:rPr>
          <w:rFonts w:asciiTheme="minorEastAsia" w:eastAsiaTheme="minorEastAsia" w:hAnsiTheme="minorEastAsia" w:hint="eastAsia"/>
          <w:sz w:val="24"/>
        </w:rPr>
        <w:t>回购毕红芬、毕永星、潘培华</w:t>
      </w:r>
      <w:r w:rsidR="00E63E10">
        <w:rPr>
          <w:rFonts w:asciiTheme="minorEastAsia" w:eastAsiaTheme="minorEastAsia" w:hAnsiTheme="minorEastAsia" w:hint="eastAsia"/>
          <w:sz w:val="24"/>
        </w:rPr>
        <w:t>持有的公司</w:t>
      </w:r>
      <w:r w:rsidRPr="002A146D">
        <w:rPr>
          <w:rFonts w:asciiTheme="minorEastAsia" w:eastAsiaTheme="minorEastAsia" w:hAnsiTheme="minorEastAsia" w:hint="eastAsia"/>
          <w:sz w:val="24"/>
        </w:rPr>
        <w:t>股份合计9,503,126股，</w:t>
      </w:r>
      <w:r w:rsidR="00E63E10">
        <w:rPr>
          <w:rFonts w:asciiTheme="minorEastAsia" w:eastAsiaTheme="minorEastAsia" w:hAnsiTheme="minorEastAsia" w:hint="eastAsia"/>
          <w:sz w:val="24"/>
        </w:rPr>
        <w:t>占公司回购前总股本的1.32%，回购总价款为人民币2.00元</w:t>
      </w:r>
      <w:r w:rsidR="000C3FF6">
        <w:rPr>
          <w:rFonts w:asciiTheme="minorEastAsia" w:eastAsiaTheme="minorEastAsia" w:hAnsiTheme="minorEastAsia" w:hint="eastAsia"/>
          <w:sz w:val="24"/>
        </w:rPr>
        <w:t>（其中，响水</w:t>
      </w:r>
      <w:proofErr w:type="gramStart"/>
      <w:r w:rsidR="000C3FF6">
        <w:rPr>
          <w:rFonts w:asciiTheme="minorEastAsia" w:eastAsiaTheme="minorEastAsia" w:hAnsiTheme="minorEastAsia" w:hint="eastAsia"/>
          <w:sz w:val="24"/>
        </w:rPr>
        <w:t>恒</w:t>
      </w:r>
      <w:proofErr w:type="gramEnd"/>
      <w:r w:rsidR="000C3FF6">
        <w:rPr>
          <w:rFonts w:asciiTheme="minorEastAsia" w:eastAsiaTheme="minorEastAsia" w:hAnsiTheme="minorEastAsia" w:hint="eastAsia"/>
          <w:sz w:val="24"/>
        </w:rPr>
        <w:t>利达一期项目</w:t>
      </w:r>
      <w:r w:rsidR="000C3FF6" w:rsidRPr="000C3FF6">
        <w:rPr>
          <w:rFonts w:asciiTheme="minorEastAsia" w:eastAsiaTheme="minorEastAsia" w:hAnsiTheme="minorEastAsia" w:hint="eastAsia"/>
          <w:sz w:val="24"/>
        </w:rPr>
        <w:t>应补偿股份由公司以总价人民币1.00元的价格进行回购并注销</w:t>
      </w:r>
      <w:r w:rsidR="000C3FF6">
        <w:rPr>
          <w:rFonts w:asciiTheme="minorEastAsia" w:eastAsiaTheme="minorEastAsia" w:hAnsiTheme="minorEastAsia" w:hint="eastAsia"/>
          <w:sz w:val="24"/>
        </w:rPr>
        <w:t>，响水</w:t>
      </w:r>
      <w:proofErr w:type="gramStart"/>
      <w:r w:rsidR="000C3FF6">
        <w:rPr>
          <w:rFonts w:asciiTheme="minorEastAsia" w:eastAsiaTheme="minorEastAsia" w:hAnsiTheme="minorEastAsia" w:hint="eastAsia"/>
          <w:sz w:val="24"/>
        </w:rPr>
        <w:t>恒</w:t>
      </w:r>
      <w:proofErr w:type="gramEnd"/>
      <w:r w:rsidR="000C3FF6">
        <w:rPr>
          <w:rFonts w:asciiTheme="minorEastAsia" w:eastAsiaTheme="minorEastAsia" w:hAnsiTheme="minorEastAsia" w:hint="eastAsia"/>
          <w:sz w:val="24"/>
        </w:rPr>
        <w:t>利达二期项目</w:t>
      </w:r>
      <w:r w:rsidR="000C3FF6" w:rsidRPr="000C3FF6">
        <w:rPr>
          <w:rFonts w:asciiTheme="minorEastAsia" w:eastAsiaTheme="minorEastAsia" w:hAnsiTheme="minorEastAsia" w:hint="eastAsia"/>
          <w:sz w:val="24"/>
        </w:rPr>
        <w:t>应补偿股份由公司以总价人民币1.00元的价格进行回购并注销</w:t>
      </w:r>
      <w:r w:rsidR="000C3FF6">
        <w:rPr>
          <w:rFonts w:asciiTheme="minorEastAsia" w:eastAsiaTheme="minorEastAsia" w:hAnsiTheme="minorEastAsia" w:hint="eastAsia"/>
          <w:sz w:val="24"/>
        </w:rPr>
        <w:t>）</w:t>
      </w:r>
      <w:r w:rsidR="00E63E10">
        <w:rPr>
          <w:rFonts w:asciiTheme="minorEastAsia" w:eastAsiaTheme="minorEastAsia" w:hAnsiTheme="minorEastAsia" w:hint="eastAsia"/>
          <w:sz w:val="24"/>
        </w:rPr>
        <w:t>。</w:t>
      </w:r>
      <w:r w:rsidR="00E63E10" w:rsidRPr="00E63E10">
        <w:rPr>
          <w:rFonts w:asciiTheme="minorEastAsia" w:eastAsiaTheme="minorEastAsia" w:hAnsiTheme="minorEastAsia" w:hint="eastAsia"/>
          <w:sz w:val="24"/>
        </w:rPr>
        <w:t>根据中国证券登记结算有限责任公司上海分公</w:t>
      </w:r>
      <w:r w:rsidR="00E63E10" w:rsidRPr="00A56ED5">
        <w:rPr>
          <w:rFonts w:asciiTheme="minorEastAsia" w:eastAsiaTheme="minorEastAsia" w:hAnsiTheme="minorEastAsia" w:hint="eastAsia"/>
          <w:sz w:val="24"/>
        </w:rPr>
        <w:t>司于2019年</w:t>
      </w:r>
      <w:r w:rsidR="000C3FF6" w:rsidRPr="00A56ED5">
        <w:rPr>
          <w:rFonts w:asciiTheme="minorEastAsia" w:eastAsiaTheme="minorEastAsia" w:hAnsiTheme="minorEastAsia" w:hint="eastAsia"/>
          <w:sz w:val="24"/>
        </w:rPr>
        <w:t>7</w:t>
      </w:r>
      <w:r w:rsidR="00E63E10" w:rsidRPr="00A56ED5">
        <w:rPr>
          <w:rFonts w:asciiTheme="minorEastAsia" w:eastAsiaTheme="minorEastAsia" w:hAnsiTheme="minorEastAsia" w:hint="eastAsia"/>
          <w:sz w:val="24"/>
        </w:rPr>
        <w:t>月</w:t>
      </w:r>
      <w:r w:rsidR="000C3FF6" w:rsidRPr="00A56ED5">
        <w:rPr>
          <w:rFonts w:asciiTheme="minorEastAsia" w:eastAsiaTheme="minorEastAsia" w:hAnsiTheme="minorEastAsia" w:hint="eastAsia"/>
          <w:sz w:val="24"/>
        </w:rPr>
        <w:t>30</w:t>
      </w:r>
      <w:r w:rsidR="00E63E10" w:rsidRPr="00A56ED5">
        <w:rPr>
          <w:rFonts w:asciiTheme="minorEastAsia" w:eastAsiaTheme="minorEastAsia" w:hAnsiTheme="minorEastAsia" w:hint="eastAsia"/>
          <w:sz w:val="24"/>
        </w:rPr>
        <w:t>日</w:t>
      </w:r>
      <w:r w:rsidR="00E63E10" w:rsidRPr="00E63E10">
        <w:rPr>
          <w:rFonts w:asciiTheme="minorEastAsia" w:eastAsiaTheme="minorEastAsia" w:hAnsiTheme="minorEastAsia" w:hint="eastAsia"/>
          <w:sz w:val="24"/>
        </w:rPr>
        <w:t>出具的《过户登记确认书》，毕红芬、毕永星、潘培华持有的9,503,126股</w:t>
      </w:r>
      <w:r w:rsidR="00E63E10">
        <w:rPr>
          <w:rFonts w:asciiTheme="minorEastAsia" w:eastAsiaTheme="minorEastAsia" w:hAnsiTheme="minorEastAsia" w:hint="eastAsia"/>
          <w:sz w:val="24"/>
        </w:rPr>
        <w:t>公司股份</w:t>
      </w:r>
      <w:r w:rsidR="00E63E10" w:rsidRPr="00E63E10">
        <w:rPr>
          <w:rFonts w:asciiTheme="minorEastAsia" w:eastAsiaTheme="minorEastAsia" w:hAnsiTheme="minorEastAsia" w:hint="eastAsia"/>
          <w:sz w:val="24"/>
        </w:rPr>
        <w:t>已过户至公司回购专用证券账户</w:t>
      </w:r>
      <w:r w:rsidR="00BD2729">
        <w:rPr>
          <w:rFonts w:asciiTheme="minorEastAsia" w:eastAsiaTheme="minorEastAsia" w:hAnsiTheme="minorEastAsia" w:hint="eastAsia"/>
          <w:sz w:val="24"/>
        </w:rPr>
        <w:t>(</w:t>
      </w:r>
      <w:r w:rsidR="00E158CC">
        <w:rPr>
          <w:rFonts w:asciiTheme="minorEastAsia" w:eastAsiaTheme="minorEastAsia" w:hAnsiTheme="minorEastAsia" w:hint="eastAsia"/>
          <w:sz w:val="24"/>
        </w:rPr>
        <w:t>证券</w:t>
      </w:r>
      <w:r w:rsidR="00BD2729">
        <w:rPr>
          <w:rFonts w:asciiTheme="minorEastAsia" w:eastAsiaTheme="minorEastAsia" w:hAnsiTheme="minorEastAsia" w:hint="eastAsia"/>
          <w:sz w:val="24"/>
        </w:rPr>
        <w:t>账户号：B882399852)</w:t>
      </w:r>
      <w:r w:rsidR="00E63E10" w:rsidRPr="00E63E10">
        <w:rPr>
          <w:rFonts w:asciiTheme="minorEastAsia" w:eastAsiaTheme="minorEastAsia" w:hAnsiTheme="minorEastAsia" w:hint="eastAsia"/>
          <w:sz w:val="24"/>
        </w:rPr>
        <w:t>。</w:t>
      </w:r>
    </w:p>
    <w:p w:rsidR="00E63E10" w:rsidRPr="00E158CC" w:rsidRDefault="00E63E10" w:rsidP="00EB1EBD">
      <w:pPr>
        <w:spacing w:line="360" w:lineRule="auto"/>
        <w:rPr>
          <w:rFonts w:asciiTheme="minorEastAsia" w:eastAsiaTheme="minorEastAsia" w:hAnsiTheme="minorEastAsia"/>
          <w:sz w:val="24"/>
        </w:rPr>
      </w:pPr>
      <w:bookmarkStart w:id="0" w:name="_GoBack"/>
      <w:bookmarkEnd w:id="0"/>
    </w:p>
    <w:p w:rsidR="00B80C5E" w:rsidRPr="00B80C5E" w:rsidRDefault="00B80C5E" w:rsidP="00B80C5E">
      <w:pPr>
        <w:spacing w:line="360" w:lineRule="auto"/>
        <w:ind w:firstLineChars="200" w:firstLine="482"/>
        <w:rPr>
          <w:rFonts w:asciiTheme="minorEastAsia" w:eastAsiaTheme="minorEastAsia" w:hAnsiTheme="minorEastAsia"/>
          <w:b/>
          <w:sz w:val="24"/>
        </w:rPr>
      </w:pPr>
      <w:r w:rsidRPr="00B80C5E">
        <w:rPr>
          <w:rFonts w:asciiTheme="minorEastAsia" w:eastAsiaTheme="minorEastAsia" w:hAnsiTheme="minorEastAsia" w:hint="eastAsia"/>
          <w:b/>
          <w:sz w:val="24"/>
        </w:rPr>
        <w:t>三、回购期间相关主体买卖股票情况</w:t>
      </w:r>
    </w:p>
    <w:p w:rsidR="00B80C5E" w:rsidRDefault="00D37F02" w:rsidP="00D37F02">
      <w:pPr>
        <w:spacing w:line="360" w:lineRule="auto"/>
        <w:ind w:firstLineChars="200" w:firstLine="480"/>
        <w:rPr>
          <w:rFonts w:asciiTheme="minorEastAsia" w:eastAsiaTheme="minorEastAsia" w:hAnsiTheme="minorEastAsia"/>
          <w:sz w:val="24"/>
        </w:rPr>
      </w:pPr>
      <w:r w:rsidRPr="00D37F02">
        <w:rPr>
          <w:rFonts w:asciiTheme="minorEastAsia" w:eastAsiaTheme="minorEastAsia" w:hAnsiTheme="minorEastAsia" w:hint="eastAsia"/>
          <w:sz w:val="24"/>
        </w:rPr>
        <w:t>自公司披露回购注销股份公告之日起至本公告发布前一日，公司董事、监事、高级管理人员、控股股东及其一致行动人、实际控制人在回购期间均不存在买卖公司股票的情况。</w:t>
      </w:r>
    </w:p>
    <w:p w:rsidR="00D37F02" w:rsidRDefault="00D37F02" w:rsidP="00D37F02">
      <w:pPr>
        <w:spacing w:line="360" w:lineRule="auto"/>
        <w:ind w:firstLineChars="200" w:firstLine="480"/>
        <w:rPr>
          <w:rFonts w:asciiTheme="minorEastAsia" w:eastAsiaTheme="minorEastAsia" w:hAnsiTheme="minorEastAsia"/>
          <w:sz w:val="24"/>
        </w:rPr>
      </w:pPr>
      <w:r w:rsidRPr="00D37F02">
        <w:rPr>
          <w:rFonts w:asciiTheme="minorEastAsia" w:eastAsiaTheme="minorEastAsia" w:hAnsiTheme="minorEastAsia" w:hint="eastAsia"/>
          <w:sz w:val="24"/>
        </w:rPr>
        <w:t>自公司披露回购注销股份公告之日起至本公告发布前一日，公司通过集中竞价交易方式已累计回购股份672,800股，占公司总股本的比例为0.09%</w:t>
      </w:r>
      <w:r w:rsidR="00D93D32">
        <w:rPr>
          <w:rFonts w:asciiTheme="minorEastAsia" w:eastAsiaTheme="minorEastAsia" w:hAnsiTheme="minorEastAsia" w:hint="eastAsia"/>
          <w:sz w:val="24"/>
        </w:rPr>
        <w:t>。</w:t>
      </w:r>
      <w:r w:rsidR="008633B2" w:rsidRPr="008633B2">
        <w:rPr>
          <w:rFonts w:asciiTheme="minorEastAsia" w:eastAsiaTheme="minorEastAsia" w:hAnsiTheme="minorEastAsia" w:hint="eastAsia"/>
          <w:sz w:val="24"/>
        </w:rPr>
        <w:t>（具体见公司于2019年</w:t>
      </w:r>
      <w:r w:rsidR="008633B2">
        <w:rPr>
          <w:rFonts w:asciiTheme="minorEastAsia" w:eastAsiaTheme="minorEastAsia" w:hAnsiTheme="minorEastAsia" w:hint="eastAsia"/>
          <w:sz w:val="24"/>
        </w:rPr>
        <w:t>6</w:t>
      </w:r>
      <w:r w:rsidR="008633B2" w:rsidRPr="008633B2">
        <w:rPr>
          <w:rFonts w:asciiTheme="minorEastAsia" w:eastAsiaTheme="minorEastAsia" w:hAnsiTheme="minorEastAsia" w:hint="eastAsia"/>
          <w:sz w:val="24"/>
        </w:rPr>
        <w:t>月</w:t>
      </w:r>
      <w:r w:rsidR="008633B2">
        <w:rPr>
          <w:rFonts w:asciiTheme="minorEastAsia" w:eastAsiaTheme="minorEastAsia" w:hAnsiTheme="minorEastAsia" w:hint="eastAsia"/>
          <w:sz w:val="24"/>
        </w:rPr>
        <w:t>29</w:t>
      </w:r>
      <w:r w:rsidR="008633B2" w:rsidRPr="008633B2">
        <w:rPr>
          <w:rFonts w:asciiTheme="minorEastAsia" w:eastAsiaTheme="minorEastAsia" w:hAnsiTheme="minorEastAsia" w:hint="eastAsia"/>
          <w:sz w:val="24"/>
        </w:rPr>
        <w:t>日、</w:t>
      </w:r>
      <w:r w:rsidR="008633B2">
        <w:rPr>
          <w:rFonts w:asciiTheme="minorEastAsia" w:eastAsiaTheme="minorEastAsia" w:hAnsiTheme="minorEastAsia" w:hint="eastAsia"/>
          <w:sz w:val="24"/>
        </w:rPr>
        <w:t>7</w:t>
      </w:r>
      <w:r w:rsidR="008633B2" w:rsidRPr="008633B2">
        <w:rPr>
          <w:rFonts w:asciiTheme="minorEastAsia" w:eastAsiaTheme="minorEastAsia" w:hAnsiTheme="minorEastAsia" w:hint="eastAsia"/>
          <w:sz w:val="24"/>
        </w:rPr>
        <w:t>月</w:t>
      </w:r>
      <w:r w:rsidR="008633B2">
        <w:rPr>
          <w:rFonts w:asciiTheme="minorEastAsia" w:eastAsiaTheme="minorEastAsia" w:hAnsiTheme="minorEastAsia" w:hint="eastAsia"/>
          <w:sz w:val="24"/>
        </w:rPr>
        <w:t>3</w:t>
      </w:r>
      <w:r w:rsidR="008633B2" w:rsidRPr="008633B2">
        <w:rPr>
          <w:rFonts w:asciiTheme="minorEastAsia" w:eastAsiaTheme="minorEastAsia" w:hAnsiTheme="minorEastAsia" w:hint="eastAsia"/>
          <w:sz w:val="24"/>
        </w:rPr>
        <w:t>日在《中国证券报》、《上海证券报》及上海</w:t>
      </w:r>
      <w:r w:rsidR="008633B2" w:rsidRPr="008633B2">
        <w:rPr>
          <w:rFonts w:asciiTheme="minorEastAsia" w:eastAsiaTheme="minorEastAsia" w:hAnsiTheme="minorEastAsia" w:hint="eastAsia"/>
          <w:sz w:val="24"/>
        </w:rPr>
        <w:lastRenderedPageBreak/>
        <w:t>证券交易所网站上披露的相关公告）</w:t>
      </w:r>
    </w:p>
    <w:p w:rsidR="00B80C5E" w:rsidRDefault="00B80C5E" w:rsidP="00EB1EBD">
      <w:pPr>
        <w:spacing w:line="360" w:lineRule="auto"/>
        <w:rPr>
          <w:rFonts w:asciiTheme="minorEastAsia" w:eastAsiaTheme="minorEastAsia" w:hAnsiTheme="minorEastAsia"/>
          <w:sz w:val="24"/>
        </w:rPr>
      </w:pPr>
    </w:p>
    <w:p w:rsidR="00B80C5E" w:rsidRPr="00B80C5E" w:rsidRDefault="00B80C5E" w:rsidP="00B80C5E">
      <w:pPr>
        <w:spacing w:line="360" w:lineRule="auto"/>
        <w:ind w:firstLineChars="200" w:firstLine="482"/>
        <w:rPr>
          <w:rFonts w:asciiTheme="minorEastAsia" w:eastAsiaTheme="minorEastAsia" w:hAnsiTheme="minorEastAsia"/>
          <w:b/>
          <w:sz w:val="24"/>
        </w:rPr>
      </w:pPr>
      <w:r w:rsidRPr="00B80C5E">
        <w:rPr>
          <w:rFonts w:asciiTheme="minorEastAsia" w:eastAsiaTheme="minorEastAsia" w:hAnsiTheme="minorEastAsia" w:hint="eastAsia"/>
          <w:b/>
          <w:sz w:val="24"/>
        </w:rPr>
        <w:t>四、股份注销安排</w:t>
      </w:r>
    </w:p>
    <w:p w:rsidR="00072534" w:rsidRDefault="00293D7A" w:rsidP="00293D7A">
      <w:pPr>
        <w:spacing w:line="360" w:lineRule="auto"/>
        <w:ind w:firstLineChars="200" w:firstLine="480"/>
        <w:rPr>
          <w:rFonts w:asciiTheme="minorEastAsia" w:eastAsiaTheme="minorEastAsia" w:hAnsiTheme="minorEastAsia"/>
          <w:sz w:val="24"/>
        </w:rPr>
      </w:pPr>
      <w:r w:rsidRPr="00293D7A">
        <w:rPr>
          <w:rFonts w:asciiTheme="minorEastAsia" w:eastAsiaTheme="minorEastAsia" w:hAnsiTheme="minorEastAsia" w:hint="eastAsia"/>
          <w:sz w:val="24"/>
        </w:rPr>
        <w:t>经公司申请，公</w:t>
      </w:r>
      <w:r w:rsidRPr="00A56ED5">
        <w:rPr>
          <w:rFonts w:asciiTheme="minorEastAsia" w:eastAsiaTheme="minorEastAsia" w:hAnsiTheme="minorEastAsia" w:hint="eastAsia"/>
          <w:sz w:val="24"/>
        </w:rPr>
        <w:t>司将于2019年</w:t>
      </w:r>
      <w:r w:rsidR="00B65CEE" w:rsidRPr="00A56ED5">
        <w:rPr>
          <w:rFonts w:asciiTheme="minorEastAsia" w:eastAsiaTheme="minorEastAsia" w:hAnsiTheme="minorEastAsia" w:hint="eastAsia"/>
          <w:sz w:val="24"/>
        </w:rPr>
        <w:t>7</w:t>
      </w:r>
      <w:r w:rsidRPr="00A56ED5">
        <w:rPr>
          <w:rFonts w:asciiTheme="minorEastAsia" w:eastAsiaTheme="minorEastAsia" w:hAnsiTheme="minorEastAsia" w:hint="eastAsia"/>
          <w:sz w:val="24"/>
        </w:rPr>
        <w:t>月</w:t>
      </w:r>
      <w:r w:rsidR="00B65CEE" w:rsidRPr="00A56ED5">
        <w:rPr>
          <w:rFonts w:asciiTheme="minorEastAsia" w:eastAsiaTheme="minorEastAsia" w:hAnsiTheme="minorEastAsia" w:hint="eastAsia"/>
          <w:sz w:val="24"/>
        </w:rPr>
        <w:t>31</w:t>
      </w:r>
      <w:r w:rsidRPr="00A56ED5">
        <w:rPr>
          <w:rFonts w:asciiTheme="minorEastAsia" w:eastAsiaTheme="minorEastAsia" w:hAnsiTheme="minorEastAsia" w:hint="eastAsia"/>
          <w:sz w:val="24"/>
        </w:rPr>
        <w:t>日在中国证</w:t>
      </w:r>
      <w:r w:rsidRPr="00293D7A">
        <w:rPr>
          <w:rFonts w:asciiTheme="minorEastAsia" w:eastAsiaTheme="minorEastAsia" w:hAnsiTheme="minorEastAsia" w:hint="eastAsia"/>
          <w:sz w:val="24"/>
        </w:rPr>
        <w:t>券登记结算有限责任公司上海分公司注销</w:t>
      </w:r>
      <w:r>
        <w:rPr>
          <w:rFonts w:asciiTheme="minorEastAsia" w:eastAsiaTheme="minorEastAsia" w:hAnsiTheme="minorEastAsia" w:hint="eastAsia"/>
          <w:sz w:val="24"/>
        </w:rPr>
        <w:t>所回购的</w:t>
      </w:r>
      <w:r w:rsidRPr="00293D7A">
        <w:rPr>
          <w:rFonts w:asciiTheme="minorEastAsia" w:eastAsiaTheme="minorEastAsia" w:hAnsiTheme="minorEastAsia" w:hint="eastAsia"/>
          <w:sz w:val="24"/>
        </w:rPr>
        <w:t>业绩承诺补偿股份9,503,126股</w:t>
      </w:r>
      <w:r>
        <w:rPr>
          <w:rFonts w:asciiTheme="minorEastAsia" w:eastAsiaTheme="minorEastAsia" w:hAnsiTheme="minorEastAsia" w:hint="eastAsia"/>
          <w:sz w:val="24"/>
        </w:rPr>
        <w:t>。</w:t>
      </w:r>
      <w:r w:rsidRPr="00293D7A">
        <w:rPr>
          <w:rFonts w:asciiTheme="minorEastAsia" w:eastAsiaTheme="minorEastAsia" w:hAnsiTheme="minorEastAsia" w:hint="eastAsia"/>
          <w:sz w:val="24"/>
        </w:rPr>
        <w:t>公司后续将及时办理工商变更登记</w:t>
      </w:r>
      <w:r>
        <w:rPr>
          <w:rFonts w:asciiTheme="minorEastAsia" w:eastAsiaTheme="minorEastAsia" w:hAnsiTheme="minorEastAsia" w:hint="eastAsia"/>
          <w:sz w:val="24"/>
        </w:rPr>
        <w:t>手续等有关事宜。</w:t>
      </w:r>
    </w:p>
    <w:p w:rsidR="00072534" w:rsidRDefault="00072534" w:rsidP="00EB1EBD">
      <w:pPr>
        <w:spacing w:line="360" w:lineRule="auto"/>
        <w:rPr>
          <w:rFonts w:asciiTheme="minorEastAsia" w:eastAsiaTheme="minorEastAsia" w:hAnsiTheme="minorEastAsia"/>
          <w:sz w:val="24"/>
        </w:rPr>
      </w:pPr>
    </w:p>
    <w:p w:rsidR="00B80C5E" w:rsidRDefault="00B80C5E" w:rsidP="00B80C5E">
      <w:pPr>
        <w:spacing w:line="360" w:lineRule="auto"/>
        <w:ind w:firstLineChars="200" w:firstLine="482"/>
        <w:rPr>
          <w:rFonts w:asciiTheme="minorEastAsia" w:eastAsiaTheme="minorEastAsia" w:hAnsiTheme="minorEastAsia"/>
          <w:b/>
          <w:sz w:val="24"/>
        </w:rPr>
      </w:pPr>
      <w:r w:rsidRPr="00B80C5E">
        <w:rPr>
          <w:rFonts w:asciiTheme="minorEastAsia" w:eastAsiaTheme="minorEastAsia" w:hAnsiTheme="minorEastAsia" w:hint="eastAsia"/>
          <w:b/>
          <w:sz w:val="24"/>
        </w:rPr>
        <w:t>五、股份变动</w:t>
      </w:r>
      <w:r w:rsidR="00072534">
        <w:rPr>
          <w:rFonts w:asciiTheme="minorEastAsia" w:eastAsiaTheme="minorEastAsia" w:hAnsiTheme="minorEastAsia" w:hint="eastAsia"/>
          <w:b/>
          <w:sz w:val="24"/>
        </w:rPr>
        <w:t>表</w:t>
      </w:r>
    </w:p>
    <w:p w:rsidR="00BD18CB" w:rsidRPr="00BD18CB" w:rsidRDefault="00BD18CB" w:rsidP="00BD18CB">
      <w:pPr>
        <w:spacing w:line="360" w:lineRule="auto"/>
        <w:ind w:firstLineChars="200" w:firstLine="480"/>
        <w:rPr>
          <w:rFonts w:asciiTheme="minorEastAsia" w:eastAsiaTheme="minorEastAsia" w:hAnsiTheme="minorEastAsia"/>
          <w:sz w:val="24"/>
        </w:rPr>
      </w:pPr>
      <w:r w:rsidRPr="00BD18CB">
        <w:rPr>
          <w:rFonts w:asciiTheme="minorEastAsia" w:eastAsiaTheme="minorEastAsia" w:hAnsiTheme="minorEastAsia" w:hint="eastAsia"/>
          <w:sz w:val="24"/>
        </w:rPr>
        <w:t>本次股份回购及注销前后，公司股份变动情况如下：</w:t>
      </w: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40"/>
        <w:gridCol w:w="1465"/>
        <w:gridCol w:w="1290"/>
        <w:gridCol w:w="1787"/>
        <w:gridCol w:w="1561"/>
        <w:gridCol w:w="1276"/>
      </w:tblGrid>
      <w:tr w:rsidR="00293D7A" w:rsidRPr="00EE5F1D" w:rsidTr="00E01ED0">
        <w:trPr>
          <w:trHeight w:val="255"/>
        </w:trPr>
        <w:tc>
          <w:tcPr>
            <w:tcW w:w="669" w:type="pct"/>
            <w:vMerge w:val="restart"/>
            <w:noWrap/>
            <w:tcMar>
              <w:top w:w="13" w:type="dxa"/>
              <w:left w:w="13" w:type="dxa"/>
              <w:bottom w:w="0" w:type="dxa"/>
              <w:right w:w="13" w:type="dxa"/>
            </w:tcMar>
            <w:vAlign w:val="center"/>
          </w:tcPr>
          <w:p w:rsidR="00293D7A" w:rsidRPr="00EE5F1D" w:rsidRDefault="00293D7A" w:rsidP="00E01ED0">
            <w:pPr>
              <w:snapToGrid w:val="0"/>
              <w:spacing w:line="276" w:lineRule="auto"/>
              <w:jc w:val="center"/>
              <w:rPr>
                <w:rFonts w:ascii="宋体" w:hAnsi="宋体"/>
                <w:szCs w:val="21"/>
              </w:rPr>
            </w:pPr>
            <w:r>
              <w:rPr>
                <w:rFonts w:ascii="宋体" w:hAnsi="宋体" w:hint="eastAsia"/>
                <w:szCs w:val="21"/>
              </w:rPr>
              <w:t>股份类别</w:t>
            </w:r>
          </w:p>
        </w:tc>
        <w:tc>
          <w:tcPr>
            <w:tcW w:w="1617" w:type="pct"/>
            <w:gridSpan w:val="2"/>
            <w:noWrap/>
            <w:tcMar>
              <w:top w:w="13" w:type="dxa"/>
              <w:left w:w="13" w:type="dxa"/>
              <w:bottom w:w="0" w:type="dxa"/>
              <w:right w:w="13" w:type="dxa"/>
            </w:tcMar>
            <w:vAlign w:val="center"/>
          </w:tcPr>
          <w:p w:rsidR="00293D7A" w:rsidRPr="00EE5F1D" w:rsidRDefault="00293D7A" w:rsidP="00E26433">
            <w:pPr>
              <w:snapToGrid w:val="0"/>
              <w:spacing w:line="276" w:lineRule="auto"/>
              <w:jc w:val="center"/>
              <w:rPr>
                <w:rFonts w:ascii="宋体" w:hAnsi="宋体"/>
                <w:szCs w:val="21"/>
              </w:rPr>
            </w:pPr>
            <w:r w:rsidRPr="00EE5F1D">
              <w:rPr>
                <w:rFonts w:ascii="宋体" w:hAnsi="宋体" w:hint="eastAsia"/>
                <w:szCs w:val="21"/>
              </w:rPr>
              <w:t>本次</w:t>
            </w:r>
            <w:r w:rsidR="00E26433">
              <w:rPr>
                <w:rFonts w:ascii="宋体" w:hAnsi="宋体" w:hint="eastAsia"/>
                <w:szCs w:val="21"/>
              </w:rPr>
              <w:t>回购</w:t>
            </w:r>
            <w:r w:rsidRPr="00EE5F1D">
              <w:rPr>
                <w:rFonts w:ascii="宋体" w:hAnsi="宋体" w:hint="eastAsia"/>
                <w:szCs w:val="21"/>
              </w:rPr>
              <w:t>前</w:t>
            </w:r>
          </w:p>
        </w:tc>
        <w:tc>
          <w:tcPr>
            <w:tcW w:w="1049" w:type="pct"/>
            <w:vMerge w:val="restart"/>
            <w:vAlign w:val="center"/>
          </w:tcPr>
          <w:p w:rsidR="00293D7A" w:rsidRDefault="00E26433" w:rsidP="00E01ED0">
            <w:pPr>
              <w:snapToGrid w:val="0"/>
              <w:spacing w:line="276" w:lineRule="auto"/>
              <w:jc w:val="center"/>
              <w:rPr>
                <w:rFonts w:ascii="宋体" w:hAnsi="宋体"/>
                <w:szCs w:val="21"/>
              </w:rPr>
            </w:pPr>
            <w:r w:rsidRPr="00E26433">
              <w:rPr>
                <w:rFonts w:ascii="宋体" w:hAnsi="宋体" w:hint="eastAsia"/>
                <w:szCs w:val="21"/>
              </w:rPr>
              <w:t>本次回购股份总数</w:t>
            </w:r>
            <w:r w:rsidR="00293D7A">
              <w:rPr>
                <w:rFonts w:ascii="宋体" w:hAnsi="宋体" w:hint="eastAsia"/>
                <w:szCs w:val="21"/>
              </w:rPr>
              <w:t>（股）</w:t>
            </w:r>
          </w:p>
        </w:tc>
        <w:tc>
          <w:tcPr>
            <w:tcW w:w="1665" w:type="pct"/>
            <w:gridSpan w:val="2"/>
            <w:noWrap/>
            <w:tcMar>
              <w:top w:w="13" w:type="dxa"/>
              <w:left w:w="13" w:type="dxa"/>
              <w:bottom w:w="0" w:type="dxa"/>
              <w:right w:w="13" w:type="dxa"/>
            </w:tcMar>
            <w:vAlign w:val="center"/>
          </w:tcPr>
          <w:p w:rsidR="00293D7A" w:rsidRDefault="00E26433" w:rsidP="00E01ED0">
            <w:pPr>
              <w:snapToGrid w:val="0"/>
              <w:spacing w:line="276" w:lineRule="auto"/>
              <w:jc w:val="center"/>
              <w:rPr>
                <w:rFonts w:ascii="宋体" w:hAnsi="宋体"/>
                <w:szCs w:val="21"/>
              </w:rPr>
            </w:pPr>
            <w:r w:rsidRPr="00E26433">
              <w:rPr>
                <w:rFonts w:ascii="宋体" w:hAnsi="宋体" w:hint="eastAsia"/>
                <w:szCs w:val="21"/>
              </w:rPr>
              <w:t>本次注销后</w:t>
            </w:r>
          </w:p>
        </w:tc>
      </w:tr>
      <w:tr w:rsidR="00293D7A" w:rsidRPr="00EE5F1D" w:rsidTr="00E01ED0">
        <w:trPr>
          <w:cantSplit/>
          <w:trHeight w:val="255"/>
        </w:trPr>
        <w:tc>
          <w:tcPr>
            <w:tcW w:w="669" w:type="pct"/>
            <w:vMerge/>
            <w:vAlign w:val="center"/>
          </w:tcPr>
          <w:p w:rsidR="00293D7A" w:rsidRPr="00EE5F1D" w:rsidRDefault="00293D7A" w:rsidP="00E01ED0">
            <w:pPr>
              <w:snapToGrid w:val="0"/>
              <w:spacing w:line="276" w:lineRule="auto"/>
              <w:ind w:left="10" w:hangingChars="5" w:hanging="10"/>
              <w:jc w:val="center"/>
              <w:rPr>
                <w:rFonts w:ascii="宋体" w:hAnsi="宋体"/>
                <w:szCs w:val="21"/>
              </w:rPr>
            </w:pPr>
          </w:p>
        </w:tc>
        <w:tc>
          <w:tcPr>
            <w:tcW w:w="860" w:type="pct"/>
            <w:noWrap/>
            <w:tcMar>
              <w:top w:w="13" w:type="dxa"/>
              <w:left w:w="13" w:type="dxa"/>
              <w:bottom w:w="0" w:type="dxa"/>
              <w:right w:w="13" w:type="dxa"/>
            </w:tcMar>
            <w:vAlign w:val="center"/>
          </w:tcPr>
          <w:p w:rsidR="00293D7A" w:rsidRPr="00DA7AE6" w:rsidRDefault="00293D7A" w:rsidP="00E01ED0">
            <w:pPr>
              <w:snapToGrid w:val="0"/>
              <w:spacing w:line="276" w:lineRule="auto"/>
              <w:jc w:val="center"/>
              <w:rPr>
                <w:rFonts w:ascii="宋体" w:hAnsi="宋体"/>
                <w:szCs w:val="21"/>
              </w:rPr>
            </w:pPr>
            <w:r>
              <w:rPr>
                <w:rFonts w:ascii="宋体" w:hAnsi="宋体" w:hint="eastAsia"/>
                <w:szCs w:val="21"/>
              </w:rPr>
              <w:t>股份数量（股）</w:t>
            </w:r>
          </w:p>
        </w:tc>
        <w:tc>
          <w:tcPr>
            <w:tcW w:w="757" w:type="pct"/>
            <w:noWrap/>
            <w:tcMar>
              <w:top w:w="13" w:type="dxa"/>
              <w:left w:w="13" w:type="dxa"/>
              <w:bottom w:w="0" w:type="dxa"/>
              <w:right w:w="13" w:type="dxa"/>
            </w:tcMar>
            <w:vAlign w:val="center"/>
          </w:tcPr>
          <w:p w:rsidR="00293D7A" w:rsidRPr="00EE5F1D" w:rsidRDefault="00293D7A" w:rsidP="00E01ED0">
            <w:pPr>
              <w:snapToGrid w:val="0"/>
              <w:spacing w:line="276" w:lineRule="auto"/>
              <w:jc w:val="center"/>
              <w:rPr>
                <w:rFonts w:ascii="宋体" w:hAnsi="宋体"/>
                <w:szCs w:val="21"/>
              </w:rPr>
            </w:pPr>
            <w:r>
              <w:rPr>
                <w:rFonts w:ascii="宋体" w:hAnsi="宋体" w:hint="eastAsia"/>
                <w:szCs w:val="21"/>
              </w:rPr>
              <w:t>比例（%）</w:t>
            </w:r>
          </w:p>
        </w:tc>
        <w:tc>
          <w:tcPr>
            <w:tcW w:w="1049" w:type="pct"/>
            <w:vMerge/>
          </w:tcPr>
          <w:p w:rsidR="00293D7A" w:rsidRPr="00EE5F1D" w:rsidRDefault="00293D7A" w:rsidP="00E01ED0">
            <w:pPr>
              <w:snapToGrid w:val="0"/>
              <w:spacing w:line="276" w:lineRule="auto"/>
              <w:jc w:val="center"/>
              <w:rPr>
                <w:rFonts w:ascii="宋体" w:hAnsi="宋体"/>
                <w:szCs w:val="21"/>
              </w:rPr>
            </w:pPr>
          </w:p>
        </w:tc>
        <w:tc>
          <w:tcPr>
            <w:tcW w:w="916" w:type="pct"/>
            <w:noWrap/>
            <w:tcMar>
              <w:top w:w="13" w:type="dxa"/>
              <w:left w:w="13" w:type="dxa"/>
              <w:bottom w:w="0" w:type="dxa"/>
              <w:right w:w="13" w:type="dxa"/>
            </w:tcMar>
            <w:vAlign w:val="center"/>
          </w:tcPr>
          <w:p w:rsidR="00293D7A" w:rsidRPr="00DA7AE6" w:rsidRDefault="00293D7A" w:rsidP="00E01ED0">
            <w:pPr>
              <w:snapToGrid w:val="0"/>
              <w:spacing w:line="276" w:lineRule="auto"/>
              <w:jc w:val="center"/>
              <w:rPr>
                <w:rFonts w:ascii="宋体" w:hAnsi="宋体"/>
                <w:szCs w:val="21"/>
              </w:rPr>
            </w:pPr>
            <w:r>
              <w:rPr>
                <w:rFonts w:ascii="宋体" w:hAnsi="宋体" w:hint="eastAsia"/>
                <w:szCs w:val="21"/>
              </w:rPr>
              <w:t>股份数量（股）</w:t>
            </w:r>
          </w:p>
        </w:tc>
        <w:tc>
          <w:tcPr>
            <w:tcW w:w="749" w:type="pct"/>
            <w:vAlign w:val="center"/>
          </w:tcPr>
          <w:p w:rsidR="00293D7A" w:rsidRPr="00EE5F1D" w:rsidRDefault="00293D7A" w:rsidP="00E01ED0">
            <w:pPr>
              <w:snapToGrid w:val="0"/>
              <w:spacing w:line="276" w:lineRule="auto"/>
              <w:jc w:val="center"/>
              <w:rPr>
                <w:rFonts w:ascii="宋体" w:hAnsi="宋体"/>
                <w:szCs w:val="21"/>
              </w:rPr>
            </w:pPr>
            <w:r>
              <w:rPr>
                <w:rFonts w:ascii="宋体" w:hAnsi="宋体" w:hint="eastAsia"/>
                <w:szCs w:val="21"/>
              </w:rPr>
              <w:t>比例（%）</w:t>
            </w:r>
          </w:p>
        </w:tc>
      </w:tr>
      <w:tr w:rsidR="00293D7A" w:rsidRPr="00EE5F1D" w:rsidTr="00E01ED0">
        <w:trPr>
          <w:cantSplit/>
          <w:trHeight w:val="255"/>
        </w:trPr>
        <w:tc>
          <w:tcPr>
            <w:tcW w:w="669" w:type="pct"/>
            <w:vAlign w:val="center"/>
          </w:tcPr>
          <w:p w:rsidR="00293D7A" w:rsidRPr="00EE5F1D" w:rsidRDefault="00293D7A" w:rsidP="00E01ED0">
            <w:pPr>
              <w:snapToGrid w:val="0"/>
              <w:spacing w:line="276" w:lineRule="auto"/>
              <w:ind w:left="10" w:hangingChars="5" w:hanging="10"/>
              <w:jc w:val="left"/>
              <w:rPr>
                <w:rFonts w:ascii="宋体" w:hAnsi="宋体"/>
                <w:szCs w:val="21"/>
              </w:rPr>
            </w:pPr>
            <w:r>
              <w:rPr>
                <w:rFonts w:ascii="宋体" w:hAnsi="宋体" w:hint="eastAsia"/>
                <w:szCs w:val="21"/>
              </w:rPr>
              <w:t>有限</w:t>
            </w:r>
            <w:proofErr w:type="gramStart"/>
            <w:r>
              <w:rPr>
                <w:rFonts w:ascii="宋体" w:hAnsi="宋体" w:hint="eastAsia"/>
                <w:szCs w:val="21"/>
              </w:rPr>
              <w:t>售条件</w:t>
            </w:r>
            <w:proofErr w:type="gramEnd"/>
            <w:r>
              <w:rPr>
                <w:rFonts w:ascii="宋体" w:hAnsi="宋体" w:hint="eastAsia"/>
                <w:szCs w:val="21"/>
              </w:rPr>
              <w:t>的</w:t>
            </w:r>
            <w:r w:rsidRPr="00EE5F1D">
              <w:rPr>
                <w:rFonts w:ascii="宋体" w:hAnsi="宋体" w:hint="eastAsia"/>
                <w:szCs w:val="21"/>
              </w:rPr>
              <w:t>股份</w:t>
            </w:r>
          </w:p>
        </w:tc>
        <w:tc>
          <w:tcPr>
            <w:tcW w:w="860" w:type="pct"/>
            <w:noWrap/>
            <w:tcMar>
              <w:top w:w="13" w:type="dxa"/>
              <w:left w:w="13" w:type="dxa"/>
              <w:bottom w:w="0" w:type="dxa"/>
              <w:right w:w="13" w:type="dxa"/>
            </w:tcMar>
            <w:vAlign w:val="center"/>
          </w:tcPr>
          <w:p w:rsidR="00293D7A" w:rsidRPr="00EE5F1D" w:rsidRDefault="00293D7A" w:rsidP="00E01ED0">
            <w:pPr>
              <w:snapToGrid w:val="0"/>
              <w:spacing w:line="276" w:lineRule="auto"/>
              <w:jc w:val="center"/>
              <w:rPr>
                <w:rFonts w:ascii="宋体" w:hAnsi="宋体"/>
                <w:szCs w:val="21"/>
              </w:rPr>
            </w:pPr>
            <w:r w:rsidRPr="00DA7AE6">
              <w:rPr>
                <w:rFonts w:ascii="宋体" w:hAnsi="宋体"/>
                <w:szCs w:val="21"/>
              </w:rPr>
              <w:t>6,615,103</w:t>
            </w:r>
          </w:p>
        </w:tc>
        <w:tc>
          <w:tcPr>
            <w:tcW w:w="757" w:type="pct"/>
            <w:noWrap/>
            <w:tcMar>
              <w:top w:w="13" w:type="dxa"/>
              <w:left w:w="13" w:type="dxa"/>
              <w:bottom w:w="0" w:type="dxa"/>
              <w:right w:w="13" w:type="dxa"/>
            </w:tcMar>
            <w:vAlign w:val="center"/>
          </w:tcPr>
          <w:p w:rsidR="00293D7A" w:rsidRPr="00EE5F1D" w:rsidRDefault="00293D7A" w:rsidP="00E01ED0">
            <w:pPr>
              <w:snapToGrid w:val="0"/>
              <w:spacing w:line="276" w:lineRule="auto"/>
              <w:jc w:val="center"/>
              <w:rPr>
                <w:rFonts w:ascii="宋体" w:hAnsi="宋体"/>
                <w:szCs w:val="21"/>
              </w:rPr>
            </w:pPr>
            <w:r>
              <w:rPr>
                <w:rFonts w:ascii="宋体" w:hAnsi="宋体" w:hint="eastAsia"/>
                <w:szCs w:val="21"/>
              </w:rPr>
              <w:t>0.92</w:t>
            </w:r>
          </w:p>
        </w:tc>
        <w:tc>
          <w:tcPr>
            <w:tcW w:w="1049" w:type="pct"/>
            <w:vAlign w:val="center"/>
          </w:tcPr>
          <w:p w:rsidR="00293D7A" w:rsidRPr="00EE5F1D" w:rsidRDefault="00293D7A" w:rsidP="00E01ED0">
            <w:pPr>
              <w:snapToGrid w:val="0"/>
              <w:spacing w:line="276" w:lineRule="auto"/>
              <w:jc w:val="center"/>
              <w:rPr>
                <w:rFonts w:ascii="宋体" w:hAnsi="宋体"/>
                <w:szCs w:val="21"/>
              </w:rPr>
            </w:pPr>
            <w:r>
              <w:rPr>
                <w:rFonts w:ascii="宋体" w:hAnsi="宋体" w:hint="eastAsia"/>
                <w:szCs w:val="21"/>
              </w:rPr>
              <w:t>-</w:t>
            </w:r>
            <w:r w:rsidRPr="003A77A1">
              <w:rPr>
                <w:rFonts w:ascii="宋体" w:hAnsi="宋体"/>
                <w:szCs w:val="21"/>
              </w:rPr>
              <w:t>4,991,137</w:t>
            </w:r>
          </w:p>
        </w:tc>
        <w:tc>
          <w:tcPr>
            <w:tcW w:w="916" w:type="pct"/>
            <w:noWrap/>
            <w:tcMar>
              <w:top w:w="13" w:type="dxa"/>
              <w:left w:w="13" w:type="dxa"/>
              <w:bottom w:w="0" w:type="dxa"/>
              <w:right w:w="13" w:type="dxa"/>
            </w:tcMar>
            <w:vAlign w:val="center"/>
          </w:tcPr>
          <w:p w:rsidR="00293D7A" w:rsidRPr="00EE5F1D" w:rsidRDefault="00293D7A" w:rsidP="00E01ED0">
            <w:pPr>
              <w:snapToGrid w:val="0"/>
              <w:spacing w:line="276" w:lineRule="auto"/>
              <w:jc w:val="center"/>
              <w:rPr>
                <w:rFonts w:ascii="宋体" w:hAnsi="宋体"/>
                <w:szCs w:val="21"/>
              </w:rPr>
            </w:pPr>
            <w:r w:rsidRPr="003A77A1">
              <w:rPr>
                <w:rFonts w:ascii="宋体" w:hAnsi="宋体"/>
                <w:szCs w:val="21"/>
              </w:rPr>
              <w:t>1,623,966</w:t>
            </w:r>
          </w:p>
        </w:tc>
        <w:tc>
          <w:tcPr>
            <w:tcW w:w="749" w:type="pct"/>
            <w:vAlign w:val="center"/>
          </w:tcPr>
          <w:p w:rsidR="00293D7A" w:rsidRPr="00EE5F1D" w:rsidRDefault="00293D7A" w:rsidP="00E01ED0">
            <w:pPr>
              <w:snapToGrid w:val="0"/>
              <w:spacing w:line="276" w:lineRule="auto"/>
              <w:jc w:val="center"/>
              <w:rPr>
                <w:rFonts w:ascii="宋体" w:hAnsi="宋体"/>
                <w:szCs w:val="21"/>
              </w:rPr>
            </w:pPr>
            <w:r>
              <w:rPr>
                <w:rFonts w:ascii="宋体" w:hAnsi="宋体" w:hint="eastAsia"/>
                <w:szCs w:val="21"/>
              </w:rPr>
              <w:t>0.23</w:t>
            </w:r>
          </w:p>
        </w:tc>
      </w:tr>
      <w:tr w:rsidR="00293D7A" w:rsidRPr="00EE5F1D" w:rsidTr="00E01ED0">
        <w:trPr>
          <w:cantSplit/>
          <w:trHeight w:val="255"/>
        </w:trPr>
        <w:tc>
          <w:tcPr>
            <w:tcW w:w="669" w:type="pct"/>
            <w:tcMar>
              <w:top w:w="13" w:type="dxa"/>
              <w:left w:w="13" w:type="dxa"/>
              <w:bottom w:w="0" w:type="dxa"/>
              <w:right w:w="13" w:type="dxa"/>
            </w:tcMar>
            <w:vAlign w:val="center"/>
          </w:tcPr>
          <w:p w:rsidR="00293D7A" w:rsidRPr="00EE5F1D" w:rsidRDefault="00293D7A" w:rsidP="00E01ED0">
            <w:pPr>
              <w:snapToGrid w:val="0"/>
              <w:spacing w:line="276" w:lineRule="auto"/>
              <w:ind w:left="10" w:hangingChars="5" w:hanging="10"/>
              <w:jc w:val="left"/>
              <w:rPr>
                <w:rFonts w:ascii="宋体" w:hAnsi="宋体"/>
                <w:szCs w:val="21"/>
              </w:rPr>
            </w:pPr>
            <w:r>
              <w:rPr>
                <w:rFonts w:ascii="宋体" w:hAnsi="宋体" w:hint="eastAsia"/>
                <w:szCs w:val="21"/>
              </w:rPr>
              <w:t>无限</w:t>
            </w:r>
            <w:proofErr w:type="gramStart"/>
            <w:r>
              <w:rPr>
                <w:rFonts w:ascii="宋体" w:hAnsi="宋体" w:hint="eastAsia"/>
                <w:szCs w:val="21"/>
              </w:rPr>
              <w:t>售条件</w:t>
            </w:r>
            <w:proofErr w:type="gramEnd"/>
            <w:r>
              <w:rPr>
                <w:rFonts w:ascii="宋体" w:hAnsi="宋体" w:hint="eastAsia"/>
                <w:szCs w:val="21"/>
              </w:rPr>
              <w:t>的</w:t>
            </w:r>
            <w:r w:rsidRPr="00EE5F1D">
              <w:rPr>
                <w:rFonts w:ascii="宋体" w:hAnsi="宋体" w:hint="eastAsia"/>
                <w:szCs w:val="21"/>
              </w:rPr>
              <w:t>股份</w:t>
            </w:r>
          </w:p>
        </w:tc>
        <w:tc>
          <w:tcPr>
            <w:tcW w:w="860" w:type="pct"/>
            <w:noWrap/>
            <w:tcMar>
              <w:top w:w="13" w:type="dxa"/>
              <w:left w:w="13" w:type="dxa"/>
              <w:bottom w:w="0" w:type="dxa"/>
              <w:right w:w="13" w:type="dxa"/>
            </w:tcMar>
            <w:vAlign w:val="center"/>
          </w:tcPr>
          <w:p w:rsidR="00293D7A" w:rsidRPr="00EE5F1D" w:rsidRDefault="00293D7A" w:rsidP="00E01ED0">
            <w:pPr>
              <w:snapToGrid w:val="0"/>
              <w:spacing w:line="276" w:lineRule="auto"/>
              <w:jc w:val="center"/>
              <w:rPr>
                <w:rFonts w:ascii="宋体" w:hAnsi="宋体"/>
                <w:szCs w:val="21"/>
              </w:rPr>
            </w:pPr>
            <w:r w:rsidRPr="00EE5F1D">
              <w:rPr>
                <w:rFonts w:ascii="宋体" w:hAnsi="宋体" w:hint="eastAsia"/>
                <w:szCs w:val="21"/>
              </w:rPr>
              <w:t>715,</w:t>
            </w:r>
            <w:r>
              <w:rPr>
                <w:rFonts w:ascii="宋体" w:hAnsi="宋体" w:hint="eastAsia"/>
                <w:szCs w:val="21"/>
              </w:rPr>
              <w:t>276</w:t>
            </w:r>
            <w:r w:rsidRPr="00EE5F1D">
              <w:rPr>
                <w:rFonts w:ascii="宋体" w:hAnsi="宋体" w:hint="eastAsia"/>
                <w:szCs w:val="21"/>
              </w:rPr>
              <w:t>,855</w:t>
            </w:r>
          </w:p>
        </w:tc>
        <w:tc>
          <w:tcPr>
            <w:tcW w:w="757" w:type="pct"/>
            <w:noWrap/>
            <w:tcMar>
              <w:top w:w="13" w:type="dxa"/>
              <w:left w:w="13" w:type="dxa"/>
              <w:bottom w:w="0" w:type="dxa"/>
              <w:right w:w="13" w:type="dxa"/>
            </w:tcMar>
            <w:vAlign w:val="center"/>
          </w:tcPr>
          <w:p w:rsidR="00293D7A" w:rsidRPr="00EE5F1D" w:rsidRDefault="00293D7A" w:rsidP="00E01ED0">
            <w:pPr>
              <w:snapToGrid w:val="0"/>
              <w:spacing w:line="276" w:lineRule="auto"/>
              <w:jc w:val="center"/>
              <w:rPr>
                <w:rFonts w:ascii="宋体" w:hAnsi="宋体"/>
                <w:szCs w:val="21"/>
              </w:rPr>
            </w:pPr>
            <w:r>
              <w:rPr>
                <w:rFonts w:ascii="宋体" w:hAnsi="宋体" w:hint="eastAsia"/>
                <w:szCs w:val="21"/>
              </w:rPr>
              <w:t>99.08</w:t>
            </w:r>
          </w:p>
        </w:tc>
        <w:tc>
          <w:tcPr>
            <w:tcW w:w="1049" w:type="pct"/>
            <w:vAlign w:val="center"/>
          </w:tcPr>
          <w:p w:rsidR="00293D7A" w:rsidRPr="00EE5F1D" w:rsidRDefault="00293D7A" w:rsidP="00E01ED0">
            <w:pPr>
              <w:snapToGrid w:val="0"/>
              <w:spacing w:line="276" w:lineRule="auto"/>
              <w:jc w:val="center"/>
              <w:rPr>
                <w:rFonts w:ascii="宋体" w:hAnsi="宋体"/>
                <w:szCs w:val="21"/>
              </w:rPr>
            </w:pPr>
            <w:r>
              <w:rPr>
                <w:rFonts w:ascii="宋体" w:hAnsi="宋体" w:hint="eastAsia"/>
                <w:szCs w:val="21"/>
              </w:rPr>
              <w:t>-</w:t>
            </w:r>
            <w:r w:rsidRPr="003A77A1">
              <w:rPr>
                <w:rFonts w:ascii="宋体" w:hAnsi="宋体"/>
                <w:szCs w:val="21"/>
              </w:rPr>
              <w:t>4,511,989</w:t>
            </w:r>
          </w:p>
        </w:tc>
        <w:tc>
          <w:tcPr>
            <w:tcW w:w="916" w:type="pct"/>
            <w:noWrap/>
            <w:tcMar>
              <w:top w:w="13" w:type="dxa"/>
              <w:left w:w="13" w:type="dxa"/>
              <w:bottom w:w="0" w:type="dxa"/>
              <w:right w:w="13" w:type="dxa"/>
            </w:tcMar>
            <w:vAlign w:val="center"/>
          </w:tcPr>
          <w:p w:rsidR="00293D7A" w:rsidRPr="00EE5F1D" w:rsidRDefault="00293D7A" w:rsidP="00E01ED0">
            <w:pPr>
              <w:snapToGrid w:val="0"/>
              <w:spacing w:line="276" w:lineRule="auto"/>
              <w:jc w:val="center"/>
              <w:rPr>
                <w:rFonts w:ascii="宋体" w:hAnsi="宋体"/>
                <w:szCs w:val="21"/>
              </w:rPr>
            </w:pPr>
            <w:r w:rsidRPr="003A77A1">
              <w:rPr>
                <w:rFonts w:ascii="宋体" w:hAnsi="宋体"/>
                <w:szCs w:val="21"/>
              </w:rPr>
              <w:t>710,764,866</w:t>
            </w:r>
          </w:p>
        </w:tc>
        <w:tc>
          <w:tcPr>
            <w:tcW w:w="749" w:type="pct"/>
            <w:vAlign w:val="center"/>
          </w:tcPr>
          <w:p w:rsidR="00293D7A" w:rsidRPr="00EE5F1D" w:rsidRDefault="00293D7A" w:rsidP="00E01ED0">
            <w:pPr>
              <w:snapToGrid w:val="0"/>
              <w:spacing w:line="276" w:lineRule="auto"/>
              <w:jc w:val="center"/>
              <w:rPr>
                <w:rFonts w:ascii="宋体" w:hAnsi="宋体"/>
                <w:szCs w:val="21"/>
              </w:rPr>
            </w:pPr>
            <w:r>
              <w:rPr>
                <w:rFonts w:ascii="宋体" w:hAnsi="宋体" w:hint="eastAsia"/>
                <w:szCs w:val="21"/>
              </w:rPr>
              <w:t>99.77</w:t>
            </w:r>
          </w:p>
        </w:tc>
      </w:tr>
      <w:tr w:rsidR="00293D7A" w:rsidRPr="00DF0817" w:rsidTr="00E01ED0">
        <w:trPr>
          <w:trHeight w:val="270"/>
        </w:trPr>
        <w:tc>
          <w:tcPr>
            <w:tcW w:w="669" w:type="pct"/>
            <w:noWrap/>
            <w:tcMar>
              <w:top w:w="13" w:type="dxa"/>
              <w:left w:w="13" w:type="dxa"/>
              <w:bottom w:w="0" w:type="dxa"/>
              <w:right w:w="13" w:type="dxa"/>
            </w:tcMar>
            <w:vAlign w:val="center"/>
          </w:tcPr>
          <w:p w:rsidR="00293D7A" w:rsidRPr="00EE5F1D" w:rsidRDefault="00293D7A" w:rsidP="00E01ED0">
            <w:pPr>
              <w:snapToGrid w:val="0"/>
              <w:spacing w:line="276" w:lineRule="auto"/>
              <w:ind w:left="10" w:hangingChars="5" w:hanging="10"/>
              <w:jc w:val="left"/>
              <w:rPr>
                <w:rFonts w:ascii="宋体" w:hAnsi="宋体"/>
                <w:szCs w:val="21"/>
              </w:rPr>
            </w:pPr>
            <w:r w:rsidRPr="00EE5F1D">
              <w:rPr>
                <w:rFonts w:ascii="宋体" w:hAnsi="宋体" w:hint="eastAsia"/>
                <w:szCs w:val="21"/>
              </w:rPr>
              <w:t>股份总额</w:t>
            </w:r>
          </w:p>
        </w:tc>
        <w:tc>
          <w:tcPr>
            <w:tcW w:w="860" w:type="pct"/>
            <w:noWrap/>
            <w:tcMar>
              <w:top w:w="13" w:type="dxa"/>
              <w:left w:w="13" w:type="dxa"/>
              <w:bottom w:w="0" w:type="dxa"/>
              <w:right w:w="13" w:type="dxa"/>
            </w:tcMar>
            <w:vAlign w:val="center"/>
          </w:tcPr>
          <w:p w:rsidR="00293D7A" w:rsidRPr="00DF0817" w:rsidRDefault="00293D7A" w:rsidP="00E01ED0">
            <w:pPr>
              <w:snapToGrid w:val="0"/>
              <w:spacing w:line="276" w:lineRule="auto"/>
              <w:jc w:val="center"/>
              <w:rPr>
                <w:rFonts w:ascii="宋体" w:hAnsi="宋体"/>
                <w:szCs w:val="21"/>
              </w:rPr>
            </w:pPr>
            <w:r w:rsidRPr="00EE5F1D">
              <w:rPr>
                <w:rFonts w:ascii="宋体" w:hAnsi="宋体"/>
                <w:szCs w:val="21"/>
              </w:rPr>
              <w:t>721,891,958</w:t>
            </w:r>
          </w:p>
        </w:tc>
        <w:tc>
          <w:tcPr>
            <w:tcW w:w="757" w:type="pct"/>
            <w:noWrap/>
            <w:tcMar>
              <w:top w:w="13" w:type="dxa"/>
              <w:left w:w="13" w:type="dxa"/>
              <w:bottom w:w="0" w:type="dxa"/>
              <w:right w:w="13" w:type="dxa"/>
            </w:tcMar>
            <w:vAlign w:val="center"/>
          </w:tcPr>
          <w:p w:rsidR="00293D7A" w:rsidRPr="00EE5F1D" w:rsidRDefault="00293D7A" w:rsidP="00E01ED0">
            <w:pPr>
              <w:snapToGrid w:val="0"/>
              <w:spacing w:line="276" w:lineRule="auto"/>
              <w:jc w:val="center"/>
              <w:rPr>
                <w:rFonts w:ascii="宋体" w:hAnsi="宋体"/>
                <w:szCs w:val="21"/>
              </w:rPr>
            </w:pPr>
            <w:r>
              <w:rPr>
                <w:rFonts w:ascii="宋体" w:hAnsi="宋体" w:hint="eastAsia"/>
                <w:szCs w:val="21"/>
              </w:rPr>
              <w:t>100.00</w:t>
            </w:r>
          </w:p>
        </w:tc>
        <w:tc>
          <w:tcPr>
            <w:tcW w:w="1049" w:type="pct"/>
            <w:vAlign w:val="center"/>
          </w:tcPr>
          <w:p w:rsidR="00293D7A" w:rsidRPr="00DF0817" w:rsidRDefault="00293D7A" w:rsidP="00E01ED0">
            <w:pPr>
              <w:snapToGrid w:val="0"/>
              <w:spacing w:line="276" w:lineRule="auto"/>
              <w:jc w:val="center"/>
              <w:rPr>
                <w:rFonts w:ascii="宋体" w:hAnsi="宋体"/>
                <w:szCs w:val="21"/>
              </w:rPr>
            </w:pPr>
            <w:r>
              <w:rPr>
                <w:rFonts w:ascii="宋体" w:hAnsi="宋体" w:hint="eastAsia"/>
                <w:szCs w:val="21"/>
              </w:rPr>
              <w:t>-</w:t>
            </w:r>
            <w:r w:rsidRPr="003A77A1">
              <w:rPr>
                <w:rFonts w:ascii="宋体" w:hAnsi="宋体"/>
                <w:szCs w:val="21"/>
              </w:rPr>
              <w:t>9,503,126</w:t>
            </w:r>
          </w:p>
        </w:tc>
        <w:tc>
          <w:tcPr>
            <w:tcW w:w="916" w:type="pct"/>
            <w:noWrap/>
            <w:tcMar>
              <w:top w:w="13" w:type="dxa"/>
              <w:left w:w="13" w:type="dxa"/>
              <w:bottom w:w="0" w:type="dxa"/>
              <w:right w:w="13" w:type="dxa"/>
            </w:tcMar>
            <w:vAlign w:val="center"/>
          </w:tcPr>
          <w:p w:rsidR="00293D7A" w:rsidRPr="00DF0817" w:rsidRDefault="00293D7A" w:rsidP="00E01ED0">
            <w:pPr>
              <w:snapToGrid w:val="0"/>
              <w:spacing w:line="276" w:lineRule="auto"/>
              <w:jc w:val="center"/>
              <w:rPr>
                <w:rFonts w:ascii="宋体" w:hAnsi="宋体"/>
                <w:szCs w:val="21"/>
              </w:rPr>
            </w:pPr>
            <w:r w:rsidRPr="003A77A1">
              <w:rPr>
                <w:rFonts w:ascii="宋体" w:hAnsi="宋体"/>
                <w:szCs w:val="21"/>
              </w:rPr>
              <w:t>712,388,832</w:t>
            </w:r>
          </w:p>
        </w:tc>
        <w:tc>
          <w:tcPr>
            <w:tcW w:w="749" w:type="pct"/>
            <w:vAlign w:val="center"/>
          </w:tcPr>
          <w:p w:rsidR="00293D7A" w:rsidRPr="00DF0817" w:rsidRDefault="00293D7A" w:rsidP="00E01ED0">
            <w:pPr>
              <w:snapToGrid w:val="0"/>
              <w:spacing w:line="276" w:lineRule="auto"/>
              <w:jc w:val="center"/>
              <w:rPr>
                <w:rFonts w:ascii="宋体" w:hAnsi="宋体"/>
                <w:szCs w:val="21"/>
              </w:rPr>
            </w:pPr>
            <w:r>
              <w:rPr>
                <w:rFonts w:ascii="宋体" w:hAnsi="宋体" w:hint="eastAsia"/>
                <w:szCs w:val="21"/>
              </w:rPr>
              <w:t>100.00</w:t>
            </w:r>
          </w:p>
        </w:tc>
      </w:tr>
    </w:tbl>
    <w:p w:rsidR="00B80C5E" w:rsidRDefault="00B80C5E" w:rsidP="00EB1EBD">
      <w:pPr>
        <w:spacing w:line="360" w:lineRule="auto"/>
        <w:rPr>
          <w:rFonts w:asciiTheme="minorEastAsia" w:eastAsiaTheme="minorEastAsia" w:hAnsiTheme="minorEastAsia"/>
          <w:sz w:val="24"/>
        </w:rPr>
      </w:pPr>
    </w:p>
    <w:p w:rsidR="003A50CE" w:rsidRDefault="003A50CE" w:rsidP="003A50CE">
      <w:pPr>
        <w:spacing w:line="460" w:lineRule="exact"/>
        <w:ind w:firstLineChars="200" w:firstLine="480"/>
        <w:rPr>
          <w:rFonts w:asciiTheme="minorEastAsia" w:eastAsiaTheme="minorEastAsia" w:hAnsiTheme="minorEastAsia"/>
          <w:sz w:val="24"/>
        </w:rPr>
      </w:pPr>
      <w:r w:rsidRPr="00650CAE">
        <w:rPr>
          <w:rFonts w:asciiTheme="minorEastAsia" w:eastAsiaTheme="minorEastAsia" w:hAnsiTheme="minorEastAsia"/>
          <w:sz w:val="24"/>
        </w:rPr>
        <w:t>特此公告</w:t>
      </w:r>
      <w:r w:rsidRPr="00650CAE">
        <w:rPr>
          <w:rFonts w:asciiTheme="minorEastAsia" w:eastAsiaTheme="minorEastAsia" w:hAnsiTheme="minorEastAsia" w:hint="eastAsia"/>
          <w:sz w:val="24"/>
        </w:rPr>
        <w:t>。</w:t>
      </w:r>
    </w:p>
    <w:p w:rsidR="00293D7A" w:rsidRDefault="00293D7A" w:rsidP="003A50CE">
      <w:pPr>
        <w:spacing w:line="460" w:lineRule="exact"/>
        <w:ind w:firstLineChars="200" w:firstLine="480"/>
        <w:rPr>
          <w:rFonts w:asciiTheme="minorEastAsia" w:eastAsiaTheme="minorEastAsia" w:hAnsiTheme="minorEastAsia"/>
          <w:sz w:val="24"/>
        </w:rPr>
      </w:pPr>
    </w:p>
    <w:p w:rsidR="00293D7A" w:rsidRDefault="00293D7A" w:rsidP="003A50CE">
      <w:pPr>
        <w:spacing w:line="460" w:lineRule="exact"/>
        <w:ind w:firstLineChars="200" w:firstLine="480"/>
        <w:rPr>
          <w:rFonts w:asciiTheme="minorEastAsia" w:eastAsiaTheme="minorEastAsia" w:hAnsiTheme="minorEastAsia"/>
          <w:sz w:val="24"/>
        </w:rPr>
      </w:pPr>
    </w:p>
    <w:p w:rsidR="003A50CE" w:rsidRPr="00650CAE" w:rsidRDefault="003A50CE" w:rsidP="003A50CE">
      <w:pPr>
        <w:spacing w:line="360" w:lineRule="auto"/>
        <w:ind w:firstLineChars="1800" w:firstLine="4320"/>
        <w:jc w:val="right"/>
        <w:rPr>
          <w:rFonts w:asciiTheme="minorEastAsia" w:eastAsiaTheme="minorEastAsia" w:hAnsiTheme="minorEastAsia"/>
          <w:sz w:val="24"/>
        </w:rPr>
      </w:pPr>
      <w:r w:rsidRPr="00650CAE">
        <w:rPr>
          <w:rFonts w:asciiTheme="minorEastAsia" w:eastAsiaTheme="minorEastAsia" w:hAnsiTheme="minorEastAsia" w:hint="eastAsia"/>
          <w:sz w:val="24"/>
        </w:rPr>
        <w:t>江苏吴中实业股份有限公司</w:t>
      </w:r>
    </w:p>
    <w:p w:rsidR="003A50CE" w:rsidRPr="00650CAE" w:rsidRDefault="003A50CE" w:rsidP="003A50CE">
      <w:pPr>
        <w:spacing w:line="360" w:lineRule="auto"/>
        <w:ind w:right="720" w:firstLineChars="1800" w:firstLine="4320"/>
        <w:jc w:val="right"/>
        <w:rPr>
          <w:rFonts w:asciiTheme="minorEastAsia" w:eastAsiaTheme="minorEastAsia" w:hAnsiTheme="minorEastAsia"/>
          <w:sz w:val="24"/>
        </w:rPr>
      </w:pPr>
      <w:r w:rsidRPr="00650CAE">
        <w:rPr>
          <w:rFonts w:asciiTheme="minorEastAsia" w:eastAsiaTheme="minorEastAsia" w:hAnsiTheme="minorEastAsia" w:hint="eastAsia"/>
          <w:sz w:val="24"/>
        </w:rPr>
        <w:t xml:space="preserve">董事会      </w:t>
      </w:r>
    </w:p>
    <w:p w:rsidR="003A50CE" w:rsidRPr="00650CAE" w:rsidRDefault="003A50CE" w:rsidP="003A50CE">
      <w:pPr>
        <w:spacing w:line="360" w:lineRule="auto"/>
        <w:ind w:firstLineChars="2175" w:firstLine="5220"/>
        <w:jc w:val="right"/>
        <w:rPr>
          <w:rFonts w:asciiTheme="minorEastAsia" w:eastAsiaTheme="minorEastAsia" w:hAnsiTheme="minorEastAsia"/>
          <w:sz w:val="24"/>
        </w:rPr>
      </w:pPr>
      <w:r w:rsidRPr="00650CAE">
        <w:rPr>
          <w:rFonts w:asciiTheme="minorEastAsia" w:eastAsiaTheme="minorEastAsia" w:hAnsiTheme="minorEastAsia" w:hint="eastAsia"/>
          <w:sz w:val="24"/>
        </w:rPr>
        <w:t>2019</w:t>
      </w:r>
      <w:r w:rsidRPr="00A56ED5">
        <w:rPr>
          <w:rFonts w:asciiTheme="minorEastAsia" w:eastAsiaTheme="minorEastAsia" w:hAnsiTheme="minorEastAsia" w:hint="eastAsia"/>
          <w:sz w:val="24"/>
        </w:rPr>
        <w:t>年7月</w:t>
      </w:r>
      <w:r w:rsidR="00B65CEE" w:rsidRPr="00A56ED5">
        <w:rPr>
          <w:rFonts w:asciiTheme="minorEastAsia" w:eastAsiaTheme="minorEastAsia" w:hAnsiTheme="minorEastAsia" w:hint="eastAsia"/>
          <w:sz w:val="24"/>
        </w:rPr>
        <w:t>31</w:t>
      </w:r>
      <w:r w:rsidRPr="00A56ED5">
        <w:rPr>
          <w:rFonts w:asciiTheme="minorEastAsia" w:eastAsiaTheme="minorEastAsia" w:hAnsiTheme="minorEastAsia" w:hint="eastAsia"/>
          <w:sz w:val="24"/>
        </w:rPr>
        <w:t>日</w:t>
      </w:r>
    </w:p>
    <w:p w:rsidR="003A50CE" w:rsidRPr="00EB1EBD" w:rsidRDefault="003A50CE" w:rsidP="00EB1EBD">
      <w:pPr>
        <w:spacing w:line="360" w:lineRule="auto"/>
        <w:rPr>
          <w:rFonts w:asciiTheme="minorEastAsia" w:eastAsiaTheme="minorEastAsia" w:hAnsiTheme="minorEastAsia"/>
          <w:sz w:val="24"/>
        </w:rPr>
      </w:pPr>
    </w:p>
    <w:p w:rsidR="00EB1EBD" w:rsidRPr="00EB1EBD" w:rsidRDefault="00EB1EBD" w:rsidP="00EB1EBD">
      <w:pPr>
        <w:spacing w:line="360" w:lineRule="auto"/>
        <w:rPr>
          <w:rFonts w:asciiTheme="minorEastAsia" w:eastAsiaTheme="minorEastAsia" w:hAnsiTheme="minorEastAsia"/>
          <w:sz w:val="24"/>
        </w:rPr>
      </w:pPr>
    </w:p>
    <w:sectPr w:rsidR="00EB1EBD" w:rsidRPr="00EB1E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45B" w:rsidRDefault="007F745B" w:rsidP="00BD18CB">
      <w:r>
        <w:separator/>
      </w:r>
    </w:p>
  </w:endnote>
  <w:endnote w:type="continuationSeparator" w:id="0">
    <w:p w:rsidR="007F745B" w:rsidRDefault="007F745B" w:rsidP="00BD1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45B" w:rsidRDefault="007F745B" w:rsidP="00BD18CB">
      <w:r>
        <w:separator/>
      </w:r>
    </w:p>
  </w:footnote>
  <w:footnote w:type="continuationSeparator" w:id="0">
    <w:p w:rsidR="007F745B" w:rsidRDefault="007F745B" w:rsidP="00BD18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F4A20"/>
    <w:multiLevelType w:val="hybridMultilevel"/>
    <w:tmpl w:val="083EB14C"/>
    <w:lvl w:ilvl="0" w:tplc="04090001">
      <w:start w:val="1"/>
      <w:numFmt w:val="bullet"/>
      <w:lvlText w:val=""/>
      <w:lvlJc w:val="left"/>
      <w:pPr>
        <w:tabs>
          <w:tab w:val="num" w:pos="846"/>
        </w:tabs>
        <w:ind w:left="846"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F16"/>
    <w:rsid w:val="00015559"/>
    <w:rsid w:val="0003171D"/>
    <w:rsid w:val="000377FA"/>
    <w:rsid w:val="00072534"/>
    <w:rsid w:val="000C1EBF"/>
    <w:rsid w:val="000C3FF6"/>
    <w:rsid w:val="000D5160"/>
    <w:rsid w:val="000E5928"/>
    <w:rsid w:val="001044FC"/>
    <w:rsid w:val="00115DE0"/>
    <w:rsid w:val="00125EB5"/>
    <w:rsid w:val="00141A30"/>
    <w:rsid w:val="0014235B"/>
    <w:rsid w:val="001449C0"/>
    <w:rsid w:val="00167B35"/>
    <w:rsid w:val="00184711"/>
    <w:rsid w:val="001A6F91"/>
    <w:rsid w:val="001F698F"/>
    <w:rsid w:val="002004E5"/>
    <w:rsid w:val="00215F16"/>
    <w:rsid w:val="002442A3"/>
    <w:rsid w:val="00251C73"/>
    <w:rsid w:val="0025726D"/>
    <w:rsid w:val="0025795B"/>
    <w:rsid w:val="0027220C"/>
    <w:rsid w:val="002808AB"/>
    <w:rsid w:val="00284CD2"/>
    <w:rsid w:val="00293D7A"/>
    <w:rsid w:val="002A146D"/>
    <w:rsid w:val="002B7CCB"/>
    <w:rsid w:val="002C71E7"/>
    <w:rsid w:val="002D2369"/>
    <w:rsid w:val="002F74DC"/>
    <w:rsid w:val="00324EB8"/>
    <w:rsid w:val="0037324C"/>
    <w:rsid w:val="003870CC"/>
    <w:rsid w:val="003A50CE"/>
    <w:rsid w:val="003B5345"/>
    <w:rsid w:val="003C607D"/>
    <w:rsid w:val="003D0B30"/>
    <w:rsid w:val="003D3FFF"/>
    <w:rsid w:val="003E355B"/>
    <w:rsid w:val="003F2CF8"/>
    <w:rsid w:val="0041720E"/>
    <w:rsid w:val="004502F4"/>
    <w:rsid w:val="00456FA8"/>
    <w:rsid w:val="00496E8A"/>
    <w:rsid w:val="004C27B9"/>
    <w:rsid w:val="004C3DB4"/>
    <w:rsid w:val="004E363D"/>
    <w:rsid w:val="004F1F15"/>
    <w:rsid w:val="004F2575"/>
    <w:rsid w:val="00520DC1"/>
    <w:rsid w:val="0054311D"/>
    <w:rsid w:val="00564F8A"/>
    <w:rsid w:val="005712CB"/>
    <w:rsid w:val="00577CBB"/>
    <w:rsid w:val="005B4F18"/>
    <w:rsid w:val="005C3668"/>
    <w:rsid w:val="005D4ACB"/>
    <w:rsid w:val="00615D49"/>
    <w:rsid w:val="006412D7"/>
    <w:rsid w:val="00662769"/>
    <w:rsid w:val="00676AF1"/>
    <w:rsid w:val="00683AED"/>
    <w:rsid w:val="00695D72"/>
    <w:rsid w:val="006A3BD2"/>
    <w:rsid w:val="006B29CA"/>
    <w:rsid w:val="006B2B65"/>
    <w:rsid w:val="007001F0"/>
    <w:rsid w:val="007014FC"/>
    <w:rsid w:val="007564B5"/>
    <w:rsid w:val="00766EEB"/>
    <w:rsid w:val="007C7BAF"/>
    <w:rsid w:val="007F745B"/>
    <w:rsid w:val="00802A0A"/>
    <w:rsid w:val="008312C0"/>
    <w:rsid w:val="008633B2"/>
    <w:rsid w:val="00893296"/>
    <w:rsid w:val="008935D4"/>
    <w:rsid w:val="008E57CC"/>
    <w:rsid w:val="008F6AB5"/>
    <w:rsid w:val="00933FA5"/>
    <w:rsid w:val="00955A3F"/>
    <w:rsid w:val="009C2E4D"/>
    <w:rsid w:val="009E685C"/>
    <w:rsid w:val="00A267F9"/>
    <w:rsid w:val="00A56ED5"/>
    <w:rsid w:val="00A842DF"/>
    <w:rsid w:val="00AA10D4"/>
    <w:rsid w:val="00AC7ABF"/>
    <w:rsid w:val="00B07E79"/>
    <w:rsid w:val="00B31A8D"/>
    <w:rsid w:val="00B41408"/>
    <w:rsid w:val="00B65CEE"/>
    <w:rsid w:val="00B80C5E"/>
    <w:rsid w:val="00B87AB6"/>
    <w:rsid w:val="00BB5C59"/>
    <w:rsid w:val="00BB5F62"/>
    <w:rsid w:val="00BD18CB"/>
    <w:rsid w:val="00BD2729"/>
    <w:rsid w:val="00BF68F7"/>
    <w:rsid w:val="00C01D90"/>
    <w:rsid w:val="00C14435"/>
    <w:rsid w:val="00CC65AD"/>
    <w:rsid w:val="00CD5891"/>
    <w:rsid w:val="00CD6EAB"/>
    <w:rsid w:val="00CF42BE"/>
    <w:rsid w:val="00D04CBB"/>
    <w:rsid w:val="00D21B8D"/>
    <w:rsid w:val="00D26D15"/>
    <w:rsid w:val="00D37F02"/>
    <w:rsid w:val="00D45281"/>
    <w:rsid w:val="00D53DC4"/>
    <w:rsid w:val="00D86A2F"/>
    <w:rsid w:val="00D90BC6"/>
    <w:rsid w:val="00D93D32"/>
    <w:rsid w:val="00DA3785"/>
    <w:rsid w:val="00E003D0"/>
    <w:rsid w:val="00E025CD"/>
    <w:rsid w:val="00E05034"/>
    <w:rsid w:val="00E158CC"/>
    <w:rsid w:val="00E220DE"/>
    <w:rsid w:val="00E26433"/>
    <w:rsid w:val="00E35054"/>
    <w:rsid w:val="00E419D4"/>
    <w:rsid w:val="00E45FA9"/>
    <w:rsid w:val="00E54C8B"/>
    <w:rsid w:val="00E63E10"/>
    <w:rsid w:val="00E64E7C"/>
    <w:rsid w:val="00E74755"/>
    <w:rsid w:val="00E77D37"/>
    <w:rsid w:val="00E9529E"/>
    <w:rsid w:val="00E96761"/>
    <w:rsid w:val="00EA6444"/>
    <w:rsid w:val="00EB1EBD"/>
    <w:rsid w:val="00EB7FBA"/>
    <w:rsid w:val="00EF67AA"/>
    <w:rsid w:val="00F03FA2"/>
    <w:rsid w:val="00F168FB"/>
    <w:rsid w:val="00F21312"/>
    <w:rsid w:val="00F23D77"/>
    <w:rsid w:val="00F642E6"/>
    <w:rsid w:val="00FA5496"/>
    <w:rsid w:val="00FE4FBE"/>
    <w:rsid w:val="00FE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EB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B1EBD"/>
    <w:pPr>
      <w:widowControl w:val="0"/>
      <w:autoSpaceDE w:val="0"/>
      <w:autoSpaceDN w:val="0"/>
      <w:adjustRightInd w:val="0"/>
    </w:pPr>
    <w:rPr>
      <w:rFonts w:ascii="宋体" w:eastAsia="宋体" w:hAnsi="Times New Roman" w:cs="宋体"/>
      <w:color w:val="000000"/>
      <w:kern w:val="0"/>
      <w:sz w:val="24"/>
      <w:szCs w:val="24"/>
    </w:rPr>
  </w:style>
  <w:style w:type="table" w:styleId="a3">
    <w:name w:val="Table Grid"/>
    <w:basedOn w:val="a1"/>
    <w:uiPriority w:val="59"/>
    <w:rsid w:val="00B41408"/>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BD18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D18CB"/>
    <w:rPr>
      <w:rFonts w:ascii="Times New Roman" w:eastAsia="宋体" w:hAnsi="Times New Roman" w:cs="Times New Roman"/>
      <w:sz w:val="18"/>
      <w:szCs w:val="18"/>
    </w:rPr>
  </w:style>
  <w:style w:type="paragraph" w:styleId="a5">
    <w:name w:val="footer"/>
    <w:basedOn w:val="a"/>
    <w:link w:val="Char0"/>
    <w:uiPriority w:val="99"/>
    <w:unhideWhenUsed/>
    <w:rsid w:val="00BD18CB"/>
    <w:pPr>
      <w:tabs>
        <w:tab w:val="center" w:pos="4153"/>
        <w:tab w:val="right" w:pos="8306"/>
      </w:tabs>
      <w:snapToGrid w:val="0"/>
      <w:jc w:val="left"/>
    </w:pPr>
    <w:rPr>
      <w:sz w:val="18"/>
      <w:szCs w:val="18"/>
    </w:rPr>
  </w:style>
  <w:style w:type="character" w:customStyle="1" w:styleId="Char0">
    <w:name w:val="页脚 Char"/>
    <w:basedOn w:val="a0"/>
    <w:link w:val="a5"/>
    <w:uiPriority w:val="99"/>
    <w:rsid w:val="00BD18CB"/>
    <w:rPr>
      <w:rFonts w:ascii="Times New Roman" w:eastAsia="宋体" w:hAnsi="Times New Roman" w:cs="Times New Roman"/>
      <w:sz w:val="18"/>
      <w:szCs w:val="18"/>
    </w:rPr>
  </w:style>
  <w:style w:type="character" w:styleId="a6">
    <w:name w:val="annotation reference"/>
    <w:basedOn w:val="a0"/>
    <w:uiPriority w:val="99"/>
    <w:semiHidden/>
    <w:unhideWhenUsed/>
    <w:rsid w:val="00D93D32"/>
    <w:rPr>
      <w:sz w:val="21"/>
      <w:szCs w:val="21"/>
    </w:rPr>
  </w:style>
  <w:style w:type="paragraph" w:styleId="a7">
    <w:name w:val="annotation text"/>
    <w:basedOn w:val="a"/>
    <w:link w:val="Char1"/>
    <w:uiPriority w:val="99"/>
    <w:semiHidden/>
    <w:unhideWhenUsed/>
    <w:rsid w:val="00D93D32"/>
    <w:pPr>
      <w:jc w:val="left"/>
    </w:pPr>
  </w:style>
  <w:style w:type="character" w:customStyle="1" w:styleId="Char1">
    <w:name w:val="批注文字 Char"/>
    <w:basedOn w:val="a0"/>
    <w:link w:val="a7"/>
    <w:uiPriority w:val="99"/>
    <w:semiHidden/>
    <w:rsid w:val="00D93D32"/>
    <w:rPr>
      <w:rFonts w:ascii="Times New Roman" w:eastAsia="宋体" w:hAnsi="Times New Roman" w:cs="Times New Roman"/>
      <w:szCs w:val="24"/>
    </w:rPr>
  </w:style>
  <w:style w:type="paragraph" w:styleId="a8">
    <w:name w:val="annotation subject"/>
    <w:basedOn w:val="a7"/>
    <w:next w:val="a7"/>
    <w:link w:val="Char2"/>
    <w:uiPriority w:val="99"/>
    <w:semiHidden/>
    <w:unhideWhenUsed/>
    <w:rsid w:val="00D93D32"/>
    <w:rPr>
      <w:b/>
      <w:bCs/>
    </w:rPr>
  </w:style>
  <w:style w:type="character" w:customStyle="1" w:styleId="Char2">
    <w:name w:val="批注主题 Char"/>
    <w:basedOn w:val="Char1"/>
    <w:link w:val="a8"/>
    <w:uiPriority w:val="99"/>
    <w:semiHidden/>
    <w:rsid w:val="00D93D32"/>
    <w:rPr>
      <w:rFonts w:ascii="Times New Roman" w:eastAsia="宋体" w:hAnsi="Times New Roman" w:cs="Times New Roman"/>
      <w:b/>
      <w:bCs/>
      <w:szCs w:val="24"/>
    </w:rPr>
  </w:style>
  <w:style w:type="paragraph" w:styleId="a9">
    <w:name w:val="Balloon Text"/>
    <w:basedOn w:val="a"/>
    <w:link w:val="Char3"/>
    <w:uiPriority w:val="99"/>
    <w:semiHidden/>
    <w:unhideWhenUsed/>
    <w:rsid w:val="00D93D32"/>
    <w:rPr>
      <w:sz w:val="18"/>
      <w:szCs w:val="18"/>
    </w:rPr>
  </w:style>
  <w:style w:type="character" w:customStyle="1" w:styleId="Char3">
    <w:name w:val="批注框文本 Char"/>
    <w:basedOn w:val="a0"/>
    <w:link w:val="a9"/>
    <w:uiPriority w:val="99"/>
    <w:semiHidden/>
    <w:rsid w:val="00D93D3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EB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B1EBD"/>
    <w:pPr>
      <w:widowControl w:val="0"/>
      <w:autoSpaceDE w:val="0"/>
      <w:autoSpaceDN w:val="0"/>
      <w:adjustRightInd w:val="0"/>
    </w:pPr>
    <w:rPr>
      <w:rFonts w:ascii="宋体" w:eastAsia="宋体" w:hAnsi="Times New Roman" w:cs="宋体"/>
      <w:color w:val="000000"/>
      <w:kern w:val="0"/>
      <w:sz w:val="24"/>
      <w:szCs w:val="24"/>
    </w:rPr>
  </w:style>
  <w:style w:type="table" w:styleId="a3">
    <w:name w:val="Table Grid"/>
    <w:basedOn w:val="a1"/>
    <w:uiPriority w:val="59"/>
    <w:rsid w:val="00B41408"/>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BD18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D18CB"/>
    <w:rPr>
      <w:rFonts w:ascii="Times New Roman" w:eastAsia="宋体" w:hAnsi="Times New Roman" w:cs="Times New Roman"/>
      <w:sz w:val="18"/>
      <w:szCs w:val="18"/>
    </w:rPr>
  </w:style>
  <w:style w:type="paragraph" w:styleId="a5">
    <w:name w:val="footer"/>
    <w:basedOn w:val="a"/>
    <w:link w:val="Char0"/>
    <w:uiPriority w:val="99"/>
    <w:unhideWhenUsed/>
    <w:rsid w:val="00BD18CB"/>
    <w:pPr>
      <w:tabs>
        <w:tab w:val="center" w:pos="4153"/>
        <w:tab w:val="right" w:pos="8306"/>
      </w:tabs>
      <w:snapToGrid w:val="0"/>
      <w:jc w:val="left"/>
    </w:pPr>
    <w:rPr>
      <w:sz w:val="18"/>
      <w:szCs w:val="18"/>
    </w:rPr>
  </w:style>
  <w:style w:type="character" w:customStyle="1" w:styleId="Char0">
    <w:name w:val="页脚 Char"/>
    <w:basedOn w:val="a0"/>
    <w:link w:val="a5"/>
    <w:uiPriority w:val="99"/>
    <w:rsid w:val="00BD18CB"/>
    <w:rPr>
      <w:rFonts w:ascii="Times New Roman" w:eastAsia="宋体" w:hAnsi="Times New Roman" w:cs="Times New Roman"/>
      <w:sz w:val="18"/>
      <w:szCs w:val="18"/>
    </w:rPr>
  </w:style>
  <w:style w:type="character" w:styleId="a6">
    <w:name w:val="annotation reference"/>
    <w:basedOn w:val="a0"/>
    <w:uiPriority w:val="99"/>
    <w:semiHidden/>
    <w:unhideWhenUsed/>
    <w:rsid w:val="00D93D32"/>
    <w:rPr>
      <w:sz w:val="21"/>
      <w:szCs w:val="21"/>
    </w:rPr>
  </w:style>
  <w:style w:type="paragraph" w:styleId="a7">
    <w:name w:val="annotation text"/>
    <w:basedOn w:val="a"/>
    <w:link w:val="Char1"/>
    <w:uiPriority w:val="99"/>
    <w:semiHidden/>
    <w:unhideWhenUsed/>
    <w:rsid w:val="00D93D32"/>
    <w:pPr>
      <w:jc w:val="left"/>
    </w:pPr>
  </w:style>
  <w:style w:type="character" w:customStyle="1" w:styleId="Char1">
    <w:name w:val="批注文字 Char"/>
    <w:basedOn w:val="a0"/>
    <w:link w:val="a7"/>
    <w:uiPriority w:val="99"/>
    <w:semiHidden/>
    <w:rsid w:val="00D93D32"/>
    <w:rPr>
      <w:rFonts w:ascii="Times New Roman" w:eastAsia="宋体" w:hAnsi="Times New Roman" w:cs="Times New Roman"/>
      <w:szCs w:val="24"/>
    </w:rPr>
  </w:style>
  <w:style w:type="paragraph" w:styleId="a8">
    <w:name w:val="annotation subject"/>
    <w:basedOn w:val="a7"/>
    <w:next w:val="a7"/>
    <w:link w:val="Char2"/>
    <w:uiPriority w:val="99"/>
    <w:semiHidden/>
    <w:unhideWhenUsed/>
    <w:rsid w:val="00D93D32"/>
    <w:rPr>
      <w:b/>
      <w:bCs/>
    </w:rPr>
  </w:style>
  <w:style w:type="character" w:customStyle="1" w:styleId="Char2">
    <w:name w:val="批注主题 Char"/>
    <w:basedOn w:val="Char1"/>
    <w:link w:val="a8"/>
    <w:uiPriority w:val="99"/>
    <w:semiHidden/>
    <w:rsid w:val="00D93D32"/>
    <w:rPr>
      <w:rFonts w:ascii="Times New Roman" w:eastAsia="宋体" w:hAnsi="Times New Roman" w:cs="Times New Roman"/>
      <w:b/>
      <w:bCs/>
      <w:szCs w:val="24"/>
    </w:rPr>
  </w:style>
  <w:style w:type="paragraph" w:styleId="a9">
    <w:name w:val="Balloon Text"/>
    <w:basedOn w:val="a"/>
    <w:link w:val="Char3"/>
    <w:uiPriority w:val="99"/>
    <w:semiHidden/>
    <w:unhideWhenUsed/>
    <w:rsid w:val="00D93D32"/>
    <w:rPr>
      <w:sz w:val="18"/>
      <w:szCs w:val="18"/>
    </w:rPr>
  </w:style>
  <w:style w:type="character" w:customStyle="1" w:styleId="Char3">
    <w:name w:val="批注框文本 Char"/>
    <w:basedOn w:val="a0"/>
    <w:link w:val="a9"/>
    <w:uiPriority w:val="99"/>
    <w:semiHidden/>
    <w:rsid w:val="00D93D3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307</Words>
  <Characters>1753</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24</cp:revision>
  <dcterms:created xsi:type="dcterms:W3CDTF">2019-07-25T07:30:00Z</dcterms:created>
  <dcterms:modified xsi:type="dcterms:W3CDTF">2019-07-30T07:15:00Z</dcterms:modified>
</cp:coreProperties>
</file>