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F5F" w:rsidRDefault="00E56F5F" w:rsidP="00E56F5F">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w:t>
      </w:r>
      <w:r w:rsidRPr="004932A6">
        <w:rPr>
          <w:rFonts w:ascii="宋体" w:hAnsi="宋体" w:cs="宋体" w:hint="eastAsia"/>
          <w:color w:val="000000"/>
          <w:kern w:val="0"/>
          <w:sz w:val="24"/>
        </w:rPr>
        <w:t>019-0</w:t>
      </w:r>
      <w:r w:rsidR="00010EAD">
        <w:rPr>
          <w:rFonts w:ascii="宋体" w:hAnsi="宋体" w:cs="宋体" w:hint="eastAsia"/>
          <w:color w:val="000000"/>
          <w:kern w:val="0"/>
          <w:sz w:val="24"/>
        </w:rPr>
        <w:t>41</w:t>
      </w:r>
    </w:p>
    <w:p w:rsidR="00E56F5F" w:rsidRDefault="00E56F5F" w:rsidP="00E56F5F">
      <w:pPr>
        <w:spacing w:line="360" w:lineRule="auto"/>
        <w:ind w:rightChars="-73" w:right="-153"/>
        <w:jc w:val="center"/>
        <w:rPr>
          <w:rFonts w:ascii="黑体" w:eastAsia="黑体" w:hAnsi="宋体"/>
          <w:b/>
          <w:bCs/>
          <w:color w:val="FF0000"/>
          <w:sz w:val="32"/>
        </w:rPr>
      </w:pPr>
    </w:p>
    <w:p w:rsidR="00010EAD" w:rsidRDefault="00010EAD" w:rsidP="00010EAD">
      <w:pPr>
        <w:spacing w:line="360" w:lineRule="auto"/>
        <w:ind w:rightChars="-73" w:right="-153"/>
        <w:jc w:val="center"/>
        <w:rPr>
          <w:rFonts w:ascii="黑体" w:eastAsia="黑体" w:hAnsi="宋体"/>
          <w:b/>
          <w:bCs/>
          <w:color w:val="FF0000"/>
          <w:sz w:val="32"/>
        </w:rPr>
      </w:pPr>
      <w:r w:rsidRPr="00010EAD">
        <w:rPr>
          <w:rFonts w:ascii="黑体" w:eastAsia="黑体" w:hAnsi="宋体" w:hint="eastAsia"/>
          <w:b/>
          <w:bCs/>
          <w:color w:val="FF0000"/>
          <w:sz w:val="32"/>
        </w:rPr>
        <w:t>江苏吴中实业股份有限公司</w:t>
      </w:r>
    </w:p>
    <w:p w:rsidR="00010EAD" w:rsidRDefault="00010EAD" w:rsidP="00010EAD">
      <w:pPr>
        <w:spacing w:line="360" w:lineRule="auto"/>
        <w:ind w:rightChars="-73" w:right="-153"/>
        <w:jc w:val="center"/>
        <w:rPr>
          <w:rFonts w:ascii="黑体" w:eastAsia="黑体" w:hAnsi="宋体"/>
          <w:b/>
          <w:bCs/>
          <w:color w:val="FF0000"/>
          <w:sz w:val="32"/>
        </w:rPr>
      </w:pPr>
      <w:r w:rsidRPr="00010EAD">
        <w:rPr>
          <w:rFonts w:ascii="黑体" w:eastAsia="黑体" w:hAnsi="宋体" w:hint="eastAsia"/>
          <w:b/>
          <w:bCs/>
          <w:color w:val="FF0000"/>
          <w:sz w:val="32"/>
        </w:rPr>
        <w:t>关于上海证券交易所对公司2018年年度报告</w:t>
      </w:r>
    </w:p>
    <w:p w:rsidR="00E56F5F" w:rsidRPr="00A527F1" w:rsidRDefault="00010EAD" w:rsidP="00010EAD">
      <w:pPr>
        <w:spacing w:line="360" w:lineRule="auto"/>
        <w:ind w:rightChars="-73" w:right="-153"/>
        <w:jc w:val="center"/>
        <w:rPr>
          <w:rFonts w:ascii="黑体" w:eastAsia="黑体" w:hAnsi="宋体"/>
          <w:b/>
          <w:bCs/>
          <w:color w:val="FF0000"/>
          <w:sz w:val="32"/>
        </w:rPr>
      </w:pPr>
      <w:r w:rsidRPr="00010EAD">
        <w:rPr>
          <w:rFonts w:ascii="黑体" w:eastAsia="黑体" w:hAnsi="宋体" w:hint="eastAsia"/>
          <w:b/>
          <w:bCs/>
          <w:color w:val="FF0000"/>
          <w:sz w:val="32"/>
        </w:rPr>
        <w:t>的事后审核问询函回复的公告</w:t>
      </w:r>
    </w:p>
    <w:p w:rsidR="00E56F5F" w:rsidRDefault="00E56F5F" w:rsidP="00E56F5F">
      <w:pPr>
        <w:autoSpaceDE w:val="0"/>
        <w:autoSpaceDN w:val="0"/>
        <w:adjustRightInd w:val="0"/>
        <w:spacing w:line="360" w:lineRule="auto"/>
        <w:ind w:firstLineChars="200" w:firstLine="482"/>
        <w:rPr>
          <w:rFonts w:ascii="ˎ̥" w:hAnsi="ˎ̥" w:hint="eastAsia"/>
          <w:b/>
          <w:sz w:val="24"/>
        </w:rPr>
      </w:pPr>
    </w:p>
    <w:p w:rsidR="00E56F5F" w:rsidRDefault="00E56F5F" w:rsidP="00E56F5F">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E56F5F" w:rsidRPr="005F5BA1" w:rsidRDefault="00E56F5F" w:rsidP="00A52BF6">
      <w:pPr>
        <w:pStyle w:val="Default"/>
        <w:spacing w:line="360" w:lineRule="auto"/>
      </w:pPr>
    </w:p>
    <w:p w:rsidR="00010EAD" w:rsidRDefault="00E56F5F" w:rsidP="00010EAD">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w:t>
      </w:r>
      <w:r w:rsidR="00010EAD">
        <w:rPr>
          <w:rFonts w:asciiTheme="minorEastAsia" w:eastAsiaTheme="minorEastAsia" w:hAnsiTheme="minorEastAsia" w:hint="eastAsia"/>
          <w:sz w:val="24"/>
        </w:rPr>
        <w:t>或“江苏吴中”</w:t>
      </w:r>
      <w:r w:rsidRPr="00930FFC">
        <w:rPr>
          <w:rFonts w:asciiTheme="minorEastAsia" w:eastAsiaTheme="minorEastAsia" w:hAnsiTheme="minorEastAsia" w:hint="eastAsia"/>
          <w:sz w:val="24"/>
        </w:rPr>
        <w:t>）</w:t>
      </w:r>
      <w:r w:rsidR="00A52BF6" w:rsidRPr="00930FFC">
        <w:rPr>
          <w:rFonts w:asciiTheme="minorEastAsia" w:eastAsiaTheme="minorEastAsia" w:hAnsiTheme="minorEastAsia" w:hint="eastAsia"/>
          <w:sz w:val="24"/>
        </w:rPr>
        <w:t>于2019年5月</w:t>
      </w:r>
      <w:r w:rsidR="00930FFC" w:rsidRPr="00930FFC">
        <w:rPr>
          <w:rFonts w:asciiTheme="minorEastAsia" w:eastAsiaTheme="minorEastAsia" w:hAnsiTheme="minorEastAsia" w:hint="eastAsia"/>
          <w:sz w:val="24"/>
        </w:rPr>
        <w:t>10</w:t>
      </w:r>
      <w:r w:rsidR="00A52BF6" w:rsidRPr="00930FFC">
        <w:rPr>
          <w:rFonts w:asciiTheme="minorEastAsia" w:eastAsiaTheme="minorEastAsia" w:hAnsiTheme="minorEastAsia" w:hint="eastAsia"/>
          <w:sz w:val="24"/>
        </w:rPr>
        <w:t>日收到上海证券交易所《关于对江苏吴中实业股份有限公司2018年年度报告的事后审核问询函》（上证公函[2019]</w:t>
      </w:r>
      <w:r w:rsidR="00930FFC" w:rsidRPr="00930FFC">
        <w:rPr>
          <w:rFonts w:asciiTheme="minorEastAsia" w:eastAsiaTheme="minorEastAsia" w:hAnsiTheme="minorEastAsia" w:hint="eastAsia"/>
          <w:sz w:val="24"/>
        </w:rPr>
        <w:t>0605</w:t>
      </w:r>
      <w:r w:rsidR="00A52BF6" w:rsidRPr="00930FFC">
        <w:rPr>
          <w:rFonts w:asciiTheme="minorEastAsia" w:eastAsiaTheme="minorEastAsia" w:hAnsiTheme="minorEastAsia" w:hint="eastAsia"/>
          <w:sz w:val="24"/>
        </w:rPr>
        <w:t>号）（</w:t>
      </w:r>
      <w:r w:rsidR="00A52BF6" w:rsidRPr="00A52BF6">
        <w:rPr>
          <w:rFonts w:asciiTheme="minorEastAsia" w:eastAsiaTheme="minorEastAsia" w:hAnsiTheme="minorEastAsia" w:hint="eastAsia"/>
          <w:sz w:val="24"/>
        </w:rPr>
        <w:t>以下简称“《问询函》”）</w:t>
      </w:r>
      <w:r w:rsidR="00010EAD">
        <w:rPr>
          <w:rFonts w:asciiTheme="minorEastAsia" w:eastAsiaTheme="minorEastAsia" w:hAnsiTheme="minorEastAsia" w:hint="eastAsia"/>
          <w:sz w:val="24"/>
        </w:rPr>
        <w:t>。</w:t>
      </w:r>
      <w:r w:rsidR="00010EAD" w:rsidRPr="00010EAD">
        <w:rPr>
          <w:rFonts w:asciiTheme="minorEastAsia" w:eastAsiaTheme="minorEastAsia" w:hAnsiTheme="minorEastAsia" w:hint="eastAsia"/>
          <w:sz w:val="24"/>
        </w:rPr>
        <w:t>公司收到《问询函》后，积极组织相关人员对《问询函》涉及的相关问题进行逐项落实和回复，现将回复的具体内容公告如下：</w:t>
      </w:r>
    </w:p>
    <w:p w:rsidR="00542B54" w:rsidRDefault="00542B54" w:rsidP="00010EAD">
      <w:pPr>
        <w:spacing w:line="360" w:lineRule="auto"/>
        <w:ind w:firstLine="480"/>
        <w:rPr>
          <w:rFonts w:asciiTheme="minorEastAsia" w:eastAsiaTheme="minorEastAsia" w:hAnsiTheme="minorEastAsia"/>
          <w:sz w:val="24"/>
        </w:rPr>
      </w:pPr>
    </w:p>
    <w:p w:rsidR="00010EAD" w:rsidRDefault="00010EAD" w:rsidP="00010EAD">
      <w:pPr>
        <w:spacing w:line="360" w:lineRule="auto"/>
        <w:ind w:firstLine="480"/>
        <w:rPr>
          <w:rFonts w:asciiTheme="minorEastAsia" w:eastAsiaTheme="minorEastAsia" w:hAnsiTheme="minorEastAsia"/>
          <w:sz w:val="24"/>
        </w:rPr>
      </w:pPr>
      <w:r w:rsidRPr="00010EAD">
        <w:rPr>
          <w:rFonts w:asciiTheme="minorEastAsia" w:eastAsiaTheme="minorEastAsia" w:hAnsiTheme="minorEastAsia" w:hint="eastAsia"/>
          <w:sz w:val="24"/>
        </w:rPr>
        <w:t>公司2018年年度报告“第一节释义”中涉及的词语释义适用于本公告中的相关词语。</w:t>
      </w:r>
    </w:p>
    <w:p w:rsidR="0052077F" w:rsidRPr="00010EAD" w:rsidRDefault="00BC3268" w:rsidP="00010EAD">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一、</w:t>
      </w:r>
      <w:r w:rsidR="0052077F" w:rsidRPr="00010EAD">
        <w:rPr>
          <w:rFonts w:asciiTheme="minorEastAsia" w:eastAsiaTheme="minorEastAsia" w:hAnsiTheme="minorEastAsia" w:hint="eastAsia"/>
          <w:b/>
          <w:sz w:val="24"/>
        </w:rPr>
        <w:t>根据公司于2019年1月31日发布的2018年年度</w:t>
      </w:r>
      <w:proofErr w:type="gramStart"/>
      <w:r w:rsidR="0052077F" w:rsidRPr="00010EAD">
        <w:rPr>
          <w:rFonts w:asciiTheme="minorEastAsia" w:eastAsiaTheme="minorEastAsia" w:hAnsiTheme="minorEastAsia" w:hint="eastAsia"/>
          <w:b/>
          <w:sz w:val="24"/>
        </w:rPr>
        <w:t>业绩预减公告</w:t>
      </w:r>
      <w:proofErr w:type="gramEnd"/>
      <w:r w:rsidR="0052077F" w:rsidRPr="00010EAD">
        <w:rPr>
          <w:rFonts w:asciiTheme="minorEastAsia" w:eastAsiaTheme="minorEastAsia" w:hAnsiTheme="minorEastAsia" w:hint="eastAsia"/>
          <w:b/>
          <w:sz w:val="24"/>
        </w:rPr>
        <w:t>，公司预计2018年年度实现归属于上市公司股东的净利润为4,200万元至7,200万元，业绩下降的重要原因是公司</w:t>
      </w:r>
      <w:proofErr w:type="gramStart"/>
      <w:r w:rsidR="0052077F" w:rsidRPr="00010EAD">
        <w:rPr>
          <w:rFonts w:asciiTheme="minorEastAsia" w:eastAsiaTheme="minorEastAsia" w:hAnsiTheme="minorEastAsia" w:hint="eastAsia"/>
          <w:b/>
          <w:sz w:val="24"/>
        </w:rPr>
        <w:t>报告期拟对</w:t>
      </w:r>
      <w:proofErr w:type="gramEnd"/>
      <w:r w:rsidR="0052077F" w:rsidRPr="00010EAD">
        <w:rPr>
          <w:rFonts w:asciiTheme="minorEastAsia" w:eastAsiaTheme="minorEastAsia" w:hAnsiTheme="minorEastAsia" w:hint="eastAsia"/>
          <w:b/>
          <w:sz w:val="24"/>
        </w:rPr>
        <w:t>收购响水</w:t>
      </w:r>
      <w:proofErr w:type="gramStart"/>
      <w:r w:rsidR="0052077F" w:rsidRPr="00010EAD">
        <w:rPr>
          <w:rFonts w:asciiTheme="minorEastAsia" w:eastAsiaTheme="minorEastAsia" w:hAnsiTheme="minorEastAsia" w:hint="eastAsia"/>
          <w:b/>
          <w:sz w:val="24"/>
        </w:rPr>
        <w:t>恒</w:t>
      </w:r>
      <w:proofErr w:type="gramEnd"/>
      <w:r w:rsidR="0052077F" w:rsidRPr="00010EAD">
        <w:rPr>
          <w:rFonts w:asciiTheme="minorEastAsia" w:eastAsiaTheme="minorEastAsia" w:hAnsiTheme="minorEastAsia" w:hint="eastAsia"/>
          <w:b/>
          <w:sz w:val="24"/>
        </w:rPr>
        <w:t>利达科技化工有限公司股权（以下简称响水</w:t>
      </w:r>
      <w:proofErr w:type="gramStart"/>
      <w:r w:rsidR="0052077F" w:rsidRPr="00010EAD">
        <w:rPr>
          <w:rFonts w:asciiTheme="minorEastAsia" w:eastAsiaTheme="minorEastAsia" w:hAnsiTheme="minorEastAsia" w:hint="eastAsia"/>
          <w:b/>
          <w:sz w:val="24"/>
        </w:rPr>
        <w:t>恒</w:t>
      </w:r>
      <w:proofErr w:type="gramEnd"/>
      <w:r w:rsidR="0052077F" w:rsidRPr="00010EAD">
        <w:rPr>
          <w:rFonts w:asciiTheme="minorEastAsia" w:eastAsiaTheme="minorEastAsia" w:hAnsiTheme="minorEastAsia" w:hint="eastAsia"/>
          <w:b/>
          <w:sz w:val="24"/>
        </w:rPr>
        <w:t>利达）形成的商誉计提商誉减值准备，计提金额约7,500万元至10,500万元。2019年4月12日，公司发布2018年年度业绩预告更正公告称，由于响水</w:t>
      </w:r>
      <w:proofErr w:type="gramStart"/>
      <w:r w:rsidR="0052077F" w:rsidRPr="00010EAD">
        <w:rPr>
          <w:rFonts w:asciiTheme="minorEastAsia" w:eastAsiaTheme="minorEastAsia" w:hAnsiTheme="minorEastAsia" w:hint="eastAsia"/>
          <w:b/>
          <w:sz w:val="24"/>
        </w:rPr>
        <w:t>恒</w:t>
      </w:r>
      <w:proofErr w:type="gramEnd"/>
      <w:r w:rsidR="0052077F" w:rsidRPr="00010EAD">
        <w:rPr>
          <w:rFonts w:asciiTheme="minorEastAsia" w:eastAsiaTheme="minorEastAsia" w:hAnsiTheme="minorEastAsia" w:hint="eastAsia"/>
          <w:b/>
          <w:sz w:val="24"/>
        </w:rPr>
        <w:t>利达受所在化工园区企业爆炸事故的影响，目前处于停产状态，后续处理存在不确定性，公司</w:t>
      </w:r>
      <w:proofErr w:type="gramStart"/>
      <w:r w:rsidR="0052077F" w:rsidRPr="00010EAD">
        <w:rPr>
          <w:rFonts w:asciiTheme="minorEastAsia" w:eastAsiaTheme="minorEastAsia" w:hAnsiTheme="minorEastAsia" w:hint="eastAsia"/>
          <w:b/>
          <w:sz w:val="24"/>
        </w:rPr>
        <w:t>报告期拟对</w:t>
      </w:r>
      <w:proofErr w:type="gramEnd"/>
      <w:r w:rsidR="0052077F" w:rsidRPr="00010EAD">
        <w:rPr>
          <w:rFonts w:asciiTheme="minorEastAsia" w:eastAsiaTheme="minorEastAsia" w:hAnsiTheme="minorEastAsia" w:hint="eastAsia"/>
          <w:b/>
          <w:sz w:val="24"/>
        </w:rPr>
        <w:t>收购响水</w:t>
      </w:r>
      <w:proofErr w:type="gramStart"/>
      <w:r w:rsidR="0052077F" w:rsidRPr="00010EAD">
        <w:rPr>
          <w:rFonts w:asciiTheme="minorEastAsia" w:eastAsiaTheme="minorEastAsia" w:hAnsiTheme="minorEastAsia" w:hint="eastAsia"/>
          <w:b/>
          <w:sz w:val="24"/>
        </w:rPr>
        <w:t>恒</w:t>
      </w:r>
      <w:proofErr w:type="gramEnd"/>
      <w:r w:rsidR="0052077F" w:rsidRPr="00010EAD">
        <w:rPr>
          <w:rFonts w:asciiTheme="minorEastAsia" w:eastAsiaTheme="minorEastAsia" w:hAnsiTheme="minorEastAsia" w:hint="eastAsia"/>
          <w:b/>
          <w:sz w:val="24"/>
        </w:rPr>
        <w:t>利达所形成的商誉计提大额减值准备，将导致公司业绩较</w:t>
      </w:r>
      <w:proofErr w:type="gramStart"/>
      <w:r w:rsidR="0052077F" w:rsidRPr="00010EAD">
        <w:rPr>
          <w:rFonts w:asciiTheme="minorEastAsia" w:eastAsiaTheme="minorEastAsia" w:hAnsiTheme="minorEastAsia" w:hint="eastAsia"/>
          <w:b/>
          <w:sz w:val="24"/>
        </w:rPr>
        <w:t>前次业绩</w:t>
      </w:r>
      <w:proofErr w:type="gramEnd"/>
      <w:r w:rsidR="0052077F" w:rsidRPr="00010EAD">
        <w:rPr>
          <w:rFonts w:asciiTheme="minorEastAsia" w:eastAsiaTheme="minorEastAsia" w:hAnsiTheme="minorEastAsia" w:hint="eastAsia"/>
          <w:b/>
          <w:sz w:val="24"/>
        </w:rPr>
        <w:t>预告大幅减少。根据2018年年报，公司2018年年度实现归属于上市公司股东的净利润为-2.86亿元，与公司首次业绩预告的差异区间为3.3亿元至3.6亿元；公司报告期对收购响水</w:t>
      </w:r>
      <w:proofErr w:type="gramStart"/>
      <w:r w:rsidR="0052077F" w:rsidRPr="00010EAD">
        <w:rPr>
          <w:rFonts w:asciiTheme="minorEastAsia" w:eastAsiaTheme="minorEastAsia" w:hAnsiTheme="minorEastAsia" w:hint="eastAsia"/>
          <w:b/>
          <w:sz w:val="24"/>
        </w:rPr>
        <w:t>恒</w:t>
      </w:r>
      <w:proofErr w:type="gramEnd"/>
      <w:r w:rsidR="0052077F" w:rsidRPr="00010EAD">
        <w:rPr>
          <w:rFonts w:asciiTheme="minorEastAsia" w:eastAsiaTheme="minorEastAsia" w:hAnsiTheme="minorEastAsia" w:hint="eastAsia"/>
          <w:b/>
          <w:sz w:val="24"/>
        </w:rPr>
        <w:t>利达所形成的商誉计提商誉减值准备3.67亿元，与公司首次业绩预告的差异区间为2.6</w:t>
      </w:r>
      <w:r w:rsidR="0052077F" w:rsidRPr="00010EAD">
        <w:rPr>
          <w:rFonts w:asciiTheme="minorEastAsia" w:eastAsiaTheme="minorEastAsia" w:hAnsiTheme="minorEastAsia" w:hint="eastAsia"/>
          <w:b/>
          <w:sz w:val="24"/>
        </w:rPr>
        <w:lastRenderedPageBreak/>
        <w:t>亿元至2.9亿元，远小于前述净利润的差异区间，且两者之差约7000万元，超过公司2017年年度净利润1.3亿元的50%。请公司补充披露：（1）除增加报告期对相关商誉计提商誉减值准备之外，导致公司净利润较首次业绩预告大幅调整的其他原因，及其对报告期财务数据指标的具体影响；（2）列示由于上述原因产生调整的会计科目及具体金额；（3）说明公司是否存在已确定报告期大幅亏损的情况下，有意进行“业绩洗澡”的情况。</w:t>
      </w:r>
    </w:p>
    <w:p w:rsidR="00D0185C" w:rsidRDefault="005824D9" w:rsidP="00010EAD">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公司</w:t>
      </w:r>
      <w:r w:rsidR="00D0185C">
        <w:rPr>
          <w:rFonts w:asciiTheme="minorEastAsia" w:eastAsiaTheme="minorEastAsia" w:hAnsiTheme="minorEastAsia" w:hint="eastAsia"/>
          <w:b/>
          <w:sz w:val="24"/>
        </w:rPr>
        <w:t>回复：</w:t>
      </w:r>
    </w:p>
    <w:p w:rsidR="00F00C10" w:rsidRDefault="00F00C10" w:rsidP="00F00C10">
      <w:pPr>
        <w:spacing w:line="360" w:lineRule="auto"/>
        <w:ind w:firstLineChars="200" w:firstLine="480"/>
        <w:rPr>
          <w:rFonts w:ascii="宋体" w:hAnsi="宋体"/>
          <w:sz w:val="24"/>
        </w:rPr>
      </w:pPr>
      <w:r w:rsidRPr="00493E2C">
        <w:rPr>
          <w:rFonts w:ascii="宋体" w:hAnsi="宋体" w:hint="eastAsia"/>
          <w:sz w:val="24"/>
        </w:rPr>
        <w:t>1、除增加报告期对相关商誉计提商誉减值准备之外，导致公司净利润较首次业绩预告大幅调整的其他原因</w:t>
      </w:r>
      <w:r>
        <w:rPr>
          <w:rFonts w:ascii="宋体" w:hAnsi="宋体" w:hint="eastAsia"/>
          <w:sz w:val="24"/>
        </w:rPr>
        <w:t>？</w:t>
      </w:r>
    </w:p>
    <w:p w:rsidR="00F00C10" w:rsidRPr="00433C93" w:rsidRDefault="00F00C10" w:rsidP="00F00C10">
      <w:pPr>
        <w:spacing w:line="360" w:lineRule="auto"/>
        <w:ind w:firstLineChars="200" w:firstLine="480"/>
        <w:rPr>
          <w:rFonts w:ascii="宋体" w:hAnsi="宋体"/>
          <w:sz w:val="24"/>
        </w:rPr>
      </w:pPr>
      <w:r w:rsidRPr="00493E2C">
        <w:rPr>
          <w:rFonts w:ascii="宋体" w:hAnsi="宋体" w:hint="eastAsia"/>
          <w:sz w:val="24"/>
        </w:rPr>
        <w:t>（1）原已预计可以确认进入当期损益的业绩补偿因实际情况发生变化而未满足确认条件（</w:t>
      </w:r>
      <w:r w:rsidRPr="0038212C">
        <w:rPr>
          <w:rFonts w:ascii="宋体" w:hAnsi="宋体" w:hint="eastAsia"/>
          <w:sz w:val="24"/>
        </w:rPr>
        <w:t>2018年</w:t>
      </w:r>
      <w:r>
        <w:rPr>
          <w:rFonts w:ascii="宋体" w:hAnsi="宋体" w:hint="eastAsia"/>
          <w:sz w:val="24"/>
        </w:rPr>
        <w:t>度</w:t>
      </w:r>
      <w:r w:rsidRPr="0038212C">
        <w:rPr>
          <w:rFonts w:ascii="宋体" w:hAnsi="宋体" w:hint="eastAsia"/>
          <w:sz w:val="24"/>
        </w:rPr>
        <w:t>因化工园区停产整顿，恒利达原股东未能完成上市公司收购时所做业绩承诺，进而涉及原股东</w:t>
      </w:r>
      <w:r>
        <w:rPr>
          <w:rFonts w:ascii="宋体" w:hAnsi="宋体" w:hint="eastAsia"/>
          <w:sz w:val="24"/>
        </w:rPr>
        <w:t>对上市公司进行</w:t>
      </w:r>
      <w:r w:rsidRPr="0038212C">
        <w:rPr>
          <w:rFonts w:ascii="宋体" w:hAnsi="宋体" w:hint="eastAsia"/>
          <w:sz w:val="24"/>
        </w:rPr>
        <w:t>业绩补偿。</w:t>
      </w:r>
      <w:r w:rsidRPr="00493E2C">
        <w:rPr>
          <w:rFonts w:ascii="宋体" w:hAnsi="宋体" w:hint="eastAsia"/>
          <w:sz w:val="24"/>
        </w:rPr>
        <w:t>因</w:t>
      </w:r>
      <w:r>
        <w:rPr>
          <w:rFonts w:ascii="宋体" w:hAnsi="宋体" w:hint="eastAsia"/>
          <w:sz w:val="24"/>
        </w:rPr>
        <w:t>2019年3月</w:t>
      </w:r>
      <w:proofErr w:type="gramStart"/>
      <w:r>
        <w:rPr>
          <w:rFonts w:ascii="宋体" w:hAnsi="宋体" w:hint="eastAsia"/>
          <w:sz w:val="24"/>
        </w:rPr>
        <w:t>恒</w:t>
      </w:r>
      <w:proofErr w:type="gramEnd"/>
      <w:r>
        <w:rPr>
          <w:rFonts w:ascii="宋体" w:hAnsi="宋体" w:hint="eastAsia"/>
          <w:sz w:val="24"/>
        </w:rPr>
        <w:t>利达所在</w:t>
      </w:r>
      <w:r w:rsidRPr="00493E2C">
        <w:rPr>
          <w:rFonts w:ascii="宋体" w:hAnsi="宋体" w:hint="eastAsia"/>
          <w:sz w:val="24"/>
        </w:rPr>
        <w:t>化工园区</w:t>
      </w:r>
      <w:r>
        <w:rPr>
          <w:rFonts w:ascii="宋体" w:hAnsi="宋体" w:hint="eastAsia"/>
          <w:sz w:val="24"/>
        </w:rPr>
        <w:t>发生</w:t>
      </w:r>
      <w:r w:rsidRPr="00493E2C">
        <w:rPr>
          <w:rFonts w:ascii="宋体" w:hAnsi="宋体" w:hint="eastAsia"/>
          <w:sz w:val="24"/>
        </w:rPr>
        <w:t>爆炸事故及</w:t>
      </w:r>
      <w:r>
        <w:rPr>
          <w:rFonts w:ascii="宋体" w:hAnsi="宋体" w:hint="eastAsia"/>
          <w:sz w:val="24"/>
        </w:rPr>
        <w:t>2019年4月初</w:t>
      </w:r>
      <w:r w:rsidRPr="00493E2C">
        <w:rPr>
          <w:rFonts w:ascii="宋体" w:hAnsi="宋体" w:hint="eastAsia"/>
          <w:sz w:val="24"/>
        </w:rPr>
        <w:t>政府关停园区的决定，2018年年度报告出具时，</w:t>
      </w:r>
      <w:r w:rsidRPr="004D5CD1">
        <w:rPr>
          <w:rFonts w:ascii="宋体" w:hAnsi="宋体" w:hint="eastAsia"/>
          <w:sz w:val="24"/>
        </w:rPr>
        <w:t>公司尚未就上述业绩补偿事宜与原股东达成一致意见并签署补偿协议，业绩补偿存在一定不确定性），影响净利润金额</w:t>
      </w:r>
      <w:r w:rsidRPr="005F4824">
        <w:rPr>
          <w:rFonts w:ascii="宋体" w:hAnsi="宋体" w:hint="eastAsia"/>
          <w:sz w:val="24"/>
        </w:rPr>
        <w:t>4</w:t>
      </w:r>
      <w:r w:rsidR="001F5963">
        <w:rPr>
          <w:rFonts w:ascii="宋体" w:hAnsi="宋体" w:hint="eastAsia"/>
          <w:sz w:val="24"/>
        </w:rPr>
        <w:t>,</w:t>
      </w:r>
      <w:r w:rsidRPr="005F4824">
        <w:rPr>
          <w:rFonts w:ascii="宋体" w:hAnsi="宋体" w:hint="eastAsia"/>
          <w:sz w:val="24"/>
        </w:rPr>
        <w:t>232</w:t>
      </w:r>
      <w:r w:rsidRPr="00BF4B3A">
        <w:rPr>
          <w:rFonts w:ascii="宋体" w:hAnsi="宋体" w:hint="eastAsia"/>
          <w:sz w:val="24"/>
        </w:rPr>
        <w:t>万元</w:t>
      </w:r>
      <w:r>
        <w:rPr>
          <w:rFonts w:ascii="宋体" w:hAnsi="宋体" w:hint="eastAsia"/>
          <w:sz w:val="24"/>
        </w:rPr>
        <w:t>。</w:t>
      </w:r>
      <w:r w:rsidRPr="00BF4B3A" w:rsidDel="0065070E">
        <w:rPr>
          <w:rFonts w:ascii="宋体" w:hAnsi="宋体" w:hint="eastAsia"/>
          <w:sz w:val="24"/>
        </w:rPr>
        <w:t xml:space="preserve"> </w:t>
      </w:r>
    </w:p>
    <w:p w:rsidR="00F00C10" w:rsidRPr="004D5CD1" w:rsidRDefault="00F00C10" w:rsidP="00F00C10">
      <w:pPr>
        <w:spacing w:line="360" w:lineRule="auto"/>
        <w:ind w:firstLineChars="200" w:firstLine="480"/>
        <w:rPr>
          <w:rFonts w:ascii="宋体" w:hAnsi="宋体"/>
          <w:sz w:val="24"/>
        </w:rPr>
      </w:pPr>
      <w:r w:rsidRPr="00E25603">
        <w:rPr>
          <w:rFonts w:ascii="宋体" w:hAnsi="宋体" w:hint="eastAsia"/>
          <w:sz w:val="24"/>
        </w:rPr>
        <w:t>（</w:t>
      </w:r>
      <w:r w:rsidRPr="00134A43">
        <w:rPr>
          <w:rFonts w:ascii="宋体" w:hAnsi="宋体" w:hint="eastAsia"/>
          <w:sz w:val="24"/>
        </w:rPr>
        <w:t>2</w:t>
      </w:r>
      <w:r w:rsidRPr="009351F3">
        <w:rPr>
          <w:rFonts w:ascii="宋体" w:hAnsi="宋体" w:hint="eastAsia"/>
          <w:sz w:val="24"/>
        </w:rPr>
        <w:t>）</w:t>
      </w:r>
      <w:r w:rsidRPr="00493E2C">
        <w:rPr>
          <w:rFonts w:ascii="宋体" w:hAnsi="宋体" w:hint="eastAsia"/>
          <w:sz w:val="24"/>
        </w:rPr>
        <w:t>由于全资子公司江苏吴中医药集团有限公司</w:t>
      </w:r>
      <w:r>
        <w:rPr>
          <w:rFonts w:ascii="宋体" w:hAnsi="宋体" w:hint="eastAsia"/>
          <w:sz w:val="24"/>
        </w:rPr>
        <w:t>2019年3月</w:t>
      </w:r>
      <w:r w:rsidRPr="00493E2C">
        <w:rPr>
          <w:rFonts w:ascii="宋体" w:hAnsi="宋体" w:hint="eastAsia"/>
          <w:sz w:val="24"/>
        </w:rPr>
        <w:t>接到了国家药监局药品审评中心的技术审评部门发出的重组</w:t>
      </w:r>
      <w:r w:rsidRPr="00493E2C">
        <w:rPr>
          <w:rFonts w:ascii="宋体" w:hAnsi="宋体"/>
          <w:sz w:val="24"/>
        </w:rPr>
        <w:t>人</w:t>
      </w:r>
      <w:r w:rsidRPr="00493E2C">
        <w:rPr>
          <w:rFonts w:ascii="宋体" w:hAnsi="宋体" w:hint="eastAsia"/>
          <w:sz w:val="24"/>
        </w:rPr>
        <w:t>血管内皮抑素注射液（CXSS1800005-</w:t>
      </w:r>
      <w:r w:rsidRPr="00493E2C">
        <w:rPr>
          <w:rFonts w:ascii="宋体" w:hAnsi="宋体"/>
          <w:sz w:val="24"/>
        </w:rPr>
        <w:t>1</w:t>
      </w:r>
      <w:r w:rsidRPr="00493E2C">
        <w:rPr>
          <w:rFonts w:ascii="宋体" w:hAnsi="宋体" w:hint="eastAsia"/>
          <w:sz w:val="24"/>
        </w:rPr>
        <w:t>）</w:t>
      </w:r>
      <w:r>
        <w:rPr>
          <w:rFonts w:ascii="宋体" w:hAnsi="宋体" w:hint="eastAsia"/>
          <w:sz w:val="24"/>
        </w:rPr>
        <w:t>（以下简称“内皮项目”）</w:t>
      </w:r>
      <w:r w:rsidRPr="00493E2C">
        <w:rPr>
          <w:rFonts w:ascii="宋体" w:hAnsi="宋体" w:hint="eastAsia"/>
          <w:sz w:val="24"/>
        </w:rPr>
        <w:t>依据现有数据技术审评不予</w:t>
      </w:r>
      <w:r w:rsidRPr="00493E2C">
        <w:rPr>
          <w:rFonts w:ascii="宋体" w:hAnsi="宋体"/>
          <w:sz w:val="24"/>
        </w:rPr>
        <w:t>通过与申请人沟通交流报告</w:t>
      </w:r>
      <w:r w:rsidRPr="00493E2C">
        <w:rPr>
          <w:rFonts w:ascii="宋体" w:hAnsi="宋体" w:hint="eastAsia"/>
          <w:sz w:val="24"/>
        </w:rPr>
        <w:t>，公司对内皮项目研发支出资本化中判断不再符合资本化条件的支出予以费用化处理</w:t>
      </w:r>
      <w:r w:rsidRPr="004D5CD1">
        <w:rPr>
          <w:rFonts w:ascii="宋体" w:hAnsi="宋体" w:hint="eastAsia"/>
          <w:sz w:val="24"/>
        </w:rPr>
        <w:t>，涉及金额2</w:t>
      </w:r>
      <w:r w:rsidRPr="005F4824">
        <w:rPr>
          <w:rFonts w:ascii="宋体" w:hAnsi="宋体" w:hint="eastAsia"/>
          <w:sz w:val="24"/>
        </w:rPr>
        <w:t>,</w:t>
      </w:r>
      <w:r w:rsidRPr="00BF4B3A">
        <w:rPr>
          <w:rFonts w:ascii="宋体" w:hAnsi="宋体" w:hint="eastAsia"/>
          <w:sz w:val="24"/>
        </w:rPr>
        <w:t>732</w:t>
      </w:r>
      <w:r w:rsidRPr="00597961">
        <w:rPr>
          <w:rFonts w:ascii="宋体" w:hAnsi="宋体" w:hint="eastAsia"/>
          <w:sz w:val="24"/>
        </w:rPr>
        <w:t>万元，同时对与内皮项目相关的递延收益转入当期损益，涉及金额</w:t>
      </w:r>
      <w:r w:rsidRPr="00493E2C">
        <w:rPr>
          <w:rFonts w:ascii="宋体" w:hAnsi="宋体" w:hint="eastAsia"/>
          <w:sz w:val="24"/>
        </w:rPr>
        <w:t>1,43</w:t>
      </w:r>
      <w:r w:rsidRPr="004D5CD1">
        <w:rPr>
          <w:rFonts w:ascii="宋体" w:hAnsi="宋体" w:hint="eastAsia"/>
          <w:sz w:val="24"/>
        </w:rPr>
        <w:t>3万元，影响净利润约</w:t>
      </w:r>
      <w:r w:rsidRPr="00493E2C">
        <w:rPr>
          <w:rFonts w:ascii="宋体" w:hAnsi="宋体" w:hint="eastAsia"/>
          <w:sz w:val="24"/>
        </w:rPr>
        <w:t>1,104万</w:t>
      </w:r>
      <w:r w:rsidRPr="004D5CD1">
        <w:rPr>
          <w:rFonts w:ascii="宋体" w:hAnsi="宋体" w:hint="eastAsia"/>
          <w:sz w:val="24"/>
        </w:rPr>
        <w:t>元。</w:t>
      </w:r>
    </w:p>
    <w:p w:rsidR="00F00C10" w:rsidRDefault="00F00C10" w:rsidP="00F00C10">
      <w:pPr>
        <w:spacing w:line="360" w:lineRule="auto"/>
        <w:ind w:firstLineChars="200" w:firstLine="480"/>
        <w:rPr>
          <w:rFonts w:ascii="宋体" w:hAnsi="宋体"/>
          <w:sz w:val="24"/>
        </w:rPr>
      </w:pPr>
      <w:r w:rsidRPr="005F4824">
        <w:rPr>
          <w:rFonts w:ascii="宋体" w:hAnsi="宋体" w:hint="eastAsia"/>
          <w:sz w:val="24"/>
        </w:rPr>
        <w:t>（</w:t>
      </w:r>
      <w:r w:rsidRPr="00BF4B3A">
        <w:rPr>
          <w:rFonts w:ascii="宋体" w:hAnsi="宋体" w:hint="eastAsia"/>
          <w:sz w:val="24"/>
        </w:rPr>
        <w:t>3</w:t>
      </w:r>
      <w:r w:rsidRPr="00597961">
        <w:rPr>
          <w:rFonts w:ascii="宋体" w:hAnsi="宋体" w:hint="eastAsia"/>
          <w:sz w:val="24"/>
        </w:rPr>
        <w:t>）因响水</w:t>
      </w:r>
      <w:proofErr w:type="gramStart"/>
      <w:r w:rsidRPr="00597961">
        <w:rPr>
          <w:rFonts w:ascii="宋体" w:hAnsi="宋体" w:hint="eastAsia"/>
          <w:sz w:val="24"/>
        </w:rPr>
        <w:t>恒</w:t>
      </w:r>
      <w:proofErr w:type="gramEnd"/>
      <w:r w:rsidRPr="00597961">
        <w:rPr>
          <w:rFonts w:ascii="宋体" w:hAnsi="宋体" w:hint="eastAsia"/>
          <w:sz w:val="24"/>
        </w:rPr>
        <w:t>利达所在化工</w:t>
      </w:r>
      <w:proofErr w:type="gramStart"/>
      <w:r w:rsidRPr="00597961">
        <w:rPr>
          <w:rFonts w:ascii="宋体" w:hAnsi="宋体" w:hint="eastAsia"/>
          <w:sz w:val="24"/>
        </w:rPr>
        <w:t>园区拟被当地</w:t>
      </w:r>
      <w:proofErr w:type="gramEnd"/>
      <w:r w:rsidRPr="00597961">
        <w:rPr>
          <w:rFonts w:ascii="宋体" w:hAnsi="宋体" w:hint="eastAsia"/>
          <w:sz w:val="24"/>
        </w:rPr>
        <w:t>政府关停，未来是否可以获得足够利润弥补亏损具有不确定性，对响水</w:t>
      </w:r>
      <w:proofErr w:type="gramStart"/>
      <w:r w:rsidRPr="00597961">
        <w:rPr>
          <w:rFonts w:ascii="宋体" w:hAnsi="宋体" w:hint="eastAsia"/>
          <w:sz w:val="24"/>
        </w:rPr>
        <w:t>恒</w:t>
      </w:r>
      <w:proofErr w:type="gramEnd"/>
      <w:r w:rsidRPr="00597961">
        <w:rPr>
          <w:rFonts w:ascii="宋体" w:hAnsi="宋体" w:hint="eastAsia"/>
          <w:sz w:val="24"/>
        </w:rPr>
        <w:t>利达原已确认递延</w:t>
      </w:r>
      <w:r>
        <w:rPr>
          <w:rFonts w:ascii="宋体" w:hAnsi="宋体" w:hint="eastAsia"/>
          <w:sz w:val="24"/>
        </w:rPr>
        <w:t>所得税</w:t>
      </w:r>
      <w:r w:rsidRPr="00597961">
        <w:rPr>
          <w:rFonts w:ascii="宋体" w:hAnsi="宋体" w:hint="eastAsia"/>
          <w:sz w:val="24"/>
        </w:rPr>
        <w:t>资产</w:t>
      </w:r>
      <w:r w:rsidRPr="00493E2C">
        <w:rPr>
          <w:rFonts w:ascii="宋体" w:hAnsi="宋体" w:hint="eastAsia"/>
          <w:sz w:val="24"/>
        </w:rPr>
        <w:t>78</w:t>
      </w:r>
      <w:r w:rsidRPr="004D5CD1">
        <w:rPr>
          <w:rFonts w:ascii="宋体" w:hAnsi="宋体" w:hint="eastAsia"/>
          <w:sz w:val="24"/>
        </w:rPr>
        <w:t>1万予以冲销。</w:t>
      </w:r>
    </w:p>
    <w:p w:rsidR="00F00C10" w:rsidRDefault="00F00C10" w:rsidP="00F00C10">
      <w:pPr>
        <w:spacing w:line="360" w:lineRule="auto"/>
        <w:ind w:firstLineChars="200" w:firstLine="480"/>
        <w:rPr>
          <w:rFonts w:ascii="宋体" w:hAnsi="宋体"/>
          <w:sz w:val="24"/>
        </w:rPr>
      </w:pPr>
      <w:r>
        <w:rPr>
          <w:rFonts w:ascii="宋体" w:hAnsi="宋体" w:hint="eastAsia"/>
          <w:sz w:val="24"/>
        </w:rPr>
        <w:t>（4）</w:t>
      </w:r>
      <w:r w:rsidRPr="00BF4B3A">
        <w:rPr>
          <w:rFonts w:ascii="宋体" w:hAnsi="宋体" w:hint="eastAsia"/>
          <w:sz w:val="24"/>
        </w:rPr>
        <w:t>因业绩补偿金额无法确</w:t>
      </w:r>
      <w:r w:rsidRPr="00597961">
        <w:rPr>
          <w:rFonts w:ascii="宋体" w:hAnsi="宋体" w:hint="eastAsia"/>
          <w:sz w:val="24"/>
        </w:rPr>
        <w:t>定，母公司是否可以获得足够利润弥补以前年度亏损具有不确定性，</w:t>
      </w:r>
      <w:proofErr w:type="gramStart"/>
      <w:r w:rsidRPr="00597961">
        <w:rPr>
          <w:rFonts w:ascii="宋体" w:hAnsi="宋体" w:hint="eastAsia"/>
          <w:sz w:val="24"/>
        </w:rPr>
        <w:t>故母公司</w:t>
      </w:r>
      <w:proofErr w:type="gramEnd"/>
      <w:r w:rsidRPr="00597961">
        <w:rPr>
          <w:rFonts w:ascii="宋体" w:hAnsi="宋体" w:hint="eastAsia"/>
          <w:sz w:val="24"/>
        </w:rPr>
        <w:t>已确认递延资产予以冲销，影响净利润金额</w:t>
      </w:r>
      <w:r w:rsidRPr="00E47C0C">
        <w:rPr>
          <w:rFonts w:ascii="宋体" w:hAnsi="宋体" w:hint="eastAsia"/>
          <w:sz w:val="24"/>
        </w:rPr>
        <w:t>751</w:t>
      </w:r>
      <w:r w:rsidRPr="00426630">
        <w:rPr>
          <w:rFonts w:ascii="宋体" w:hAnsi="宋体" w:hint="eastAsia"/>
          <w:sz w:val="24"/>
        </w:rPr>
        <w:t>万元。</w:t>
      </w:r>
    </w:p>
    <w:p w:rsidR="00F00C10" w:rsidRDefault="00F00C10" w:rsidP="00F00C10">
      <w:pPr>
        <w:spacing w:line="360" w:lineRule="auto"/>
        <w:ind w:firstLineChars="200" w:firstLine="480"/>
        <w:rPr>
          <w:rFonts w:ascii="宋体" w:hAnsi="宋体"/>
          <w:sz w:val="24"/>
        </w:rPr>
      </w:pPr>
    </w:p>
    <w:p w:rsidR="00F00C10" w:rsidRDefault="00F00C10" w:rsidP="00F00C10">
      <w:pPr>
        <w:spacing w:line="360" w:lineRule="auto"/>
        <w:ind w:firstLineChars="200" w:firstLine="480"/>
        <w:rPr>
          <w:rFonts w:ascii="宋体" w:hAnsi="宋体"/>
          <w:sz w:val="24"/>
        </w:rPr>
      </w:pPr>
    </w:p>
    <w:p w:rsidR="00F00C10" w:rsidRDefault="00F00C10" w:rsidP="00F00C10">
      <w:pPr>
        <w:spacing w:line="360" w:lineRule="auto"/>
        <w:ind w:firstLineChars="200" w:firstLine="480"/>
        <w:rPr>
          <w:rFonts w:ascii="宋体" w:hAnsi="宋体"/>
          <w:sz w:val="24"/>
        </w:rPr>
      </w:pPr>
      <w:r w:rsidRPr="00BF4B3A">
        <w:rPr>
          <w:rFonts w:ascii="宋体" w:hAnsi="宋体" w:hint="eastAsia"/>
          <w:sz w:val="24"/>
        </w:rPr>
        <w:lastRenderedPageBreak/>
        <w:t>2</w:t>
      </w:r>
      <w:r w:rsidRPr="00597961">
        <w:rPr>
          <w:rFonts w:ascii="宋体" w:hAnsi="宋体" w:hint="eastAsia"/>
          <w:sz w:val="24"/>
        </w:rPr>
        <w:t>、列示由于上述原因产生调整的会计科目及具体金额：</w:t>
      </w:r>
    </w:p>
    <w:p w:rsidR="00F00C10" w:rsidRPr="00426630" w:rsidRDefault="00F00C10" w:rsidP="00F00C10">
      <w:pPr>
        <w:spacing w:line="360" w:lineRule="auto"/>
        <w:ind w:firstLineChars="200" w:firstLine="480"/>
        <w:jc w:val="right"/>
        <w:rPr>
          <w:rFonts w:ascii="Arial" w:hAnsi="Arial" w:cs="Arial"/>
          <w:sz w:val="24"/>
        </w:rPr>
      </w:pPr>
      <w:r w:rsidRPr="00E47C0C">
        <w:rPr>
          <w:rFonts w:ascii="宋体" w:hAnsi="宋体" w:hint="eastAsia"/>
          <w:sz w:val="24"/>
        </w:rPr>
        <w:t>单位：万元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268"/>
        <w:gridCol w:w="1134"/>
        <w:gridCol w:w="1418"/>
      </w:tblGrid>
      <w:tr w:rsidR="00F00C10" w:rsidRPr="00493E2C" w:rsidTr="00544E57">
        <w:trPr>
          <w:trHeight w:val="270"/>
        </w:trPr>
        <w:tc>
          <w:tcPr>
            <w:tcW w:w="3544" w:type="dxa"/>
            <w:shd w:val="clear" w:color="auto" w:fill="auto"/>
            <w:noWrap/>
            <w:hideMark/>
          </w:tcPr>
          <w:p w:rsidR="00F00C10" w:rsidRPr="00E25603" w:rsidRDefault="00F00C10" w:rsidP="008C71F5">
            <w:pPr>
              <w:widowControl/>
              <w:jc w:val="center"/>
              <w:rPr>
                <w:rFonts w:ascii="宋体" w:hAnsi="宋体" w:cs="宋体"/>
                <w:b/>
                <w:bCs/>
                <w:color w:val="000000"/>
                <w:kern w:val="0"/>
                <w:sz w:val="22"/>
              </w:rPr>
            </w:pPr>
            <w:r w:rsidRPr="00433C93">
              <w:rPr>
                <w:rFonts w:ascii="宋体" w:hAnsi="宋体" w:cs="宋体" w:hint="eastAsia"/>
                <w:b/>
                <w:bCs/>
                <w:color w:val="000000"/>
                <w:kern w:val="0"/>
                <w:sz w:val="22"/>
              </w:rPr>
              <w:t>调整原因</w:t>
            </w:r>
          </w:p>
        </w:tc>
        <w:tc>
          <w:tcPr>
            <w:tcW w:w="2268" w:type="dxa"/>
            <w:shd w:val="clear" w:color="auto" w:fill="auto"/>
            <w:noWrap/>
            <w:hideMark/>
          </w:tcPr>
          <w:p w:rsidR="00F00C10" w:rsidRPr="009351F3" w:rsidRDefault="00F00C10" w:rsidP="008C71F5">
            <w:pPr>
              <w:widowControl/>
              <w:jc w:val="center"/>
              <w:rPr>
                <w:rFonts w:ascii="宋体" w:hAnsi="宋体" w:cs="宋体"/>
                <w:b/>
                <w:bCs/>
                <w:color w:val="000000"/>
                <w:kern w:val="0"/>
                <w:sz w:val="22"/>
              </w:rPr>
            </w:pPr>
            <w:r w:rsidRPr="00134A43">
              <w:rPr>
                <w:rFonts w:ascii="宋体" w:hAnsi="宋体" w:cs="宋体" w:hint="eastAsia"/>
                <w:b/>
                <w:bCs/>
                <w:color w:val="000000"/>
                <w:kern w:val="0"/>
                <w:sz w:val="22"/>
              </w:rPr>
              <w:t>调整科目</w:t>
            </w:r>
          </w:p>
        </w:tc>
        <w:tc>
          <w:tcPr>
            <w:tcW w:w="1134" w:type="dxa"/>
            <w:shd w:val="clear" w:color="auto" w:fill="auto"/>
            <w:noWrap/>
            <w:hideMark/>
          </w:tcPr>
          <w:p w:rsidR="00F00C10" w:rsidRPr="009351F3" w:rsidRDefault="00F00C10" w:rsidP="008C71F5">
            <w:pPr>
              <w:widowControl/>
              <w:jc w:val="center"/>
              <w:rPr>
                <w:rFonts w:ascii="宋体" w:hAnsi="宋体" w:cs="宋体"/>
                <w:b/>
                <w:bCs/>
                <w:color w:val="000000"/>
                <w:kern w:val="0"/>
                <w:sz w:val="22"/>
              </w:rPr>
            </w:pPr>
            <w:r w:rsidRPr="009351F3">
              <w:rPr>
                <w:rFonts w:ascii="宋体" w:hAnsi="宋体" w:cs="宋体" w:hint="eastAsia"/>
                <w:b/>
                <w:bCs/>
                <w:color w:val="000000"/>
                <w:kern w:val="0"/>
                <w:sz w:val="22"/>
              </w:rPr>
              <w:t>调整金额</w:t>
            </w:r>
          </w:p>
        </w:tc>
        <w:tc>
          <w:tcPr>
            <w:tcW w:w="1418" w:type="dxa"/>
            <w:shd w:val="clear" w:color="auto" w:fill="auto"/>
            <w:noWrap/>
            <w:hideMark/>
          </w:tcPr>
          <w:p w:rsidR="00F00C10" w:rsidRPr="007B379A" w:rsidRDefault="00F00C10" w:rsidP="008C71F5">
            <w:pPr>
              <w:widowControl/>
              <w:jc w:val="center"/>
              <w:rPr>
                <w:rFonts w:ascii="宋体" w:hAnsi="宋体" w:cs="宋体"/>
                <w:b/>
                <w:bCs/>
                <w:color w:val="000000"/>
                <w:kern w:val="0"/>
                <w:sz w:val="22"/>
              </w:rPr>
            </w:pPr>
            <w:r w:rsidRPr="009351F3">
              <w:rPr>
                <w:rFonts w:ascii="宋体" w:hAnsi="宋体" w:cs="宋体" w:hint="eastAsia"/>
                <w:b/>
                <w:bCs/>
                <w:color w:val="000000"/>
                <w:kern w:val="0"/>
                <w:sz w:val="22"/>
              </w:rPr>
              <w:t>影响净利润</w:t>
            </w:r>
          </w:p>
        </w:tc>
      </w:tr>
      <w:tr w:rsidR="00F00C10" w:rsidRPr="00493E2C" w:rsidTr="00544E57">
        <w:trPr>
          <w:trHeight w:val="540"/>
        </w:trPr>
        <w:tc>
          <w:tcPr>
            <w:tcW w:w="3544" w:type="dxa"/>
            <w:vMerge w:val="restart"/>
            <w:shd w:val="clear" w:color="auto" w:fill="auto"/>
            <w:vAlign w:val="center"/>
            <w:hideMark/>
          </w:tcPr>
          <w:p w:rsidR="00F00C10" w:rsidRPr="00493E2C" w:rsidRDefault="00F00C10" w:rsidP="008C71F5">
            <w:pPr>
              <w:widowControl/>
              <w:jc w:val="center"/>
              <w:rPr>
                <w:rFonts w:ascii="宋体" w:hAnsi="宋体" w:cs="宋体"/>
                <w:color w:val="000000"/>
                <w:kern w:val="0"/>
                <w:sz w:val="20"/>
              </w:rPr>
            </w:pPr>
            <w:r w:rsidRPr="00493E2C">
              <w:rPr>
                <w:rFonts w:ascii="宋体" w:hAnsi="宋体" w:cs="宋体" w:hint="eastAsia"/>
                <w:color w:val="000000"/>
                <w:kern w:val="0"/>
                <w:sz w:val="20"/>
              </w:rPr>
              <w:t>受响水</w:t>
            </w:r>
            <w:proofErr w:type="gramStart"/>
            <w:r w:rsidRPr="00493E2C">
              <w:rPr>
                <w:rFonts w:ascii="宋体" w:hAnsi="宋体" w:cs="宋体" w:hint="eastAsia"/>
                <w:color w:val="000000"/>
                <w:kern w:val="0"/>
                <w:sz w:val="20"/>
              </w:rPr>
              <w:t>恒</w:t>
            </w:r>
            <w:proofErr w:type="gramEnd"/>
            <w:r w:rsidRPr="00493E2C">
              <w:rPr>
                <w:rFonts w:ascii="宋体" w:hAnsi="宋体" w:cs="宋体" w:hint="eastAsia"/>
                <w:color w:val="000000"/>
                <w:kern w:val="0"/>
                <w:sz w:val="20"/>
              </w:rPr>
              <w:t>利达所在化工园区爆炸及关停影响，业绩补偿协议尚未签订，未来具有不确定性，业绩补偿未予确认</w:t>
            </w:r>
          </w:p>
        </w:tc>
        <w:tc>
          <w:tcPr>
            <w:tcW w:w="2268" w:type="dxa"/>
            <w:shd w:val="clear" w:color="auto" w:fill="auto"/>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借：以公允价值计量且其变动计入当期损益的金融资产</w:t>
            </w:r>
          </w:p>
        </w:tc>
        <w:tc>
          <w:tcPr>
            <w:tcW w:w="1134" w:type="dxa"/>
            <w:shd w:val="clear" w:color="auto" w:fill="auto"/>
            <w:noWrap/>
            <w:hideMark/>
          </w:tcPr>
          <w:p w:rsidR="00F00C10" w:rsidRPr="00493E2C" w:rsidRDefault="00F00C10" w:rsidP="008C71F5">
            <w:pPr>
              <w:widowControl/>
              <w:ind w:left="200" w:hangingChars="100" w:hanging="200"/>
              <w:jc w:val="left"/>
              <w:rPr>
                <w:rFonts w:ascii="宋体" w:hAnsi="宋体" w:cs="宋体"/>
                <w:color w:val="000000"/>
                <w:kern w:val="0"/>
                <w:sz w:val="20"/>
              </w:rPr>
            </w:pPr>
            <w:r w:rsidRPr="00493E2C">
              <w:rPr>
                <w:rFonts w:ascii="宋体" w:hAnsi="宋体" w:cs="宋体"/>
                <w:color w:val="000000"/>
                <w:kern w:val="0"/>
                <w:sz w:val="20"/>
              </w:rPr>
              <w:t xml:space="preserve">    -5,643 </w:t>
            </w:r>
          </w:p>
        </w:tc>
        <w:tc>
          <w:tcPr>
            <w:tcW w:w="1418" w:type="dxa"/>
            <w:shd w:val="clear" w:color="auto" w:fill="auto"/>
            <w:noWrap/>
            <w:hideMark/>
          </w:tcPr>
          <w:p w:rsidR="00F00C10" w:rsidRPr="00493E2C" w:rsidRDefault="00F00C10" w:rsidP="008C71F5">
            <w:pPr>
              <w:widowControl/>
              <w:jc w:val="right"/>
              <w:rPr>
                <w:rFonts w:ascii="宋体" w:hAnsi="宋体" w:cs="宋体"/>
                <w:color w:val="000000"/>
                <w:kern w:val="0"/>
                <w:sz w:val="20"/>
              </w:rPr>
            </w:pPr>
            <w:r w:rsidRPr="00493E2C">
              <w:rPr>
                <w:rFonts w:ascii="宋体" w:hAnsi="宋体" w:cs="宋体" w:hint="eastAsia"/>
                <w:color w:val="000000"/>
                <w:kern w:val="0"/>
                <w:sz w:val="20"/>
              </w:rPr>
              <w:t xml:space="preserve">　</w:t>
            </w:r>
          </w:p>
        </w:tc>
      </w:tr>
      <w:tr w:rsidR="00F00C10" w:rsidRPr="00493E2C" w:rsidTr="00544E57">
        <w:trPr>
          <w:trHeight w:val="270"/>
        </w:trPr>
        <w:tc>
          <w:tcPr>
            <w:tcW w:w="3544" w:type="dxa"/>
            <w:vMerge/>
            <w:shd w:val="clear" w:color="auto" w:fill="auto"/>
            <w:vAlign w:val="center"/>
            <w:hideMark/>
          </w:tcPr>
          <w:p w:rsidR="00F00C10" w:rsidRPr="00493E2C" w:rsidRDefault="00F00C10" w:rsidP="008C71F5">
            <w:pPr>
              <w:widowControl/>
              <w:jc w:val="center"/>
              <w:rPr>
                <w:rFonts w:ascii="宋体" w:hAnsi="宋体" w:cs="宋体"/>
                <w:color w:val="000000"/>
                <w:kern w:val="0"/>
                <w:sz w:val="20"/>
              </w:rPr>
            </w:pP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贷：公允价值变动损益</w:t>
            </w:r>
          </w:p>
        </w:tc>
        <w:tc>
          <w:tcPr>
            <w:tcW w:w="1134" w:type="dxa"/>
            <w:shd w:val="clear" w:color="auto" w:fill="auto"/>
            <w:noWrap/>
            <w:hideMark/>
          </w:tcPr>
          <w:p w:rsidR="00F00C10" w:rsidRPr="00493E2C" w:rsidRDefault="00F00C10" w:rsidP="008C71F5">
            <w:pPr>
              <w:widowControl/>
              <w:ind w:firstLineChars="100" w:firstLine="200"/>
              <w:jc w:val="left"/>
              <w:rPr>
                <w:rFonts w:ascii="宋体" w:hAnsi="宋体" w:cs="宋体"/>
                <w:color w:val="000000"/>
                <w:kern w:val="0"/>
                <w:sz w:val="20"/>
              </w:rPr>
            </w:pPr>
            <w:r w:rsidRPr="00493E2C">
              <w:rPr>
                <w:rFonts w:ascii="宋体" w:hAnsi="宋体" w:cs="宋体"/>
                <w:color w:val="000000"/>
                <w:kern w:val="0"/>
                <w:sz w:val="20"/>
              </w:rPr>
              <w:t xml:space="preserve">-5,643 </w:t>
            </w:r>
          </w:p>
        </w:tc>
        <w:tc>
          <w:tcPr>
            <w:tcW w:w="1418" w:type="dxa"/>
            <w:shd w:val="clear" w:color="auto" w:fill="auto"/>
            <w:noWrap/>
            <w:hideMark/>
          </w:tcPr>
          <w:p w:rsidR="00F00C10" w:rsidRPr="00493E2C" w:rsidRDefault="00F00C10" w:rsidP="008C71F5">
            <w:pPr>
              <w:widowControl/>
              <w:jc w:val="right"/>
              <w:rPr>
                <w:rFonts w:ascii="宋体" w:hAnsi="宋体" w:cs="宋体"/>
                <w:color w:val="000000"/>
                <w:kern w:val="0"/>
                <w:sz w:val="20"/>
              </w:rPr>
            </w:pPr>
            <w:r w:rsidRPr="00493E2C">
              <w:rPr>
                <w:rFonts w:ascii="宋体" w:hAnsi="宋体" w:cs="宋体"/>
                <w:color w:val="000000"/>
                <w:kern w:val="0"/>
                <w:sz w:val="20"/>
              </w:rPr>
              <w:t xml:space="preserve">   5,643 </w:t>
            </w:r>
          </w:p>
        </w:tc>
      </w:tr>
      <w:tr w:rsidR="00F00C10" w:rsidRPr="00493E2C" w:rsidTr="00544E57">
        <w:trPr>
          <w:trHeight w:val="270"/>
        </w:trPr>
        <w:tc>
          <w:tcPr>
            <w:tcW w:w="3544" w:type="dxa"/>
            <w:vMerge/>
            <w:shd w:val="clear" w:color="auto" w:fill="auto"/>
            <w:vAlign w:val="center"/>
            <w:hideMark/>
          </w:tcPr>
          <w:p w:rsidR="00F00C10" w:rsidRPr="00493E2C" w:rsidRDefault="00F00C10" w:rsidP="008C71F5">
            <w:pPr>
              <w:widowControl/>
              <w:jc w:val="center"/>
              <w:rPr>
                <w:rFonts w:ascii="宋体" w:hAnsi="宋体" w:cs="宋体"/>
                <w:color w:val="000000"/>
                <w:kern w:val="0"/>
                <w:sz w:val="20"/>
              </w:rPr>
            </w:pP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借：</w:t>
            </w:r>
            <w:r>
              <w:rPr>
                <w:rFonts w:ascii="宋体" w:hAnsi="宋体" w:cs="宋体" w:hint="eastAsia"/>
                <w:color w:val="000000"/>
                <w:kern w:val="0"/>
                <w:sz w:val="20"/>
              </w:rPr>
              <w:t>所得税费用</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color w:val="000000"/>
                <w:kern w:val="0"/>
                <w:sz w:val="20"/>
              </w:rPr>
              <w:t xml:space="preserve">   -1,411 </w:t>
            </w:r>
          </w:p>
        </w:tc>
        <w:tc>
          <w:tcPr>
            <w:tcW w:w="1418" w:type="dxa"/>
            <w:shd w:val="clear" w:color="auto" w:fill="auto"/>
            <w:noWrap/>
            <w:hideMark/>
          </w:tcPr>
          <w:p w:rsidR="00F00C10" w:rsidRPr="00493E2C" w:rsidRDefault="00F00C10" w:rsidP="008C71F5">
            <w:pPr>
              <w:widowControl/>
              <w:jc w:val="right"/>
              <w:rPr>
                <w:rFonts w:ascii="宋体" w:hAnsi="宋体" w:cs="宋体"/>
                <w:color w:val="000000"/>
                <w:kern w:val="0"/>
                <w:sz w:val="20"/>
              </w:rPr>
            </w:pPr>
            <w:r w:rsidRPr="00493E2C">
              <w:rPr>
                <w:rFonts w:ascii="宋体" w:hAnsi="宋体" w:cs="宋体"/>
                <w:color w:val="000000"/>
                <w:kern w:val="0"/>
                <w:sz w:val="20"/>
              </w:rPr>
              <w:t xml:space="preserve">    1,411 </w:t>
            </w:r>
          </w:p>
        </w:tc>
      </w:tr>
      <w:tr w:rsidR="00F00C10" w:rsidRPr="00493E2C" w:rsidTr="00544E57">
        <w:trPr>
          <w:trHeight w:val="270"/>
        </w:trPr>
        <w:tc>
          <w:tcPr>
            <w:tcW w:w="3544" w:type="dxa"/>
            <w:vMerge/>
            <w:shd w:val="clear" w:color="auto" w:fill="auto"/>
            <w:vAlign w:val="center"/>
            <w:hideMark/>
          </w:tcPr>
          <w:p w:rsidR="00F00C10" w:rsidRPr="00493E2C" w:rsidRDefault="00F00C10" w:rsidP="008C71F5">
            <w:pPr>
              <w:widowControl/>
              <w:jc w:val="center"/>
              <w:rPr>
                <w:rFonts w:ascii="宋体" w:hAnsi="宋体" w:cs="宋体"/>
                <w:color w:val="000000"/>
                <w:kern w:val="0"/>
                <w:sz w:val="20"/>
              </w:rPr>
            </w:pP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贷：递延所得税负债</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color w:val="000000"/>
                <w:kern w:val="0"/>
                <w:sz w:val="20"/>
              </w:rPr>
              <w:t xml:space="preserve">   -1,411 </w:t>
            </w:r>
          </w:p>
        </w:tc>
        <w:tc>
          <w:tcPr>
            <w:tcW w:w="1418" w:type="dxa"/>
            <w:shd w:val="clear" w:color="auto" w:fill="auto"/>
            <w:noWrap/>
            <w:hideMark/>
          </w:tcPr>
          <w:p w:rsidR="00F00C10" w:rsidRPr="00493E2C" w:rsidRDefault="00F00C10" w:rsidP="008C71F5">
            <w:pPr>
              <w:widowControl/>
              <w:jc w:val="right"/>
              <w:rPr>
                <w:rFonts w:ascii="宋体" w:hAnsi="宋体" w:cs="宋体"/>
                <w:color w:val="000000"/>
                <w:kern w:val="0"/>
                <w:sz w:val="20"/>
              </w:rPr>
            </w:pPr>
            <w:r w:rsidRPr="00493E2C">
              <w:rPr>
                <w:rFonts w:ascii="宋体" w:hAnsi="宋体" w:cs="宋体" w:hint="eastAsia"/>
                <w:color w:val="000000"/>
                <w:kern w:val="0"/>
                <w:sz w:val="20"/>
              </w:rPr>
              <w:t xml:space="preserve">　</w:t>
            </w:r>
          </w:p>
        </w:tc>
      </w:tr>
      <w:tr w:rsidR="00F00C10" w:rsidRPr="00493E2C" w:rsidTr="00544E57">
        <w:trPr>
          <w:trHeight w:val="270"/>
        </w:trPr>
        <w:tc>
          <w:tcPr>
            <w:tcW w:w="3544" w:type="dxa"/>
            <w:shd w:val="clear" w:color="auto" w:fill="auto"/>
            <w:noWrap/>
            <w:vAlign w:val="center"/>
            <w:hideMark/>
          </w:tcPr>
          <w:p w:rsidR="00F00C10" w:rsidRPr="00493E2C" w:rsidRDefault="00F00C10" w:rsidP="008C71F5">
            <w:pPr>
              <w:widowControl/>
              <w:jc w:val="center"/>
              <w:rPr>
                <w:rFonts w:ascii="宋体" w:hAnsi="宋体" w:cs="宋体"/>
                <w:b/>
                <w:bCs/>
                <w:color w:val="000000"/>
                <w:kern w:val="0"/>
                <w:sz w:val="20"/>
              </w:rPr>
            </w:pPr>
            <w:r w:rsidRPr="00493E2C">
              <w:rPr>
                <w:rFonts w:ascii="宋体" w:hAnsi="宋体" w:cs="宋体" w:hint="eastAsia"/>
                <w:b/>
                <w:bCs/>
                <w:color w:val="000000"/>
                <w:kern w:val="0"/>
                <w:sz w:val="20"/>
              </w:rPr>
              <w:t>小计：</w:t>
            </w: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 xml:space="preserve">　</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 xml:space="preserve">　</w:t>
            </w:r>
          </w:p>
        </w:tc>
        <w:tc>
          <w:tcPr>
            <w:tcW w:w="1418" w:type="dxa"/>
            <w:shd w:val="clear" w:color="auto" w:fill="auto"/>
            <w:noWrap/>
            <w:hideMark/>
          </w:tcPr>
          <w:p w:rsidR="00F00C10" w:rsidRPr="00493E2C" w:rsidRDefault="00F00C10" w:rsidP="008C71F5">
            <w:pPr>
              <w:widowControl/>
              <w:jc w:val="right"/>
              <w:rPr>
                <w:rFonts w:ascii="宋体" w:hAnsi="宋体" w:cs="宋体"/>
                <w:b/>
                <w:bCs/>
                <w:color w:val="000000"/>
                <w:kern w:val="0"/>
                <w:sz w:val="20"/>
              </w:rPr>
            </w:pPr>
            <w:r w:rsidRPr="00493E2C">
              <w:rPr>
                <w:rFonts w:ascii="宋体" w:hAnsi="宋体" w:cs="宋体"/>
                <w:b/>
                <w:bCs/>
                <w:color w:val="000000"/>
                <w:kern w:val="0"/>
                <w:sz w:val="20"/>
              </w:rPr>
              <w:t xml:space="preserve">   -4,232 </w:t>
            </w:r>
          </w:p>
        </w:tc>
      </w:tr>
      <w:tr w:rsidR="00F00C10" w:rsidRPr="00493E2C" w:rsidTr="00544E57">
        <w:trPr>
          <w:trHeight w:val="270"/>
        </w:trPr>
        <w:tc>
          <w:tcPr>
            <w:tcW w:w="3544" w:type="dxa"/>
            <w:vMerge w:val="restart"/>
            <w:shd w:val="clear" w:color="auto" w:fill="auto"/>
            <w:vAlign w:val="center"/>
            <w:hideMark/>
          </w:tcPr>
          <w:p w:rsidR="00F00C10" w:rsidRPr="00493E2C" w:rsidRDefault="00F00C10" w:rsidP="008C71F5">
            <w:pPr>
              <w:widowControl/>
              <w:jc w:val="center"/>
              <w:rPr>
                <w:rFonts w:ascii="宋体" w:hAnsi="宋体" w:cs="宋体"/>
                <w:color w:val="000000"/>
                <w:kern w:val="0"/>
                <w:sz w:val="20"/>
              </w:rPr>
            </w:pPr>
            <w:r w:rsidRPr="00493E2C">
              <w:rPr>
                <w:rFonts w:ascii="宋体" w:hAnsi="宋体" w:cs="宋体" w:hint="eastAsia"/>
                <w:color w:val="000000"/>
                <w:kern w:val="0"/>
                <w:sz w:val="20"/>
              </w:rPr>
              <w:t>江苏吴中医药集团有限公司内皮项目研发支出费用化</w:t>
            </w: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借：研发费用</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color w:val="000000"/>
                <w:kern w:val="0"/>
                <w:sz w:val="20"/>
              </w:rPr>
              <w:t xml:space="preserve">    2,732 </w:t>
            </w:r>
          </w:p>
        </w:tc>
        <w:tc>
          <w:tcPr>
            <w:tcW w:w="1418" w:type="dxa"/>
            <w:shd w:val="clear" w:color="auto" w:fill="auto"/>
            <w:noWrap/>
            <w:hideMark/>
          </w:tcPr>
          <w:p w:rsidR="00F00C10" w:rsidRPr="00493E2C" w:rsidRDefault="00F00C10" w:rsidP="008C71F5">
            <w:pPr>
              <w:widowControl/>
              <w:jc w:val="right"/>
              <w:rPr>
                <w:rFonts w:ascii="宋体" w:hAnsi="宋体" w:cs="宋体"/>
                <w:color w:val="000000"/>
                <w:kern w:val="0"/>
                <w:sz w:val="20"/>
              </w:rPr>
            </w:pPr>
            <w:r w:rsidRPr="00493E2C">
              <w:rPr>
                <w:rFonts w:ascii="宋体" w:hAnsi="宋体" w:cs="宋体"/>
                <w:color w:val="000000"/>
                <w:kern w:val="0"/>
                <w:sz w:val="20"/>
              </w:rPr>
              <w:t xml:space="preserve">   -2,732 </w:t>
            </w:r>
          </w:p>
        </w:tc>
      </w:tr>
      <w:tr w:rsidR="00F00C10" w:rsidRPr="00493E2C" w:rsidTr="00544E57">
        <w:trPr>
          <w:trHeight w:val="270"/>
        </w:trPr>
        <w:tc>
          <w:tcPr>
            <w:tcW w:w="3544" w:type="dxa"/>
            <w:vMerge/>
            <w:shd w:val="clear" w:color="auto" w:fill="auto"/>
            <w:vAlign w:val="center"/>
            <w:hideMark/>
          </w:tcPr>
          <w:p w:rsidR="00F00C10" w:rsidRPr="00493E2C" w:rsidRDefault="00F00C10" w:rsidP="008C71F5">
            <w:pPr>
              <w:widowControl/>
              <w:jc w:val="center"/>
              <w:rPr>
                <w:rFonts w:ascii="宋体" w:hAnsi="宋体" w:cs="宋体"/>
                <w:color w:val="000000"/>
                <w:kern w:val="0"/>
                <w:sz w:val="20"/>
              </w:rPr>
            </w:pP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贷：</w:t>
            </w:r>
            <w:r>
              <w:rPr>
                <w:rFonts w:ascii="宋体" w:hAnsi="宋体" w:cs="宋体" w:hint="eastAsia"/>
                <w:color w:val="000000"/>
                <w:kern w:val="0"/>
                <w:sz w:val="20"/>
              </w:rPr>
              <w:t>开发</w:t>
            </w:r>
            <w:r w:rsidRPr="00493E2C">
              <w:rPr>
                <w:rFonts w:ascii="宋体" w:hAnsi="宋体" w:cs="宋体" w:hint="eastAsia"/>
                <w:color w:val="000000"/>
                <w:kern w:val="0"/>
                <w:sz w:val="20"/>
              </w:rPr>
              <w:t>支出</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color w:val="000000"/>
                <w:kern w:val="0"/>
                <w:sz w:val="20"/>
              </w:rPr>
              <w:t xml:space="preserve">    2,732 </w:t>
            </w:r>
          </w:p>
        </w:tc>
        <w:tc>
          <w:tcPr>
            <w:tcW w:w="1418" w:type="dxa"/>
            <w:shd w:val="clear" w:color="auto" w:fill="auto"/>
            <w:noWrap/>
            <w:hideMark/>
          </w:tcPr>
          <w:p w:rsidR="00F00C10" w:rsidRPr="00493E2C" w:rsidRDefault="00F00C10" w:rsidP="008C71F5">
            <w:pPr>
              <w:widowControl/>
              <w:jc w:val="right"/>
              <w:rPr>
                <w:rFonts w:ascii="宋体" w:hAnsi="宋体" w:cs="宋体"/>
                <w:color w:val="000000"/>
                <w:kern w:val="0"/>
                <w:sz w:val="20"/>
              </w:rPr>
            </w:pPr>
            <w:r w:rsidRPr="00493E2C">
              <w:rPr>
                <w:rFonts w:ascii="宋体" w:hAnsi="宋体" w:cs="宋体" w:hint="eastAsia"/>
                <w:color w:val="000000"/>
                <w:kern w:val="0"/>
                <w:sz w:val="20"/>
              </w:rPr>
              <w:t xml:space="preserve">　</w:t>
            </w:r>
          </w:p>
        </w:tc>
      </w:tr>
      <w:tr w:rsidR="00F00C10" w:rsidRPr="00493E2C" w:rsidTr="00544E57">
        <w:trPr>
          <w:trHeight w:val="270"/>
        </w:trPr>
        <w:tc>
          <w:tcPr>
            <w:tcW w:w="3544" w:type="dxa"/>
            <w:vMerge w:val="restart"/>
            <w:shd w:val="clear" w:color="auto" w:fill="auto"/>
            <w:noWrap/>
            <w:vAlign w:val="center"/>
            <w:hideMark/>
          </w:tcPr>
          <w:p w:rsidR="00F00C10" w:rsidRPr="00493E2C" w:rsidRDefault="00F00C10" w:rsidP="008C71F5">
            <w:pPr>
              <w:widowControl/>
              <w:jc w:val="center"/>
              <w:rPr>
                <w:rFonts w:ascii="宋体" w:hAnsi="宋体" w:cs="宋体"/>
                <w:color w:val="000000"/>
                <w:kern w:val="0"/>
                <w:sz w:val="20"/>
              </w:rPr>
            </w:pPr>
            <w:r w:rsidRPr="00493E2C">
              <w:rPr>
                <w:rFonts w:ascii="宋体" w:hAnsi="宋体" w:cs="宋体" w:hint="eastAsia"/>
                <w:color w:val="000000"/>
                <w:kern w:val="0"/>
                <w:sz w:val="20"/>
              </w:rPr>
              <w:t>相应递延收益转</w:t>
            </w:r>
            <w:r>
              <w:rPr>
                <w:rFonts w:ascii="宋体" w:hAnsi="宋体" w:cs="宋体" w:hint="eastAsia"/>
                <w:color w:val="000000"/>
                <w:kern w:val="0"/>
                <w:sz w:val="20"/>
              </w:rPr>
              <w:t>入</w:t>
            </w:r>
            <w:r w:rsidRPr="00493E2C">
              <w:rPr>
                <w:rFonts w:ascii="宋体" w:hAnsi="宋体" w:cs="宋体" w:hint="eastAsia"/>
                <w:color w:val="000000"/>
                <w:kern w:val="0"/>
                <w:sz w:val="20"/>
              </w:rPr>
              <w:t>当期损益</w:t>
            </w: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借：递延收益</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color w:val="000000"/>
                <w:kern w:val="0"/>
                <w:sz w:val="20"/>
              </w:rPr>
              <w:t xml:space="preserve">    1,433 </w:t>
            </w:r>
          </w:p>
        </w:tc>
        <w:tc>
          <w:tcPr>
            <w:tcW w:w="1418" w:type="dxa"/>
            <w:shd w:val="clear" w:color="auto" w:fill="auto"/>
            <w:noWrap/>
            <w:hideMark/>
          </w:tcPr>
          <w:p w:rsidR="00F00C10" w:rsidRPr="00493E2C" w:rsidRDefault="00F00C10" w:rsidP="008C71F5">
            <w:pPr>
              <w:widowControl/>
              <w:jc w:val="right"/>
              <w:rPr>
                <w:rFonts w:ascii="宋体" w:hAnsi="宋体" w:cs="宋体"/>
                <w:color w:val="000000"/>
                <w:kern w:val="0"/>
                <w:sz w:val="20"/>
              </w:rPr>
            </w:pPr>
            <w:r w:rsidRPr="00493E2C">
              <w:rPr>
                <w:rFonts w:ascii="宋体" w:hAnsi="宋体" w:cs="宋体" w:hint="eastAsia"/>
                <w:color w:val="000000"/>
                <w:kern w:val="0"/>
                <w:sz w:val="20"/>
              </w:rPr>
              <w:t xml:space="preserve">　</w:t>
            </w:r>
          </w:p>
        </w:tc>
      </w:tr>
      <w:tr w:rsidR="00F00C10" w:rsidRPr="00493E2C" w:rsidTr="00544E57">
        <w:trPr>
          <w:trHeight w:val="270"/>
        </w:trPr>
        <w:tc>
          <w:tcPr>
            <w:tcW w:w="3544" w:type="dxa"/>
            <w:vMerge/>
            <w:shd w:val="clear" w:color="auto" w:fill="auto"/>
            <w:vAlign w:val="center"/>
            <w:hideMark/>
          </w:tcPr>
          <w:p w:rsidR="00F00C10" w:rsidRPr="00493E2C" w:rsidRDefault="00F00C10" w:rsidP="008C71F5">
            <w:pPr>
              <w:widowControl/>
              <w:jc w:val="center"/>
              <w:rPr>
                <w:rFonts w:ascii="宋体" w:hAnsi="宋体" w:cs="宋体"/>
                <w:color w:val="000000"/>
                <w:kern w:val="0"/>
                <w:sz w:val="20"/>
              </w:rPr>
            </w:pP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贷：其他收益</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color w:val="000000"/>
                <w:kern w:val="0"/>
                <w:sz w:val="20"/>
              </w:rPr>
              <w:t xml:space="preserve">    1,433 </w:t>
            </w:r>
          </w:p>
        </w:tc>
        <w:tc>
          <w:tcPr>
            <w:tcW w:w="1418" w:type="dxa"/>
            <w:shd w:val="clear" w:color="auto" w:fill="auto"/>
            <w:noWrap/>
            <w:hideMark/>
          </w:tcPr>
          <w:p w:rsidR="00F00C10" w:rsidRPr="00493E2C" w:rsidRDefault="00F00C10" w:rsidP="008C71F5">
            <w:pPr>
              <w:widowControl/>
              <w:jc w:val="right"/>
              <w:rPr>
                <w:rFonts w:ascii="宋体" w:hAnsi="宋体" w:cs="宋体"/>
                <w:color w:val="000000"/>
                <w:kern w:val="0"/>
                <w:sz w:val="20"/>
              </w:rPr>
            </w:pPr>
            <w:r w:rsidRPr="00493E2C">
              <w:rPr>
                <w:rFonts w:ascii="宋体" w:hAnsi="宋体" w:cs="宋体"/>
                <w:color w:val="000000"/>
                <w:kern w:val="0"/>
                <w:sz w:val="20"/>
              </w:rPr>
              <w:t xml:space="preserve">      1,433 </w:t>
            </w:r>
          </w:p>
        </w:tc>
      </w:tr>
      <w:tr w:rsidR="00F00C10" w:rsidRPr="00493E2C" w:rsidTr="00544E57">
        <w:trPr>
          <w:trHeight w:val="270"/>
        </w:trPr>
        <w:tc>
          <w:tcPr>
            <w:tcW w:w="3544" w:type="dxa"/>
            <w:vMerge w:val="restart"/>
            <w:shd w:val="clear" w:color="auto" w:fill="auto"/>
            <w:noWrap/>
            <w:vAlign w:val="center"/>
            <w:hideMark/>
          </w:tcPr>
          <w:p w:rsidR="00F00C10" w:rsidRPr="00493E2C" w:rsidRDefault="00F00C10" w:rsidP="008C71F5">
            <w:pPr>
              <w:widowControl/>
              <w:jc w:val="center"/>
              <w:rPr>
                <w:rFonts w:ascii="宋体" w:hAnsi="宋体" w:cs="宋体"/>
                <w:color w:val="000000"/>
                <w:kern w:val="0"/>
                <w:sz w:val="20"/>
              </w:rPr>
            </w:pPr>
            <w:r w:rsidRPr="00493E2C">
              <w:rPr>
                <w:rFonts w:ascii="宋体" w:hAnsi="宋体" w:cs="宋体" w:hint="eastAsia"/>
                <w:color w:val="000000"/>
                <w:kern w:val="0"/>
                <w:sz w:val="20"/>
              </w:rPr>
              <w:t>增加本年度亏损确认递延资产</w:t>
            </w: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借：递延所得税资产</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color w:val="000000"/>
                <w:kern w:val="0"/>
                <w:sz w:val="20"/>
              </w:rPr>
              <w:t xml:space="preserve">      195 </w:t>
            </w:r>
          </w:p>
        </w:tc>
        <w:tc>
          <w:tcPr>
            <w:tcW w:w="1418" w:type="dxa"/>
            <w:shd w:val="clear" w:color="auto" w:fill="auto"/>
            <w:noWrap/>
            <w:hideMark/>
          </w:tcPr>
          <w:p w:rsidR="00F00C10" w:rsidRPr="00493E2C" w:rsidRDefault="00F00C10" w:rsidP="008C71F5">
            <w:pPr>
              <w:widowControl/>
              <w:jc w:val="right"/>
              <w:rPr>
                <w:rFonts w:ascii="宋体" w:hAnsi="宋体" w:cs="宋体"/>
                <w:color w:val="000000"/>
                <w:kern w:val="0"/>
                <w:sz w:val="20"/>
              </w:rPr>
            </w:pPr>
            <w:r w:rsidRPr="00493E2C">
              <w:rPr>
                <w:rFonts w:ascii="宋体" w:hAnsi="宋体" w:cs="宋体" w:hint="eastAsia"/>
                <w:color w:val="000000"/>
                <w:kern w:val="0"/>
                <w:sz w:val="20"/>
              </w:rPr>
              <w:t xml:space="preserve">　</w:t>
            </w:r>
          </w:p>
        </w:tc>
      </w:tr>
      <w:tr w:rsidR="00F00C10" w:rsidRPr="00493E2C" w:rsidTr="00544E57">
        <w:trPr>
          <w:trHeight w:val="270"/>
        </w:trPr>
        <w:tc>
          <w:tcPr>
            <w:tcW w:w="3544" w:type="dxa"/>
            <w:vMerge/>
            <w:shd w:val="clear" w:color="auto" w:fill="auto"/>
            <w:vAlign w:val="center"/>
            <w:hideMark/>
          </w:tcPr>
          <w:p w:rsidR="00F00C10" w:rsidRPr="00493E2C" w:rsidRDefault="00F00C10" w:rsidP="008C71F5">
            <w:pPr>
              <w:widowControl/>
              <w:jc w:val="center"/>
              <w:rPr>
                <w:rFonts w:ascii="宋体" w:hAnsi="宋体" w:cs="宋体"/>
                <w:color w:val="000000"/>
                <w:kern w:val="0"/>
                <w:sz w:val="20"/>
              </w:rPr>
            </w:pP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贷：</w:t>
            </w:r>
            <w:r>
              <w:rPr>
                <w:rFonts w:ascii="宋体" w:hAnsi="宋体" w:cs="宋体" w:hint="eastAsia"/>
                <w:color w:val="000000"/>
                <w:kern w:val="0"/>
                <w:sz w:val="20"/>
              </w:rPr>
              <w:t>所得税费用</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color w:val="000000"/>
                <w:kern w:val="0"/>
                <w:sz w:val="20"/>
              </w:rPr>
              <w:t xml:space="preserve">      195 </w:t>
            </w:r>
          </w:p>
        </w:tc>
        <w:tc>
          <w:tcPr>
            <w:tcW w:w="1418" w:type="dxa"/>
            <w:shd w:val="clear" w:color="auto" w:fill="auto"/>
            <w:noWrap/>
            <w:hideMark/>
          </w:tcPr>
          <w:p w:rsidR="00F00C10" w:rsidRPr="00493E2C" w:rsidRDefault="00F00C10" w:rsidP="008C71F5">
            <w:pPr>
              <w:widowControl/>
              <w:jc w:val="right"/>
              <w:rPr>
                <w:rFonts w:ascii="宋体" w:hAnsi="宋体" w:cs="宋体"/>
                <w:color w:val="000000"/>
                <w:kern w:val="0"/>
                <w:sz w:val="20"/>
              </w:rPr>
            </w:pPr>
            <w:r w:rsidRPr="00493E2C">
              <w:rPr>
                <w:rFonts w:ascii="宋体" w:hAnsi="宋体" w:cs="宋体"/>
                <w:color w:val="000000"/>
                <w:kern w:val="0"/>
                <w:sz w:val="20"/>
              </w:rPr>
              <w:t xml:space="preserve">      195 </w:t>
            </w:r>
          </w:p>
        </w:tc>
      </w:tr>
      <w:tr w:rsidR="00F00C10" w:rsidRPr="00493E2C" w:rsidTr="00544E57">
        <w:trPr>
          <w:trHeight w:val="270"/>
        </w:trPr>
        <w:tc>
          <w:tcPr>
            <w:tcW w:w="3544" w:type="dxa"/>
            <w:shd w:val="clear" w:color="auto" w:fill="auto"/>
            <w:noWrap/>
            <w:vAlign w:val="center"/>
            <w:hideMark/>
          </w:tcPr>
          <w:p w:rsidR="00F00C10" w:rsidRPr="00493E2C" w:rsidRDefault="00F00C10" w:rsidP="008C71F5">
            <w:pPr>
              <w:widowControl/>
              <w:jc w:val="center"/>
              <w:rPr>
                <w:rFonts w:ascii="宋体" w:hAnsi="宋体" w:cs="宋体"/>
                <w:b/>
                <w:bCs/>
                <w:color w:val="000000"/>
                <w:kern w:val="0"/>
                <w:sz w:val="20"/>
              </w:rPr>
            </w:pPr>
            <w:r w:rsidRPr="00493E2C">
              <w:rPr>
                <w:rFonts w:ascii="宋体" w:hAnsi="宋体" w:cs="宋体" w:hint="eastAsia"/>
                <w:b/>
                <w:bCs/>
                <w:color w:val="000000"/>
                <w:kern w:val="0"/>
                <w:sz w:val="20"/>
              </w:rPr>
              <w:t>小计：</w:t>
            </w: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 xml:space="preserve">　</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 xml:space="preserve">　</w:t>
            </w:r>
          </w:p>
        </w:tc>
        <w:tc>
          <w:tcPr>
            <w:tcW w:w="1418" w:type="dxa"/>
            <w:shd w:val="clear" w:color="auto" w:fill="auto"/>
            <w:noWrap/>
            <w:hideMark/>
          </w:tcPr>
          <w:p w:rsidR="00F00C10" w:rsidRPr="00493E2C" w:rsidRDefault="00F00C10" w:rsidP="008C71F5">
            <w:pPr>
              <w:widowControl/>
              <w:jc w:val="right"/>
              <w:rPr>
                <w:rFonts w:ascii="宋体" w:hAnsi="宋体" w:cs="宋体"/>
                <w:b/>
                <w:bCs/>
                <w:color w:val="000000"/>
                <w:kern w:val="0"/>
                <w:sz w:val="20"/>
              </w:rPr>
            </w:pPr>
            <w:r w:rsidRPr="00493E2C">
              <w:rPr>
                <w:rFonts w:ascii="宋体" w:hAnsi="宋体" w:cs="宋体"/>
                <w:b/>
                <w:bCs/>
                <w:color w:val="000000"/>
                <w:kern w:val="0"/>
                <w:sz w:val="20"/>
              </w:rPr>
              <w:t xml:space="preserve">    1,104 </w:t>
            </w:r>
          </w:p>
        </w:tc>
      </w:tr>
      <w:tr w:rsidR="00F00C10" w:rsidRPr="00493E2C" w:rsidTr="00544E57">
        <w:trPr>
          <w:trHeight w:val="270"/>
        </w:trPr>
        <w:tc>
          <w:tcPr>
            <w:tcW w:w="3544" w:type="dxa"/>
            <w:vMerge w:val="restart"/>
            <w:shd w:val="clear" w:color="auto" w:fill="auto"/>
            <w:vAlign w:val="center"/>
            <w:hideMark/>
          </w:tcPr>
          <w:p w:rsidR="00F00C10" w:rsidRPr="00493E2C" w:rsidRDefault="00F00C10" w:rsidP="008C71F5">
            <w:pPr>
              <w:widowControl/>
              <w:jc w:val="center"/>
              <w:rPr>
                <w:rFonts w:ascii="宋体" w:hAnsi="宋体" w:cs="宋体"/>
                <w:color w:val="000000"/>
                <w:kern w:val="0"/>
                <w:sz w:val="20"/>
              </w:rPr>
            </w:pPr>
            <w:r w:rsidRPr="00493E2C">
              <w:rPr>
                <w:rFonts w:ascii="宋体" w:hAnsi="宋体" w:cs="宋体" w:hint="eastAsia"/>
                <w:color w:val="000000"/>
                <w:kern w:val="0"/>
                <w:sz w:val="20"/>
              </w:rPr>
              <w:t>因园区面临关停，响水</w:t>
            </w:r>
            <w:proofErr w:type="gramStart"/>
            <w:r w:rsidRPr="00493E2C">
              <w:rPr>
                <w:rFonts w:ascii="宋体" w:hAnsi="宋体" w:cs="宋体" w:hint="eastAsia"/>
                <w:color w:val="000000"/>
                <w:kern w:val="0"/>
                <w:sz w:val="20"/>
              </w:rPr>
              <w:t>恒</w:t>
            </w:r>
            <w:proofErr w:type="gramEnd"/>
            <w:r w:rsidRPr="00493E2C">
              <w:rPr>
                <w:rFonts w:ascii="宋体" w:hAnsi="宋体" w:cs="宋体" w:hint="eastAsia"/>
                <w:color w:val="000000"/>
                <w:kern w:val="0"/>
                <w:sz w:val="20"/>
              </w:rPr>
              <w:t>利达递延资产不再确认</w:t>
            </w: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借：递延所得税资产</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color w:val="000000"/>
                <w:kern w:val="0"/>
                <w:sz w:val="20"/>
              </w:rPr>
              <w:t xml:space="preserve">     -781 </w:t>
            </w:r>
          </w:p>
        </w:tc>
        <w:tc>
          <w:tcPr>
            <w:tcW w:w="1418" w:type="dxa"/>
            <w:shd w:val="clear" w:color="auto" w:fill="auto"/>
            <w:noWrap/>
            <w:hideMark/>
          </w:tcPr>
          <w:p w:rsidR="00F00C10" w:rsidRPr="00493E2C" w:rsidRDefault="00F00C10" w:rsidP="008C71F5">
            <w:pPr>
              <w:widowControl/>
              <w:jc w:val="right"/>
              <w:rPr>
                <w:rFonts w:ascii="宋体" w:hAnsi="宋体" w:cs="宋体"/>
                <w:color w:val="000000"/>
                <w:kern w:val="0"/>
                <w:sz w:val="20"/>
              </w:rPr>
            </w:pPr>
            <w:r w:rsidRPr="00493E2C">
              <w:rPr>
                <w:rFonts w:ascii="宋体" w:hAnsi="宋体" w:cs="宋体" w:hint="eastAsia"/>
                <w:color w:val="000000"/>
                <w:kern w:val="0"/>
                <w:sz w:val="20"/>
              </w:rPr>
              <w:t xml:space="preserve">　</w:t>
            </w:r>
          </w:p>
        </w:tc>
      </w:tr>
      <w:tr w:rsidR="00F00C10" w:rsidRPr="00493E2C" w:rsidTr="00544E57">
        <w:trPr>
          <w:trHeight w:val="270"/>
        </w:trPr>
        <w:tc>
          <w:tcPr>
            <w:tcW w:w="3544" w:type="dxa"/>
            <w:vMerge/>
            <w:shd w:val="clear" w:color="auto" w:fill="auto"/>
            <w:vAlign w:val="center"/>
            <w:hideMark/>
          </w:tcPr>
          <w:p w:rsidR="00F00C10" w:rsidRPr="00493E2C" w:rsidRDefault="00F00C10" w:rsidP="008C71F5">
            <w:pPr>
              <w:widowControl/>
              <w:jc w:val="center"/>
              <w:rPr>
                <w:rFonts w:ascii="宋体" w:hAnsi="宋体" w:cs="宋体"/>
                <w:color w:val="000000"/>
                <w:kern w:val="0"/>
                <w:sz w:val="20"/>
              </w:rPr>
            </w:pP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贷：</w:t>
            </w:r>
            <w:r>
              <w:rPr>
                <w:rFonts w:ascii="宋体" w:hAnsi="宋体" w:cs="宋体" w:hint="eastAsia"/>
                <w:color w:val="000000"/>
                <w:kern w:val="0"/>
                <w:sz w:val="20"/>
              </w:rPr>
              <w:t>所得税费用</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color w:val="000000"/>
                <w:kern w:val="0"/>
                <w:sz w:val="20"/>
              </w:rPr>
              <w:t xml:space="preserve">     -781 </w:t>
            </w:r>
          </w:p>
        </w:tc>
        <w:tc>
          <w:tcPr>
            <w:tcW w:w="1418" w:type="dxa"/>
            <w:shd w:val="clear" w:color="auto" w:fill="auto"/>
            <w:noWrap/>
            <w:hideMark/>
          </w:tcPr>
          <w:p w:rsidR="00F00C10" w:rsidRPr="00493E2C" w:rsidRDefault="00F00C10" w:rsidP="008C71F5">
            <w:pPr>
              <w:widowControl/>
              <w:jc w:val="right"/>
              <w:rPr>
                <w:rFonts w:ascii="宋体" w:hAnsi="宋体" w:cs="宋体"/>
                <w:b/>
                <w:bCs/>
                <w:color w:val="000000"/>
                <w:kern w:val="0"/>
                <w:sz w:val="20"/>
              </w:rPr>
            </w:pPr>
            <w:r w:rsidRPr="00493E2C">
              <w:rPr>
                <w:rFonts w:ascii="宋体" w:hAnsi="宋体" w:cs="宋体"/>
                <w:b/>
                <w:bCs/>
                <w:color w:val="000000"/>
                <w:kern w:val="0"/>
                <w:sz w:val="20"/>
              </w:rPr>
              <w:t xml:space="preserve">     -781 </w:t>
            </w:r>
          </w:p>
        </w:tc>
      </w:tr>
      <w:tr w:rsidR="00F00C10" w:rsidRPr="00493E2C" w:rsidTr="00544E57">
        <w:trPr>
          <w:trHeight w:val="270"/>
        </w:trPr>
        <w:tc>
          <w:tcPr>
            <w:tcW w:w="3544" w:type="dxa"/>
            <w:vMerge w:val="restart"/>
            <w:shd w:val="clear" w:color="auto" w:fill="auto"/>
            <w:vAlign w:val="center"/>
            <w:hideMark/>
          </w:tcPr>
          <w:p w:rsidR="00F00C10" w:rsidRPr="00493E2C" w:rsidRDefault="00F00C10" w:rsidP="008C71F5">
            <w:pPr>
              <w:widowControl/>
              <w:jc w:val="center"/>
              <w:rPr>
                <w:rFonts w:ascii="宋体" w:hAnsi="宋体" w:cs="宋体"/>
                <w:color w:val="000000"/>
                <w:kern w:val="0"/>
                <w:sz w:val="20"/>
              </w:rPr>
            </w:pPr>
            <w:r w:rsidRPr="00493E2C">
              <w:rPr>
                <w:rFonts w:ascii="宋体" w:hAnsi="宋体" w:cs="宋体" w:hint="eastAsia"/>
                <w:color w:val="000000"/>
                <w:kern w:val="0"/>
                <w:sz w:val="20"/>
              </w:rPr>
              <w:t>因业绩补偿无法确认，未来可获得盈利是否能够弥补亏损存在不确定性，递延资产冲回</w:t>
            </w: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借：递延所得税资产</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color w:val="000000"/>
                <w:kern w:val="0"/>
                <w:sz w:val="20"/>
              </w:rPr>
              <w:t xml:space="preserve">     -751 </w:t>
            </w:r>
          </w:p>
        </w:tc>
        <w:tc>
          <w:tcPr>
            <w:tcW w:w="1418" w:type="dxa"/>
            <w:shd w:val="clear" w:color="auto" w:fill="auto"/>
            <w:noWrap/>
            <w:hideMark/>
          </w:tcPr>
          <w:p w:rsidR="00F00C10" w:rsidRPr="00493E2C" w:rsidRDefault="00F00C10" w:rsidP="008C71F5">
            <w:pPr>
              <w:widowControl/>
              <w:jc w:val="right"/>
              <w:rPr>
                <w:rFonts w:ascii="宋体" w:hAnsi="宋体" w:cs="宋体"/>
                <w:color w:val="000000"/>
                <w:kern w:val="0"/>
                <w:sz w:val="20"/>
              </w:rPr>
            </w:pPr>
            <w:r w:rsidRPr="00493E2C">
              <w:rPr>
                <w:rFonts w:ascii="宋体" w:hAnsi="宋体" w:cs="宋体" w:hint="eastAsia"/>
                <w:color w:val="000000"/>
                <w:kern w:val="0"/>
                <w:sz w:val="20"/>
              </w:rPr>
              <w:t xml:space="preserve">　</w:t>
            </w:r>
          </w:p>
        </w:tc>
      </w:tr>
      <w:tr w:rsidR="00F00C10" w:rsidRPr="00493E2C" w:rsidTr="00544E57">
        <w:trPr>
          <w:trHeight w:val="270"/>
        </w:trPr>
        <w:tc>
          <w:tcPr>
            <w:tcW w:w="3544" w:type="dxa"/>
            <w:vMerge/>
            <w:shd w:val="clear" w:color="auto" w:fill="auto"/>
            <w:vAlign w:val="center"/>
            <w:hideMark/>
          </w:tcPr>
          <w:p w:rsidR="00F00C10" w:rsidRPr="00493E2C" w:rsidRDefault="00F00C10" w:rsidP="008C71F5">
            <w:pPr>
              <w:widowControl/>
              <w:jc w:val="center"/>
              <w:rPr>
                <w:rFonts w:ascii="宋体" w:hAnsi="宋体" w:cs="宋体"/>
                <w:color w:val="000000"/>
                <w:kern w:val="0"/>
                <w:sz w:val="20"/>
              </w:rPr>
            </w:pP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贷：</w:t>
            </w:r>
            <w:r>
              <w:rPr>
                <w:rFonts w:ascii="宋体" w:hAnsi="宋体" w:cs="宋体" w:hint="eastAsia"/>
                <w:color w:val="000000"/>
                <w:kern w:val="0"/>
                <w:sz w:val="20"/>
              </w:rPr>
              <w:t>所得税费用</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color w:val="000000"/>
                <w:kern w:val="0"/>
                <w:sz w:val="20"/>
              </w:rPr>
              <w:t xml:space="preserve">     -751 </w:t>
            </w:r>
          </w:p>
        </w:tc>
        <w:tc>
          <w:tcPr>
            <w:tcW w:w="1418" w:type="dxa"/>
            <w:shd w:val="clear" w:color="auto" w:fill="auto"/>
            <w:noWrap/>
            <w:hideMark/>
          </w:tcPr>
          <w:p w:rsidR="00F00C10" w:rsidRPr="00493E2C" w:rsidRDefault="00F00C10" w:rsidP="008C71F5">
            <w:pPr>
              <w:widowControl/>
              <w:jc w:val="right"/>
              <w:rPr>
                <w:rFonts w:ascii="宋体" w:hAnsi="宋体" w:cs="宋体"/>
                <w:b/>
                <w:bCs/>
                <w:color w:val="000000"/>
                <w:kern w:val="0"/>
                <w:sz w:val="20"/>
              </w:rPr>
            </w:pPr>
            <w:r w:rsidRPr="00493E2C">
              <w:rPr>
                <w:rFonts w:ascii="宋体" w:hAnsi="宋体" w:cs="宋体"/>
                <w:b/>
                <w:bCs/>
                <w:color w:val="000000"/>
                <w:kern w:val="0"/>
                <w:sz w:val="20"/>
              </w:rPr>
              <w:t xml:space="preserve">     -751 </w:t>
            </w:r>
          </w:p>
        </w:tc>
      </w:tr>
      <w:tr w:rsidR="00F00C10" w:rsidRPr="00493E2C" w:rsidTr="00544E57">
        <w:trPr>
          <w:trHeight w:val="270"/>
        </w:trPr>
        <w:tc>
          <w:tcPr>
            <w:tcW w:w="3544" w:type="dxa"/>
            <w:shd w:val="clear" w:color="auto" w:fill="auto"/>
            <w:noWrap/>
            <w:vAlign w:val="center"/>
            <w:hideMark/>
          </w:tcPr>
          <w:p w:rsidR="00F00C10" w:rsidRPr="00493E2C" w:rsidRDefault="00F00C10" w:rsidP="008C71F5">
            <w:pPr>
              <w:widowControl/>
              <w:jc w:val="center"/>
              <w:rPr>
                <w:rFonts w:ascii="宋体" w:hAnsi="宋体" w:cs="宋体"/>
                <w:b/>
                <w:bCs/>
                <w:color w:val="000000"/>
                <w:kern w:val="0"/>
                <w:sz w:val="20"/>
              </w:rPr>
            </w:pPr>
            <w:r w:rsidRPr="00493E2C">
              <w:rPr>
                <w:rFonts w:ascii="宋体" w:hAnsi="宋体" w:cs="宋体" w:hint="eastAsia"/>
                <w:b/>
                <w:bCs/>
                <w:color w:val="000000"/>
                <w:kern w:val="0"/>
                <w:sz w:val="20"/>
              </w:rPr>
              <w:t>合计</w:t>
            </w:r>
          </w:p>
        </w:tc>
        <w:tc>
          <w:tcPr>
            <w:tcW w:w="2268"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 xml:space="preserve">　</w:t>
            </w:r>
          </w:p>
        </w:tc>
        <w:tc>
          <w:tcPr>
            <w:tcW w:w="1134" w:type="dxa"/>
            <w:shd w:val="clear" w:color="auto" w:fill="auto"/>
            <w:noWrap/>
            <w:hideMark/>
          </w:tcPr>
          <w:p w:rsidR="00F00C10" w:rsidRPr="00493E2C" w:rsidRDefault="00F00C10" w:rsidP="008C71F5">
            <w:pPr>
              <w:widowControl/>
              <w:jc w:val="left"/>
              <w:rPr>
                <w:rFonts w:ascii="宋体" w:hAnsi="宋体" w:cs="宋体"/>
                <w:color w:val="000000"/>
                <w:kern w:val="0"/>
                <w:sz w:val="20"/>
              </w:rPr>
            </w:pPr>
            <w:r w:rsidRPr="00493E2C">
              <w:rPr>
                <w:rFonts w:ascii="宋体" w:hAnsi="宋体" w:cs="宋体" w:hint="eastAsia"/>
                <w:color w:val="000000"/>
                <w:kern w:val="0"/>
                <w:sz w:val="20"/>
              </w:rPr>
              <w:t xml:space="preserve">　</w:t>
            </w:r>
          </w:p>
        </w:tc>
        <w:tc>
          <w:tcPr>
            <w:tcW w:w="1418" w:type="dxa"/>
            <w:shd w:val="clear" w:color="auto" w:fill="auto"/>
            <w:noWrap/>
            <w:hideMark/>
          </w:tcPr>
          <w:p w:rsidR="00F00C10" w:rsidRPr="00493E2C" w:rsidRDefault="00F00C10" w:rsidP="008C71F5">
            <w:pPr>
              <w:widowControl/>
              <w:jc w:val="right"/>
              <w:rPr>
                <w:rFonts w:ascii="宋体" w:hAnsi="宋体" w:cs="宋体"/>
                <w:b/>
                <w:bCs/>
                <w:color w:val="000000"/>
                <w:kern w:val="0"/>
                <w:sz w:val="20"/>
              </w:rPr>
            </w:pPr>
            <w:r w:rsidRPr="00493E2C">
              <w:rPr>
                <w:rFonts w:ascii="宋体" w:hAnsi="宋体" w:cs="宋体"/>
                <w:b/>
                <w:bCs/>
                <w:color w:val="000000"/>
                <w:kern w:val="0"/>
                <w:sz w:val="20"/>
              </w:rPr>
              <w:t xml:space="preserve">   -6,868 </w:t>
            </w:r>
          </w:p>
        </w:tc>
      </w:tr>
    </w:tbl>
    <w:p w:rsidR="008C71F5" w:rsidRDefault="008C71F5" w:rsidP="00F00C10">
      <w:pPr>
        <w:spacing w:line="360" w:lineRule="auto"/>
        <w:ind w:firstLineChars="200" w:firstLine="480"/>
        <w:rPr>
          <w:rFonts w:ascii="宋体" w:hAnsi="宋体"/>
          <w:sz w:val="24"/>
        </w:rPr>
      </w:pPr>
    </w:p>
    <w:p w:rsidR="00F00C10" w:rsidRPr="00493E2C" w:rsidRDefault="00F00C10" w:rsidP="00F00C10">
      <w:pPr>
        <w:spacing w:line="360" w:lineRule="auto"/>
        <w:ind w:firstLineChars="200" w:firstLine="480"/>
        <w:rPr>
          <w:rFonts w:ascii="宋体" w:hAnsi="宋体"/>
          <w:sz w:val="24"/>
        </w:rPr>
      </w:pPr>
      <w:r w:rsidRPr="00493E2C">
        <w:rPr>
          <w:rFonts w:ascii="宋体" w:hAnsi="宋体" w:hint="eastAsia"/>
          <w:sz w:val="24"/>
        </w:rPr>
        <w:t>3、说明公司是否存在已确定报告期大幅亏损的情况下，有意进行“业绩洗澡”的情况</w:t>
      </w:r>
      <w:r>
        <w:rPr>
          <w:rFonts w:ascii="宋体" w:hAnsi="宋体" w:hint="eastAsia"/>
          <w:sz w:val="24"/>
        </w:rPr>
        <w:t>？</w:t>
      </w:r>
    </w:p>
    <w:p w:rsidR="00F00C10" w:rsidRDefault="00F00C10" w:rsidP="00F00C10">
      <w:pPr>
        <w:spacing w:line="360" w:lineRule="auto"/>
        <w:ind w:firstLineChars="200" w:firstLine="480"/>
        <w:rPr>
          <w:rFonts w:ascii="宋体" w:hAnsi="宋体"/>
          <w:sz w:val="24"/>
        </w:rPr>
      </w:pPr>
      <w:r>
        <w:rPr>
          <w:rFonts w:ascii="宋体" w:hAnsi="宋体" w:hint="eastAsia"/>
          <w:sz w:val="24"/>
        </w:rPr>
        <w:t>公司首次预告</w:t>
      </w:r>
      <w:r w:rsidRPr="00493104">
        <w:rPr>
          <w:rFonts w:ascii="宋体" w:hAnsi="宋体" w:hint="eastAsia"/>
          <w:sz w:val="24"/>
        </w:rPr>
        <w:t>2018年归属于上市公司股东的净利润为4,200万元至7,200万元</w:t>
      </w:r>
      <w:r>
        <w:rPr>
          <w:rFonts w:ascii="宋体" w:hAnsi="宋体" w:hint="eastAsia"/>
          <w:sz w:val="24"/>
        </w:rPr>
        <w:t>。</w:t>
      </w:r>
    </w:p>
    <w:p w:rsidR="00F00C10" w:rsidRDefault="00F00C10" w:rsidP="00F00C10">
      <w:pPr>
        <w:spacing w:line="360" w:lineRule="auto"/>
        <w:ind w:firstLineChars="200" w:firstLine="480"/>
        <w:rPr>
          <w:rFonts w:ascii="宋体" w:hAnsi="宋体"/>
          <w:sz w:val="24"/>
        </w:rPr>
      </w:pPr>
      <w:r w:rsidRPr="008A4F06">
        <w:rPr>
          <w:rFonts w:ascii="宋体" w:hAnsi="宋体" w:hint="eastAsia"/>
          <w:sz w:val="24"/>
        </w:rPr>
        <w:t>公司全资子公司响水</w:t>
      </w:r>
      <w:proofErr w:type="gramStart"/>
      <w:r w:rsidRPr="008A4F06">
        <w:rPr>
          <w:rFonts w:ascii="宋体" w:hAnsi="宋体" w:hint="eastAsia"/>
          <w:sz w:val="24"/>
        </w:rPr>
        <w:t>恒</w:t>
      </w:r>
      <w:proofErr w:type="gramEnd"/>
      <w:r w:rsidRPr="008A4F06">
        <w:rPr>
          <w:rFonts w:ascii="宋体" w:hAnsi="宋体" w:hint="eastAsia"/>
          <w:sz w:val="24"/>
        </w:rPr>
        <w:t>利达受所处园区排查整治环保问题的影响，停产整改时间较长,</w:t>
      </w:r>
      <w:r>
        <w:rPr>
          <w:rFonts w:ascii="宋体" w:hAnsi="宋体" w:hint="eastAsia"/>
          <w:sz w:val="24"/>
        </w:rPr>
        <w:t>利润与去年同期相比</w:t>
      </w:r>
      <w:r w:rsidRPr="008A4F06">
        <w:rPr>
          <w:rFonts w:ascii="宋体" w:hAnsi="宋体" w:hint="eastAsia"/>
          <w:sz w:val="24"/>
        </w:rPr>
        <w:t>出现大幅下滑</w:t>
      </w:r>
      <w:r>
        <w:rPr>
          <w:rFonts w:ascii="宋体" w:hAnsi="宋体" w:hint="eastAsia"/>
          <w:sz w:val="24"/>
        </w:rPr>
        <w:t>，</w:t>
      </w:r>
      <w:r w:rsidRPr="008C71F5">
        <w:rPr>
          <w:rFonts w:ascii="宋体" w:hAnsi="宋体" w:hint="eastAsia"/>
          <w:sz w:val="24"/>
        </w:rPr>
        <w:t>下降金额为1.3亿元。</w:t>
      </w:r>
      <w:r>
        <w:rPr>
          <w:rFonts w:ascii="宋体" w:hAnsi="宋体" w:hint="eastAsia"/>
          <w:sz w:val="24"/>
        </w:rPr>
        <w:t>响水</w:t>
      </w:r>
      <w:proofErr w:type="gramStart"/>
      <w:r>
        <w:rPr>
          <w:rFonts w:ascii="宋体" w:hAnsi="宋体" w:hint="eastAsia"/>
          <w:sz w:val="24"/>
        </w:rPr>
        <w:t>恒</w:t>
      </w:r>
      <w:proofErr w:type="gramEnd"/>
      <w:r>
        <w:rPr>
          <w:rFonts w:ascii="宋体" w:hAnsi="宋体" w:hint="eastAsia"/>
          <w:sz w:val="24"/>
        </w:rPr>
        <w:t>利达</w:t>
      </w:r>
      <w:r w:rsidRPr="008A4F06">
        <w:rPr>
          <w:rFonts w:ascii="宋体" w:hAnsi="宋体" w:hint="eastAsia"/>
          <w:sz w:val="24"/>
        </w:rPr>
        <w:t>经过整改，于2018年12月28日取得了响水县人民政府出具的《复产通知》，确认响水</w:t>
      </w:r>
      <w:proofErr w:type="gramStart"/>
      <w:r w:rsidRPr="008A4F06">
        <w:rPr>
          <w:rFonts w:ascii="宋体" w:hAnsi="宋体" w:hint="eastAsia"/>
          <w:sz w:val="24"/>
        </w:rPr>
        <w:t>恒</w:t>
      </w:r>
      <w:proofErr w:type="gramEnd"/>
      <w:r w:rsidRPr="008A4F06">
        <w:rPr>
          <w:rFonts w:ascii="宋体" w:hAnsi="宋体" w:hint="eastAsia"/>
          <w:sz w:val="24"/>
        </w:rPr>
        <w:t>利达具备复产条件，同意响水</w:t>
      </w:r>
      <w:proofErr w:type="gramStart"/>
      <w:r w:rsidRPr="008A4F06">
        <w:rPr>
          <w:rFonts w:ascii="宋体" w:hAnsi="宋体" w:hint="eastAsia"/>
          <w:sz w:val="24"/>
        </w:rPr>
        <w:t>恒</w:t>
      </w:r>
      <w:proofErr w:type="gramEnd"/>
      <w:r w:rsidRPr="008A4F06">
        <w:rPr>
          <w:rFonts w:ascii="宋体" w:hAnsi="宋体" w:hint="eastAsia"/>
          <w:sz w:val="24"/>
        </w:rPr>
        <w:t>利达组织复产。</w:t>
      </w:r>
      <w:r>
        <w:rPr>
          <w:rFonts w:ascii="宋体" w:hAnsi="宋体" w:hint="eastAsia"/>
          <w:sz w:val="24"/>
        </w:rPr>
        <w:t>根据评估机构初步测算，</w:t>
      </w:r>
      <w:r w:rsidRPr="008A4F06">
        <w:rPr>
          <w:rFonts w:ascii="宋体" w:hAnsi="宋体" w:hint="eastAsia"/>
          <w:sz w:val="24"/>
        </w:rPr>
        <w:t>拟计提商誉减值准备约7,500万元至10,500万元</w:t>
      </w:r>
      <w:r>
        <w:rPr>
          <w:rFonts w:ascii="宋体" w:hAnsi="宋体" w:hint="eastAsia"/>
          <w:sz w:val="24"/>
        </w:rPr>
        <w:t>。</w:t>
      </w:r>
    </w:p>
    <w:p w:rsidR="00F00C10" w:rsidRDefault="00F00C10" w:rsidP="00F00C10">
      <w:pPr>
        <w:spacing w:line="360" w:lineRule="auto"/>
        <w:ind w:firstLineChars="200" w:firstLine="480"/>
        <w:rPr>
          <w:rFonts w:ascii="宋体" w:hAnsi="宋体"/>
          <w:sz w:val="24"/>
        </w:rPr>
      </w:pPr>
      <w:r>
        <w:rPr>
          <w:rFonts w:ascii="宋体" w:hAnsi="宋体" w:hint="eastAsia"/>
          <w:sz w:val="24"/>
        </w:rPr>
        <w:t>截至预告之日公司已在所有重大方面充分考虑上述事项影响及医药、房产各板块的实际经营情况</w:t>
      </w:r>
      <w:r w:rsidRPr="003E77C4">
        <w:rPr>
          <w:rFonts w:ascii="宋体" w:hAnsi="宋体" w:hint="eastAsia"/>
          <w:sz w:val="24"/>
        </w:rPr>
        <w:t>。</w:t>
      </w:r>
    </w:p>
    <w:p w:rsidR="00F00C10" w:rsidRDefault="00F00C10" w:rsidP="00F00C10">
      <w:pPr>
        <w:spacing w:line="360" w:lineRule="auto"/>
        <w:ind w:firstLineChars="200" w:firstLine="480"/>
        <w:rPr>
          <w:rFonts w:ascii="宋体" w:hAnsi="宋体"/>
          <w:sz w:val="24"/>
        </w:rPr>
      </w:pPr>
      <w:r>
        <w:rPr>
          <w:rFonts w:ascii="宋体" w:hAnsi="宋体" w:hint="eastAsia"/>
          <w:sz w:val="24"/>
        </w:rPr>
        <w:t>因恒利达所在园区2019年3月21日发生爆炸事故，</w:t>
      </w:r>
      <w:r w:rsidRPr="00493104">
        <w:rPr>
          <w:rFonts w:ascii="宋体" w:hAnsi="宋体" w:hint="eastAsia"/>
          <w:sz w:val="24"/>
        </w:rPr>
        <w:t>2019年4月5日，媒</w:t>
      </w:r>
      <w:r w:rsidRPr="00493104">
        <w:rPr>
          <w:rFonts w:ascii="宋体" w:hAnsi="宋体" w:hint="eastAsia"/>
          <w:sz w:val="24"/>
        </w:rPr>
        <w:lastRenderedPageBreak/>
        <w:t>体发布消息盐城市决定关闭响水化工园区。商誉减值测试</w:t>
      </w:r>
      <w:r>
        <w:rPr>
          <w:rFonts w:ascii="宋体" w:hAnsi="宋体" w:hint="eastAsia"/>
          <w:sz w:val="24"/>
        </w:rPr>
        <w:t>评估假设</w:t>
      </w:r>
      <w:r w:rsidRPr="00493104">
        <w:rPr>
          <w:rFonts w:ascii="宋体" w:hAnsi="宋体" w:hint="eastAsia"/>
          <w:sz w:val="24"/>
        </w:rPr>
        <w:t>发生重大变化，无法再使用收益法对商誉相关资产组进行评估，而采用公允价值减处置费用的方法进行评估，商誉减值大幅增加</w:t>
      </w:r>
      <w:r>
        <w:rPr>
          <w:rFonts w:ascii="宋体" w:hAnsi="宋体" w:hint="eastAsia"/>
          <w:sz w:val="24"/>
        </w:rPr>
        <w:t>至约3.67亿元</w:t>
      </w:r>
      <w:r w:rsidRPr="00493104">
        <w:rPr>
          <w:rFonts w:ascii="宋体" w:hAnsi="宋体" w:hint="eastAsia"/>
          <w:sz w:val="24"/>
        </w:rPr>
        <w:t>。</w:t>
      </w:r>
    </w:p>
    <w:p w:rsidR="00F00C10" w:rsidRPr="00493E2C" w:rsidRDefault="00F00C10" w:rsidP="00F00C10">
      <w:pPr>
        <w:spacing w:line="360" w:lineRule="auto"/>
        <w:ind w:firstLineChars="200" w:firstLine="480"/>
        <w:rPr>
          <w:rFonts w:ascii="宋体" w:hAnsi="宋体"/>
          <w:sz w:val="24"/>
        </w:rPr>
      </w:pPr>
      <w:r>
        <w:rPr>
          <w:rFonts w:ascii="宋体" w:hAnsi="宋体" w:hint="eastAsia"/>
          <w:sz w:val="24"/>
        </w:rPr>
        <w:t>公司在“一、2、”中对业绩补偿、商誉减值、研发支出及递延所得税资产的调整，均是根据首次预告日后至年度报告日前相关事项</w:t>
      </w:r>
      <w:r w:rsidRPr="00493E2C">
        <w:rPr>
          <w:rFonts w:ascii="宋体" w:hAnsi="宋体" w:hint="eastAsia"/>
          <w:sz w:val="24"/>
        </w:rPr>
        <w:t>实际</w:t>
      </w:r>
      <w:r>
        <w:rPr>
          <w:rFonts w:ascii="宋体" w:hAnsi="宋体" w:hint="eastAsia"/>
          <w:sz w:val="24"/>
        </w:rPr>
        <w:t>发展变化</w:t>
      </w:r>
      <w:r w:rsidRPr="00493E2C">
        <w:rPr>
          <w:rFonts w:ascii="宋体" w:hAnsi="宋体" w:hint="eastAsia"/>
          <w:sz w:val="24"/>
        </w:rPr>
        <w:t>情况</w:t>
      </w:r>
      <w:r>
        <w:rPr>
          <w:rFonts w:ascii="宋体" w:hAnsi="宋体" w:hint="eastAsia"/>
          <w:sz w:val="24"/>
        </w:rPr>
        <w:t>，</w:t>
      </w:r>
      <w:r w:rsidRPr="00493E2C">
        <w:rPr>
          <w:rFonts w:ascii="宋体" w:hAnsi="宋体" w:hint="eastAsia"/>
          <w:sz w:val="24"/>
        </w:rPr>
        <w:t>严格按照企业会计准则进行会计处理，并与年审会计师进行密切沟通，不存在有意进行“业绩洗澡”的情况。</w:t>
      </w:r>
    </w:p>
    <w:p w:rsidR="00F00C10" w:rsidRPr="00493E2C" w:rsidRDefault="00F00C10" w:rsidP="00F00C10">
      <w:pPr>
        <w:spacing w:line="360" w:lineRule="auto"/>
        <w:ind w:firstLineChars="200" w:firstLine="482"/>
        <w:rPr>
          <w:rFonts w:ascii="宋体" w:hAnsi="宋体"/>
          <w:b/>
          <w:sz w:val="24"/>
        </w:rPr>
      </w:pPr>
      <w:r w:rsidRPr="00493E2C">
        <w:rPr>
          <w:rFonts w:ascii="宋体" w:hAnsi="宋体" w:hint="eastAsia"/>
          <w:b/>
          <w:sz w:val="24"/>
        </w:rPr>
        <w:t>会计师核查程序及结论：</w:t>
      </w:r>
    </w:p>
    <w:p w:rsidR="00F00C10" w:rsidRPr="00BF4B3A" w:rsidRDefault="00F00C10" w:rsidP="00F00C10">
      <w:pPr>
        <w:spacing w:line="360" w:lineRule="auto"/>
        <w:ind w:firstLineChars="200" w:firstLine="480"/>
        <w:rPr>
          <w:rFonts w:ascii="宋体" w:hAnsi="宋体"/>
          <w:sz w:val="24"/>
        </w:rPr>
      </w:pPr>
      <w:r w:rsidRPr="004D5CD1">
        <w:rPr>
          <w:rFonts w:ascii="宋体" w:hAnsi="宋体" w:hint="eastAsia"/>
          <w:sz w:val="24"/>
        </w:rPr>
        <w:t>我们在对江苏吴中2018</w:t>
      </w:r>
      <w:r w:rsidRPr="005F4824">
        <w:rPr>
          <w:rFonts w:ascii="宋体" w:hAnsi="宋体" w:hint="eastAsia"/>
          <w:sz w:val="24"/>
        </w:rPr>
        <w:t>年度财务报表的审计过程中已经充分关注上述事项，对业绩补偿执行了以下审计程序：</w:t>
      </w:r>
    </w:p>
    <w:p w:rsidR="00F00C10" w:rsidRPr="00597961" w:rsidRDefault="00F00C10" w:rsidP="00F00C10">
      <w:pPr>
        <w:spacing w:line="360" w:lineRule="auto"/>
        <w:ind w:firstLineChars="200" w:firstLine="480"/>
        <w:rPr>
          <w:rFonts w:ascii="宋体" w:hAnsi="宋体"/>
          <w:sz w:val="24"/>
        </w:rPr>
      </w:pPr>
      <w:r w:rsidRPr="00597961">
        <w:rPr>
          <w:rFonts w:ascii="宋体" w:hAnsi="宋体" w:hint="eastAsia"/>
          <w:sz w:val="24"/>
        </w:rPr>
        <w:t>（1）查阅业绩补偿相关协议及关键条款；</w:t>
      </w:r>
    </w:p>
    <w:p w:rsidR="00F00C10" w:rsidRPr="00134A43" w:rsidRDefault="00F00C10" w:rsidP="00F00C10">
      <w:pPr>
        <w:spacing w:line="360" w:lineRule="auto"/>
        <w:ind w:firstLineChars="200" w:firstLine="480"/>
        <w:rPr>
          <w:rFonts w:ascii="宋体" w:hAnsi="宋体"/>
          <w:sz w:val="24"/>
        </w:rPr>
      </w:pPr>
      <w:r w:rsidRPr="00E47C0C">
        <w:rPr>
          <w:rFonts w:ascii="宋体" w:hAnsi="宋体" w:hint="eastAsia"/>
          <w:sz w:val="24"/>
        </w:rPr>
        <w:t>（</w:t>
      </w:r>
      <w:r w:rsidRPr="00426630">
        <w:rPr>
          <w:rFonts w:ascii="宋体" w:hAnsi="宋体" w:hint="eastAsia"/>
          <w:sz w:val="24"/>
        </w:rPr>
        <w:t>2</w:t>
      </w:r>
      <w:r w:rsidRPr="00433C93">
        <w:rPr>
          <w:rFonts w:ascii="宋体" w:hAnsi="宋体" w:hint="eastAsia"/>
          <w:sz w:val="24"/>
        </w:rPr>
        <w:t>）</w:t>
      </w:r>
      <w:r w:rsidRPr="00E25603">
        <w:rPr>
          <w:rFonts w:ascii="宋体" w:hAnsi="宋体" w:hint="eastAsia"/>
          <w:sz w:val="24"/>
        </w:rPr>
        <w:t>审计业绩承诺完成情况，并出具专项审核报告；</w:t>
      </w:r>
    </w:p>
    <w:p w:rsidR="00F00C10" w:rsidRPr="007B379A" w:rsidRDefault="00F00C10" w:rsidP="00F00C10">
      <w:pPr>
        <w:spacing w:line="360" w:lineRule="auto"/>
        <w:ind w:firstLineChars="200" w:firstLine="480"/>
        <w:rPr>
          <w:rFonts w:ascii="宋体" w:hAnsi="宋体"/>
          <w:sz w:val="24"/>
        </w:rPr>
      </w:pPr>
      <w:r w:rsidRPr="009351F3">
        <w:rPr>
          <w:rFonts w:ascii="宋体" w:hAnsi="宋体" w:hint="eastAsia"/>
          <w:sz w:val="24"/>
        </w:rPr>
        <w:t>（3）跟踪业绩补偿协议签订情况，确认业绩补偿的收取是否存在重大不确定性</w:t>
      </w:r>
      <w:r>
        <w:rPr>
          <w:rFonts w:ascii="宋体" w:hAnsi="宋体" w:hint="eastAsia"/>
          <w:sz w:val="24"/>
        </w:rPr>
        <w:t>；</w:t>
      </w:r>
    </w:p>
    <w:p w:rsidR="00F00C10" w:rsidRPr="00493E2C" w:rsidRDefault="00F00C10" w:rsidP="00F00C10">
      <w:pPr>
        <w:spacing w:line="360" w:lineRule="auto"/>
        <w:ind w:firstLineChars="200" w:firstLine="480"/>
        <w:rPr>
          <w:rFonts w:ascii="宋体" w:hAnsi="宋体"/>
          <w:sz w:val="24"/>
        </w:rPr>
      </w:pPr>
      <w:r w:rsidRPr="007B379A">
        <w:rPr>
          <w:rFonts w:ascii="宋体" w:hAnsi="宋体" w:hint="eastAsia"/>
          <w:sz w:val="24"/>
        </w:rPr>
        <w:t>对研发支出执行了以下审计程序：</w:t>
      </w:r>
    </w:p>
    <w:p w:rsidR="00F00C10" w:rsidRPr="00493E2C" w:rsidRDefault="00F00C10" w:rsidP="00F00C10">
      <w:pPr>
        <w:spacing w:line="360" w:lineRule="auto"/>
        <w:ind w:firstLineChars="200" w:firstLine="480"/>
        <w:rPr>
          <w:rFonts w:ascii="宋体" w:hAnsi="宋体"/>
          <w:sz w:val="24"/>
        </w:rPr>
      </w:pPr>
      <w:r w:rsidRPr="00493E2C">
        <w:rPr>
          <w:rFonts w:ascii="宋体" w:hAnsi="宋体" w:hint="eastAsia"/>
          <w:sz w:val="24"/>
        </w:rPr>
        <w:t>（1）了解、评估和测试公司关于研发支出的内部控制；</w:t>
      </w:r>
    </w:p>
    <w:p w:rsidR="00F00C10" w:rsidRPr="00493E2C" w:rsidRDefault="00F00C10" w:rsidP="00F00C10">
      <w:pPr>
        <w:spacing w:line="360" w:lineRule="auto"/>
        <w:ind w:firstLineChars="200" w:firstLine="480"/>
        <w:rPr>
          <w:rFonts w:ascii="宋体" w:hAnsi="宋体"/>
          <w:sz w:val="24"/>
        </w:rPr>
      </w:pPr>
      <w:r w:rsidRPr="00493E2C">
        <w:rPr>
          <w:rFonts w:ascii="宋体" w:hAnsi="宋体" w:hint="eastAsia"/>
          <w:sz w:val="24"/>
        </w:rPr>
        <w:t>（2）对研发支出资本化和费用化的时点、金额是否符合会计准则进行检查和确认；</w:t>
      </w:r>
    </w:p>
    <w:p w:rsidR="00F00C10" w:rsidRPr="00493E2C" w:rsidRDefault="00F00C10" w:rsidP="00F00C10">
      <w:pPr>
        <w:spacing w:line="360" w:lineRule="auto"/>
        <w:ind w:firstLineChars="200" w:firstLine="480"/>
        <w:rPr>
          <w:rFonts w:ascii="宋体" w:hAnsi="宋体"/>
          <w:sz w:val="24"/>
        </w:rPr>
      </w:pPr>
      <w:r w:rsidRPr="00493E2C">
        <w:rPr>
          <w:rFonts w:ascii="宋体" w:hAnsi="宋体" w:hint="eastAsia"/>
          <w:sz w:val="24"/>
        </w:rPr>
        <w:t>（3）检查递延收益与研发项目的相关性；</w:t>
      </w:r>
    </w:p>
    <w:p w:rsidR="00F00C10" w:rsidRPr="00493E2C" w:rsidRDefault="00F00C10" w:rsidP="00F00C10">
      <w:pPr>
        <w:spacing w:line="360" w:lineRule="auto"/>
        <w:ind w:firstLineChars="200" w:firstLine="480"/>
        <w:rPr>
          <w:rFonts w:ascii="宋体" w:hAnsi="宋体"/>
          <w:sz w:val="24"/>
        </w:rPr>
      </w:pPr>
      <w:r w:rsidRPr="00493E2C">
        <w:rPr>
          <w:rFonts w:ascii="宋体" w:hAnsi="宋体" w:hint="eastAsia"/>
          <w:sz w:val="24"/>
        </w:rPr>
        <w:t>对递延所得税资产执行了以下审计程序：</w:t>
      </w:r>
    </w:p>
    <w:p w:rsidR="00F00C10" w:rsidRPr="00493E2C" w:rsidRDefault="00F00C10" w:rsidP="00F00C10">
      <w:pPr>
        <w:spacing w:line="360" w:lineRule="auto"/>
        <w:ind w:firstLineChars="200" w:firstLine="480"/>
        <w:rPr>
          <w:rFonts w:ascii="宋体" w:hAnsi="宋体"/>
          <w:sz w:val="24"/>
        </w:rPr>
      </w:pPr>
      <w:r w:rsidRPr="00493E2C">
        <w:rPr>
          <w:rFonts w:ascii="宋体" w:hAnsi="宋体" w:hint="eastAsia"/>
          <w:sz w:val="24"/>
        </w:rPr>
        <w:t>（1）检查核对递延所得税资产与各项减值准备、未弥补亏损等的勾</w:t>
      </w:r>
      <w:proofErr w:type="gramStart"/>
      <w:r w:rsidRPr="00493E2C">
        <w:rPr>
          <w:rFonts w:ascii="宋体" w:hAnsi="宋体" w:hint="eastAsia"/>
          <w:sz w:val="24"/>
        </w:rPr>
        <w:t>稽</w:t>
      </w:r>
      <w:proofErr w:type="gramEnd"/>
      <w:r w:rsidRPr="00493E2C">
        <w:rPr>
          <w:rFonts w:ascii="宋体" w:hAnsi="宋体" w:hint="eastAsia"/>
          <w:sz w:val="24"/>
        </w:rPr>
        <w:t>关系</w:t>
      </w:r>
      <w:r>
        <w:rPr>
          <w:rFonts w:ascii="宋体" w:hAnsi="宋体" w:hint="eastAsia"/>
          <w:sz w:val="24"/>
        </w:rPr>
        <w:t>；</w:t>
      </w:r>
    </w:p>
    <w:p w:rsidR="00F00C10" w:rsidRPr="00493E2C" w:rsidRDefault="00F00C10" w:rsidP="00F00C10">
      <w:pPr>
        <w:spacing w:line="360" w:lineRule="auto"/>
        <w:ind w:firstLineChars="200" w:firstLine="480"/>
        <w:rPr>
          <w:rFonts w:ascii="宋体" w:hAnsi="宋体"/>
          <w:sz w:val="24"/>
        </w:rPr>
      </w:pPr>
      <w:r w:rsidRPr="00493E2C">
        <w:rPr>
          <w:rFonts w:ascii="宋体" w:hAnsi="宋体" w:hint="eastAsia"/>
          <w:sz w:val="24"/>
        </w:rPr>
        <w:t>（2）获取公司的盈利情况分析，确认其未来是否有足够利润用于税前弥补亏损及税前扣除。</w:t>
      </w:r>
    </w:p>
    <w:p w:rsidR="00D0185C" w:rsidRDefault="00F00C10" w:rsidP="00F00C10">
      <w:pPr>
        <w:spacing w:line="360" w:lineRule="auto"/>
        <w:ind w:firstLineChars="200" w:firstLine="480"/>
        <w:rPr>
          <w:rFonts w:ascii="宋体" w:hAnsi="宋体"/>
          <w:sz w:val="24"/>
        </w:rPr>
      </w:pPr>
      <w:r w:rsidRPr="00493E2C">
        <w:rPr>
          <w:rFonts w:ascii="宋体" w:hAnsi="宋体" w:hint="eastAsia"/>
          <w:sz w:val="24"/>
        </w:rPr>
        <w:t>通过执行以上审计程序，我们没有发现上述说明中与财务报告相关的信息与我们在审计过程中获取的相关资料在所有重大方面存在不一致之处。公司基于资产负债表日及资产负债表日后事项对以上事项的会计处理在重大方面符合企业会计准则的规定。</w:t>
      </w:r>
    </w:p>
    <w:p w:rsidR="005824D9" w:rsidRDefault="005824D9" w:rsidP="00F00C10">
      <w:pPr>
        <w:spacing w:line="360" w:lineRule="auto"/>
        <w:ind w:firstLineChars="200" w:firstLine="480"/>
        <w:rPr>
          <w:rFonts w:asciiTheme="minorEastAsia" w:eastAsiaTheme="minorEastAsia" w:hAnsiTheme="minorEastAsia"/>
          <w:sz w:val="24"/>
        </w:rPr>
      </w:pPr>
    </w:p>
    <w:p w:rsidR="008C71F5" w:rsidRPr="00D0185C" w:rsidRDefault="008C71F5" w:rsidP="00F00C10">
      <w:pPr>
        <w:spacing w:line="360" w:lineRule="auto"/>
        <w:ind w:firstLineChars="200" w:firstLine="480"/>
        <w:rPr>
          <w:rFonts w:asciiTheme="minorEastAsia" w:eastAsiaTheme="minorEastAsia" w:hAnsiTheme="minorEastAsia"/>
          <w:sz w:val="24"/>
        </w:rPr>
      </w:pPr>
    </w:p>
    <w:p w:rsidR="0052077F" w:rsidRPr="00010EAD" w:rsidRDefault="00BC3268" w:rsidP="00010EAD">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lastRenderedPageBreak/>
        <w:t>二、</w:t>
      </w:r>
      <w:r w:rsidR="0052077F" w:rsidRPr="00010EAD">
        <w:rPr>
          <w:rFonts w:asciiTheme="minorEastAsia" w:eastAsiaTheme="minorEastAsia" w:hAnsiTheme="minorEastAsia" w:hint="eastAsia"/>
          <w:b/>
          <w:sz w:val="24"/>
        </w:rPr>
        <w:t>年报披露，公司2018年各季度营业收入分别为5.6亿元、4.2亿元、4.1亿元、3.0亿元，各季度归属于上市公司股东的净利润分别为2094万元、6362万元、3057万元、-4.0亿元；各季度经营活动现金流量净额分别为9218万元、1.52亿元、-6942万元、1.59亿元。请公司结合具体业务模式、季节性特征、结算方式，包括但不限于下属子公司停产等因素，补充披露：（1）分析并解释各季度净利润波动与营业收入的变化趋势存在不匹配的原因及合理性；（2）分析并解释各季度经营活动现金流波动与营业收入的变化趋势存在不匹配的原因及合理性；（3）说明是否存在集中第四季度调账而导致财务数据异常变化的情形。</w:t>
      </w:r>
    </w:p>
    <w:p w:rsidR="00EF4065" w:rsidRDefault="005824D9" w:rsidP="00EF4065">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公司</w:t>
      </w:r>
      <w:r w:rsidR="00EF4065">
        <w:rPr>
          <w:rFonts w:asciiTheme="minorEastAsia" w:eastAsiaTheme="minorEastAsia" w:hAnsiTheme="minorEastAsia" w:hint="eastAsia"/>
          <w:b/>
          <w:sz w:val="24"/>
        </w:rPr>
        <w:t>回复：</w:t>
      </w:r>
    </w:p>
    <w:p w:rsidR="00C00BCE" w:rsidRDefault="00C00BCE" w:rsidP="00C00BCE">
      <w:pPr>
        <w:spacing w:line="360" w:lineRule="auto"/>
        <w:ind w:firstLineChars="200" w:firstLine="480"/>
        <w:rPr>
          <w:rStyle w:val="afont1"/>
          <w:rFonts w:ascii="宋体" w:hAnsi="宋体"/>
          <w:sz w:val="24"/>
        </w:rPr>
      </w:pPr>
      <w:r w:rsidRPr="005F4824">
        <w:rPr>
          <w:rStyle w:val="afont1"/>
          <w:rFonts w:ascii="宋体" w:hAnsi="宋体" w:hint="eastAsia"/>
          <w:sz w:val="24"/>
        </w:rPr>
        <w:t>1、分析并解释各季度净利润波动与营业收入的变化趋势存在不匹配的原因及合理性</w:t>
      </w:r>
      <w:r w:rsidR="005824D9">
        <w:rPr>
          <w:rStyle w:val="afont1"/>
          <w:rFonts w:ascii="宋体" w:hAnsi="宋体" w:hint="eastAsia"/>
          <w:sz w:val="24"/>
        </w:rPr>
        <w:t>。</w:t>
      </w:r>
    </w:p>
    <w:p w:rsidR="00C00BCE" w:rsidRPr="00426630" w:rsidRDefault="00C00BCE" w:rsidP="00C00BCE">
      <w:pPr>
        <w:spacing w:line="360" w:lineRule="auto"/>
        <w:ind w:firstLineChars="200" w:firstLine="480"/>
        <w:rPr>
          <w:rFonts w:ascii="宋体" w:hAnsi="宋体"/>
          <w:sz w:val="24"/>
        </w:rPr>
      </w:pPr>
      <w:r w:rsidRPr="00597961">
        <w:rPr>
          <w:rFonts w:ascii="宋体" w:hAnsi="宋体" w:hint="eastAsia"/>
          <w:sz w:val="24"/>
        </w:rPr>
        <w:t>（</w:t>
      </w:r>
      <w:r w:rsidRPr="00E47C0C">
        <w:rPr>
          <w:rFonts w:ascii="宋体" w:hAnsi="宋体" w:hint="eastAsia"/>
          <w:sz w:val="24"/>
        </w:rPr>
        <w:t>1</w:t>
      </w:r>
      <w:r w:rsidRPr="00FC007F">
        <w:rPr>
          <w:rFonts w:ascii="宋体" w:hAnsi="宋体" w:hint="eastAsia"/>
          <w:sz w:val="24"/>
        </w:rPr>
        <w:t>）2018</w:t>
      </w:r>
      <w:r w:rsidRPr="00426630">
        <w:rPr>
          <w:rFonts w:ascii="宋体" w:hAnsi="宋体" w:hint="eastAsia"/>
          <w:sz w:val="24"/>
        </w:rPr>
        <w:t>年公司各季度相关财务数据列示如下：</w:t>
      </w:r>
    </w:p>
    <w:p w:rsidR="00C00BCE" w:rsidRPr="00134A43" w:rsidRDefault="008C71F5" w:rsidP="008C71F5">
      <w:pPr>
        <w:jc w:val="left"/>
        <w:rPr>
          <w:rFonts w:ascii="宋体" w:hAnsi="宋体"/>
          <w:sz w:val="24"/>
        </w:rPr>
      </w:pPr>
      <w:r w:rsidRPr="009351F3">
        <w:rPr>
          <w:rFonts w:ascii="宋体" w:hAnsi="宋体" w:hint="eastAsia"/>
          <w:sz w:val="24"/>
        </w:rPr>
        <w:t>表2.1</w:t>
      </w:r>
    </w:p>
    <w:p w:rsidR="00C00BCE" w:rsidRPr="009351F3" w:rsidRDefault="008C71F5" w:rsidP="008C71F5">
      <w:pPr>
        <w:ind w:firstLineChars="200" w:firstLine="480"/>
        <w:jc w:val="right"/>
        <w:rPr>
          <w:rFonts w:ascii="宋体" w:hAnsi="宋体"/>
          <w:sz w:val="24"/>
        </w:rPr>
      </w:pPr>
      <w:r w:rsidRPr="00E25603">
        <w:rPr>
          <w:rFonts w:ascii="宋体" w:hAnsi="宋体" w:hint="eastAsia"/>
          <w:sz w:val="24"/>
        </w:rPr>
        <w:t>单位</w:t>
      </w:r>
      <w:r w:rsidRPr="00134A43">
        <w:rPr>
          <w:rFonts w:ascii="宋体" w:hAnsi="宋体" w:hint="eastAsia"/>
          <w:sz w:val="24"/>
        </w:rPr>
        <w:t xml:space="preserve"> ：万元</w:t>
      </w:r>
    </w:p>
    <w:tbl>
      <w:tblPr>
        <w:tblW w:w="5064" w:type="pct"/>
        <w:tblLook w:val="04A0" w:firstRow="1" w:lastRow="0" w:firstColumn="1" w:lastColumn="0" w:noHBand="0" w:noVBand="1"/>
      </w:tblPr>
      <w:tblGrid>
        <w:gridCol w:w="3051"/>
        <w:gridCol w:w="1116"/>
        <w:gridCol w:w="1117"/>
        <w:gridCol w:w="1117"/>
        <w:gridCol w:w="1117"/>
        <w:gridCol w:w="1113"/>
      </w:tblGrid>
      <w:tr w:rsidR="00C00BCE" w:rsidRPr="008C71F5" w:rsidTr="00544E57">
        <w:trPr>
          <w:trHeight w:val="270"/>
        </w:trPr>
        <w:tc>
          <w:tcPr>
            <w:tcW w:w="1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项目</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rsidR="00C00BCE" w:rsidRPr="008C71F5" w:rsidRDefault="00C00BCE" w:rsidP="008C71F5">
            <w:pPr>
              <w:widowControl/>
              <w:jc w:val="center"/>
              <w:rPr>
                <w:rFonts w:asciiTheme="minorEastAsia" w:eastAsiaTheme="minorEastAsia" w:hAnsiTheme="minorEastAsia" w:cs="宋体"/>
                <w:color w:val="000000"/>
                <w:kern w:val="0"/>
                <w:sz w:val="18"/>
                <w:szCs w:val="18"/>
              </w:rPr>
            </w:pPr>
            <w:r w:rsidRPr="008C71F5">
              <w:rPr>
                <w:rFonts w:asciiTheme="minorEastAsia" w:eastAsiaTheme="minorEastAsia" w:hAnsiTheme="minorEastAsia" w:cs="宋体" w:hint="eastAsia"/>
                <w:color w:val="000000"/>
                <w:kern w:val="0"/>
                <w:sz w:val="18"/>
                <w:szCs w:val="18"/>
              </w:rPr>
              <w:t>一季度</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rsidR="00C00BCE" w:rsidRPr="008C71F5" w:rsidRDefault="00C00BCE" w:rsidP="008C71F5">
            <w:pPr>
              <w:widowControl/>
              <w:jc w:val="center"/>
              <w:rPr>
                <w:rFonts w:asciiTheme="minorEastAsia" w:eastAsiaTheme="minorEastAsia" w:hAnsiTheme="minorEastAsia" w:cs="宋体"/>
                <w:color w:val="000000"/>
                <w:kern w:val="0"/>
                <w:sz w:val="18"/>
                <w:szCs w:val="18"/>
              </w:rPr>
            </w:pPr>
            <w:r w:rsidRPr="008C71F5">
              <w:rPr>
                <w:rFonts w:asciiTheme="minorEastAsia" w:eastAsiaTheme="minorEastAsia" w:hAnsiTheme="minorEastAsia" w:cs="宋体" w:hint="eastAsia"/>
                <w:color w:val="000000"/>
                <w:kern w:val="0"/>
                <w:sz w:val="18"/>
                <w:szCs w:val="18"/>
              </w:rPr>
              <w:t>二季度</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rsidR="00C00BCE" w:rsidRPr="008C71F5" w:rsidRDefault="00C00BCE" w:rsidP="008C71F5">
            <w:pPr>
              <w:widowControl/>
              <w:jc w:val="center"/>
              <w:rPr>
                <w:rFonts w:asciiTheme="minorEastAsia" w:eastAsiaTheme="minorEastAsia" w:hAnsiTheme="minorEastAsia" w:cs="宋体"/>
                <w:color w:val="000000"/>
                <w:kern w:val="0"/>
                <w:sz w:val="18"/>
                <w:szCs w:val="18"/>
              </w:rPr>
            </w:pPr>
            <w:r w:rsidRPr="008C71F5">
              <w:rPr>
                <w:rFonts w:asciiTheme="minorEastAsia" w:eastAsiaTheme="minorEastAsia" w:hAnsiTheme="minorEastAsia" w:cs="宋体" w:hint="eastAsia"/>
                <w:color w:val="000000"/>
                <w:kern w:val="0"/>
                <w:sz w:val="18"/>
                <w:szCs w:val="18"/>
              </w:rPr>
              <w:t>三季度</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rsidR="00C00BCE" w:rsidRPr="008C71F5" w:rsidRDefault="00C00BCE" w:rsidP="008C71F5">
            <w:pPr>
              <w:widowControl/>
              <w:jc w:val="center"/>
              <w:rPr>
                <w:rFonts w:asciiTheme="minorEastAsia" w:eastAsiaTheme="minorEastAsia" w:hAnsiTheme="minorEastAsia" w:cs="宋体"/>
                <w:color w:val="000000"/>
                <w:kern w:val="0"/>
                <w:sz w:val="18"/>
                <w:szCs w:val="18"/>
              </w:rPr>
            </w:pPr>
            <w:r w:rsidRPr="008C71F5">
              <w:rPr>
                <w:rFonts w:asciiTheme="minorEastAsia" w:eastAsiaTheme="minorEastAsia" w:hAnsiTheme="minorEastAsia" w:cs="宋体" w:hint="eastAsia"/>
                <w:color w:val="000000"/>
                <w:kern w:val="0"/>
                <w:sz w:val="18"/>
                <w:szCs w:val="18"/>
              </w:rPr>
              <w:t>四季度</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rsidR="00C00BCE" w:rsidRPr="008C71F5" w:rsidRDefault="00C00BCE" w:rsidP="008C71F5">
            <w:pPr>
              <w:widowControl/>
              <w:jc w:val="center"/>
              <w:rPr>
                <w:rFonts w:asciiTheme="minorEastAsia" w:eastAsiaTheme="minorEastAsia" w:hAnsiTheme="minorEastAsia" w:cs="宋体"/>
                <w:color w:val="000000"/>
                <w:kern w:val="0"/>
                <w:sz w:val="18"/>
                <w:szCs w:val="18"/>
              </w:rPr>
            </w:pPr>
            <w:r w:rsidRPr="008C71F5">
              <w:rPr>
                <w:rFonts w:asciiTheme="minorEastAsia" w:eastAsiaTheme="minorEastAsia" w:hAnsiTheme="minorEastAsia" w:cs="宋体" w:hint="eastAsia"/>
                <w:color w:val="000000"/>
                <w:kern w:val="0"/>
                <w:sz w:val="18"/>
                <w:szCs w:val="18"/>
              </w:rPr>
              <w:t>合计</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vAlign w:val="center"/>
            <w:hideMark/>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营业收入</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56,411.55</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42,223.31</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41,189.12</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30,338.78</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170,162.76</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vAlign w:val="center"/>
            <w:hideMark/>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营业成本</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36,924.96</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27,506.36</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26,770.78</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18,614.85</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109,816.95</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毛利</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19,486.59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14,716.95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14,418.34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11,723.93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60,345.81 </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vAlign w:val="center"/>
            <w:hideMark/>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毛利率</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34.54%</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34.86%</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35.01%</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38.64%</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35.46%</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销售费用</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11,487.32</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8,770.31</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10,319.88</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12,268.74</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42,846.25</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管理费用</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3,691.37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3,320.05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3,872.03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5,476.62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16,360.06 </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研发费用</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559.37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281.72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589.05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3,672.70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5102.84</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财务费用</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593.23</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697.73</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1,049.51</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896.92</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3,237.39</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资产减值损失（注1）</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280.13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-434.81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-121.88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37,274.79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36,998.24 </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投资收益</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31.79</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7,296.03</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5,973.72</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11,533.62</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24,835.17</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其中：转让江苏银行股份收益(注2)</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6,741.23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5,522.89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11,264.03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 xml:space="preserve"> 23,528.14 </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营业利润</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sz w:val="18"/>
                <w:szCs w:val="18"/>
              </w:rPr>
              <w:t xml:space="preserve"> 2,417.45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sz w:val="18"/>
                <w:szCs w:val="18"/>
              </w:rPr>
              <w:t xml:space="preserve"> 9,381.85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sz w:val="18"/>
                <w:szCs w:val="18"/>
              </w:rPr>
              <w:t xml:space="preserve"> 4,300.40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sz w:val="18"/>
                <w:szCs w:val="18"/>
              </w:rPr>
              <w:t xml:space="preserve"> -35,143.78 </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sz w:val="18"/>
                <w:szCs w:val="18"/>
              </w:rPr>
              <w:t xml:space="preserve"> -19,044.07 </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营业外收入（注3）</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466.71</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1.31</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233.07</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765.19</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1,466.29</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营业外支出（注4）</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220.77</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1,024.46</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785.04</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2,686.19</w:t>
            </w:r>
          </w:p>
        </w:tc>
        <w:tc>
          <w:tcPr>
            <w:tcW w:w="647" w:type="pct"/>
            <w:tcBorders>
              <w:top w:val="nil"/>
              <w:left w:val="nil"/>
              <w:bottom w:val="single" w:sz="4" w:space="0" w:color="auto"/>
              <w:right w:val="single" w:sz="4" w:space="0" w:color="auto"/>
            </w:tcBorders>
            <w:shd w:val="clear" w:color="auto" w:fill="auto"/>
            <w:noWrap/>
          </w:tcPr>
          <w:p w:rsidR="00C00BCE" w:rsidRPr="008C71F5" w:rsidRDefault="00C00BCE" w:rsidP="00544E57">
            <w:pPr>
              <w:jc w:val="right"/>
              <w:rPr>
                <w:sz w:val="18"/>
                <w:szCs w:val="18"/>
              </w:rPr>
            </w:pPr>
            <w:r w:rsidRPr="008C71F5">
              <w:rPr>
                <w:rFonts w:hint="eastAsia"/>
                <w:sz w:val="18"/>
                <w:szCs w:val="18"/>
              </w:rPr>
              <w:t>4,716.45</w:t>
            </w:r>
          </w:p>
        </w:tc>
      </w:tr>
      <w:tr w:rsidR="00C00BCE" w:rsidRPr="008C71F5" w:rsidTr="00544E57">
        <w:trPr>
          <w:trHeight w:val="270"/>
        </w:trPr>
        <w:tc>
          <w:tcPr>
            <w:tcW w:w="1767" w:type="pct"/>
            <w:tcBorders>
              <w:top w:val="nil"/>
              <w:left w:val="single" w:sz="4" w:space="0" w:color="auto"/>
              <w:bottom w:val="single" w:sz="4" w:space="0" w:color="auto"/>
              <w:right w:val="single" w:sz="4" w:space="0" w:color="auto"/>
            </w:tcBorders>
            <w:shd w:val="clear" w:color="auto" w:fill="auto"/>
            <w:noWrap/>
            <w:vAlign w:val="center"/>
            <w:hideMark/>
          </w:tcPr>
          <w:p w:rsidR="00C00BCE" w:rsidRPr="008C71F5" w:rsidRDefault="00C00BCE" w:rsidP="00544E57">
            <w:pPr>
              <w:jc w:val="left"/>
              <w:rPr>
                <w:rFonts w:asciiTheme="minorEastAsia" w:eastAsiaTheme="minorEastAsia" w:hAnsiTheme="minorEastAsia"/>
                <w:sz w:val="18"/>
                <w:szCs w:val="18"/>
              </w:rPr>
            </w:pPr>
            <w:r w:rsidRPr="008C71F5">
              <w:rPr>
                <w:rFonts w:asciiTheme="minorEastAsia" w:eastAsiaTheme="minorEastAsia" w:hAnsiTheme="minorEastAsia" w:hint="eastAsia"/>
                <w:sz w:val="18"/>
                <w:szCs w:val="18"/>
              </w:rPr>
              <w:t>归属于上市公司股东的净利润</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2,094.10</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6,361.89</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3,056.78</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-40,069.61</w:t>
            </w:r>
          </w:p>
        </w:tc>
        <w:tc>
          <w:tcPr>
            <w:tcW w:w="647" w:type="pct"/>
            <w:tcBorders>
              <w:top w:val="nil"/>
              <w:left w:val="nil"/>
              <w:bottom w:val="single" w:sz="4" w:space="0" w:color="auto"/>
              <w:right w:val="single" w:sz="4" w:space="0" w:color="auto"/>
            </w:tcBorders>
            <w:shd w:val="clear" w:color="auto" w:fill="auto"/>
            <w:noWrap/>
            <w:vAlign w:val="center"/>
            <w:hideMark/>
          </w:tcPr>
          <w:p w:rsidR="00C00BCE" w:rsidRPr="008C71F5" w:rsidRDefault="00C00BCE" w:rsidP="00544E57">
            <w:pPr>
              <w:jc w:val="right"/>
              <w:rPr>
                <w:sz w:val="18"/>
                <w:szCs w:val="18"/>
              </w:rPr>
            </w:pPr>
            <w:r w:rsidRPr="008C71F5">
              <w:rPr>
                <w:rFonts w:hint="eastAsia"/>
                <w:sz w:val="18"/>
                <w:szCs w:val="18"/>
              </w:rPr>
              <w:t>-28,556.83</w:t>
            </w:r>
          </w:p>
        </w:tc>
      </w:tr>
    </w:tbl>
    <w:p w:rsidR="00C00BCE" w:rsidRPr="004D5CD1" w:rsidRDefault="00C00BCE" w:rsidP="00C00BCE">
      <w:pPr>
        <w:autoSpaceDE w:val="0"/>
        <w:autoSpaceDN w:val="0"/>
        <w:adjustRightInd w:val="0"/>
        <w:spacing w:beforeLines="50" w:before="156" w:line="360" w:lineRule="auto"/>
        <w:ind w:firstLineChars="200" w:firstLine="480"/>
        <w:jc w:val="left"/>
        <w:rPr>
          <w:rFonts w:ascii="宋体" w:hAnsi="宋体"/>
          <w:sz w:val="24"/>
        </w:rPr>
      </w:pPr>
      <w:r w:rsidRPr="00493E2C">
        <w:rPr>
          <w:rFonts w:ascii="宋体" w:hAnsi="宋体" w:hint="eastAsia"/>
          <w:sz w:val="24"/>
        </w:rPr>
        <w:t>注1、</w:t>
      </w:r>
      <w:r w:rsidRPr="007B379A">
        <w:rPr>
          <w:rFonts w:ascii="宋体" w:hAnsi="宋体" w:hint="eastAsia"/>
          <w:sz w:val="24"/>
        </w:rPr>
        <w:t>全资子公司响水</w:t>
      </w:r>
      <w:proofErr w:type="gramStart"/>
      <w:r w:rsidRPr="007B379A">
        <w:rPr>
          <w:rFonts w:ascii="宋体" w:hAnsi="宋体" w:hint="eastAsia"/>
          <w:sz w:val="24"/>
        </w:rPr>
        <w:t>恒</w:t>
      </w:r>
      <w:proofErr w:type="gramEnd"/>
      <w:r w:rsidRPr="007B379A">
        <w:rPr>
          <w:rFonts w:ascii="宋体" w:hAnsi="宋体" w:hint="eastAsia"/>
          <w:sz w:val="24"/>
        </w:rPr>
        <w:t>利达科技化工有限公司因2018年度环保整治停产、2019年3月所在化工园区爆炸、2019年4月5日由媒体曝光化工园区即将关停，公司委托评估机构对响水</w:t>
      </w:r>
      <w:proofErr w:type="gramStart"/>
      <w:r w:rsidRPr="007B379A">
        <w:rPr>
          <w:rFonts w:ascii="宋体" w:hAnsi="宋体" w:hint="eastAsia"/>
          <w:sz w:val="24"/>
        </w:rPr>
        <w:t>恒</w:t>
      </w:r>
      <w:proofErr w:type="gramEnd"/>
      <w:r w:rsidRPr="007B379A">
        <w:rPr>
          <w:rFonts w:ascii="宋体" w:hAnsi="宋体" w:hint="eastAsia"/>
          <w:sz w:val="24"/>
        </w:rPr>
        <w:t>利达一期项目与商誉相关资产组进行评估并出具了《江苏吴中实业股份有限公司拟以财务报告为目的商誉减值测试涉及的合并响水恒</w:t>
      </w:r>
      <w:r w:rsidRPr="007B379A">
        <w:rPr>
          <w:rFonts w:ascii="宋体" w:hAnsi="宋体" w:hint="eastAsia"/>
          <w:sz w:val="24"/>
        </w:rPr>
        <w:lastRenderedPageBreak/>
        <w:t>利达科技化工有限公司一期项目股东权益后商誉所在的资产组可回收价值资产评估报告》（万隆评报字（2019）第10128号），公司合并响水</w:t>
      </w:r>
      <w:proofErr w:type="gramStart"/>
      <w:r w:rsidRPr="007B379A">
        <w:rPr>
          <w:rFonts w:ascii="宋体" w:hAnsi="宋体" w:hint="eastAsia"/>
          <w:sz w:val="24"/>
        </w:rPr>
        <w:t>恒</w:t>
      </w:r>
      <w:proofErr w:type="gramEnd"/>
      <w:r w:rsidRPr="007B379A">
        <w:rPr>
          <w:rFonts w:ascii="宋体" w:hAnsi="宋体" w:hint="eastAsia"/>
          <w:sz w:val="24"/>
        </w:rPr>
        <w:t>利达一期项目股东权益后商誉所在资产组可回收价值于2018年12月31日的评估值为30,960.04万元，2018年12月31日响水</w:t>
      </w:r>
      <w:proofErr w:type="gramStart"/>
      <w:r w:rsidRPr="007B379A">
        <w:rPr>
          <w:rFonts w:ascii="宋体" w:hAnsi="宋体" w:hint="eastAsia"/>
          <w:sz w:val="24"/>
        </w:rPr>
        <w:t>恒</w:t>
      </w:r>
      <w:proofErr w:type="gramEnd"/>
      <w:r w:rsidRPr="007B379A">
        <w:rPr>
          <w:rFonts w:ascii="宋体" w:hAnsi="宋体" w:hint="eastAsia"/>
          <w:sz w:val="24"/>
        </w:rPr>
        <w:t>利达一期账面价值为67,678.36万元（包括所分摊的商誉价值部分），高于经评估的可收回金额30,960.04万元，公司</w:t>
      </w:r>
      <w:r>
        <w:rPr>
          <w:rFonts w:ascii="宋体" w:hAnsi="宋体" w:hint="eastAsia"/>
          <w:sz w:val="24"/>
        </w:rPr>
        <w:t>第</w:t>
      </w:r>
      <w:r w:rsidRPr="007B379A">
        <w:rPr>
          <w:rFonts w:ascii="宋体" w:hAnsi="宋体" w:hint="eastAsia"/>
          <w:sz w:val="24"/>
        </w:rPr>
        <w:t>四季度按可收回价值小于资产组账面价值的差额计提商誉减值准备36,718.32万元。</w:t>
      </w:r>
    </w:p>
    <w:p w:rsidR="00C00BCE" w:rsidRPr="00FC007F" w:rsidRDefault="00C00BCE" w:rsidP="00C00BCE">
      <w:pPr>
        <w:adjustRightInd w:val="0"/>
        <w:snapToGrid w:val="0"/>
        <w:spacing w:beforeLines="50" w:before="156" w:line="360" w:lineRule="auto"/>
        <w:jc w:val="left"/>
        <w:rPr>
          <w:rFonts w:ascii="宋体" w:hAnsi="宋体"/>
          <w:sz w:val="24"/>
        </w:rPr>
      </w:pPr>
      <w:r w:rsidRPr="005F4824">
        <w:rPr>
          <w:rFonts w:ascii="宋体" w:hAnsi="宋体" w:hint="eastAsia"/>
          <w:sz w:val="24"/>
        </w:rPr>
        <w:t xml:space="preserve">    注</w:t>
      </w:r>
      <w:r w:rsidRPr="00BF4B3A">
        <w:rPr>
          <w:rFonts w:ascii="宋体" w:hAnsi="宋体" w:hint="eastAsia"/>
          <w:sz w:val="24"/>
        </w:rPr>
        <w:t>2、</w:t>
      </w:r>
      <w:r w:rsidRPr="00493E2C">
        <w:rPr>
          <w:rFonts w:ascii="宋体" w:hAnsi="宋体" w:hint="eastAsia"/>
          <w:color w:val="000000"/>
          <w:sz w:val="24"/>
        </w:rPr>
        <w:t>根据公司整体发展需要，</w:t>
      </w:r>
      <w:r w:rsidRPr="00493E2C">
        <w:rPr>
          <w:rFonts w:ascii="宋体" w:hAnsi="宋体"/>
          <w:color w:val="000000"/>
          <w:sz w:val="24"/>
        </w:rPr>
        <w:t>为进一步盘活存量资产，</w:t>
      </w:r>
      <w:r w:rsidRPr="004D5CD1">
        <w:rPr>
          <w:rFonts w:ascii="宋体" w:hAnsi="宋体" w:hint="eastAsia"/>
          <w:sz w:val="24"/>
        </w:rPr>
        <w:t>2018年度内逐步抛售了年初持有的江苏银行股票，第二、三、四季度分别抛售江苏银行股票</w:t>
      </w:r>
      <w:r w:rsidRPr="005F4824">
        <w:rPr>
          <w:rFonts w:ascii="宋体" w:hAnsi="宋体" w:hint="eastAsia"/>
          <w:sz w:val="24"/>
        </w:rPr>
        <w:t>1,191.09万股、</w:t>
      </w:r>
      <w:r w:rsidRPr="00BF4B3A">
        <w:rPr>
          <w:rFonts w:ascii="宋体" w:hAnsi="宋体" w:hint="eastAsia"/>
          <w:sz w:val="24"/>
        </w:rPr>
        <w:t>1,000万股和2,000</w:t>
      </w:r>
      <w:r w:rsidRPr="00597961">
        <w:rPr>
          <w:rFonts w:ascii="宋体" w:hAnsi="宋体" w:hint="eastAsia"/>
          <w:sz w:val="24"/>
        </w:rPr>
        <w:t>万股，分别确认股份转让投资收益6,741.23万元、</w:t>
      </w:r>
      <w:r w:rsidRPr="00E47C0C">
        <w:rPr>
          <w:rFonts w:ascii="宋体" w:hAnsi="宋体" w:hint="eastAsia"/>
          <w:sz w:val="24"/>
        </w:rPr>
        <w:t>5,522.89万元、</w:t>
      </w:r>
      <w:r w:rsidRPr="00FC007F">
        <w:rPr>
          <w:rFonts w:ascii="宋体" w:hAnsi="宋体" w:hint="eastAsia"/>
          <w:sz w:val="24"/>
        </w:rPr>
        <w:t>11,264.03万元。</w:t>
      </w:r>
    </w:p>
    <w:p w:rsidR="008C71F5" w:rsidRDefault="00C00BCE" w:rsidP="008C71F5">
      <w:pPr>
        <w:spacing w:line="360" w:lineRule="auto"/>
        <w:ind w:firstLineChars="200" w:firstLine="480"/>
        <w:rPr>
          <w:rFonts w:ascii="宋体" w:hAnsi="宋体"/>
          <w:sz w:val="24"/>
        </w:rPr>
      </w:pPr>
      <w:r>
        <w:rPr>
          <w:rFonts w:ascii="宋体" w:hAnsi="宋体" w:hint="eastAsia"/>
          <w:sz w:val="24"/>
        </w:rPr>
        <w:t>注3、营业外收入主要为取得的政府补助。</w:t>
      </w:r>
    </w:p>
    <w:p w:rsidR="00C00BCE" w:rsidRDefault="008C71F5" w:rsidP="008C71F5">
      <w:pPr>
        <w:spacing w:line="360" w:lineRule="auto"/>
        <w:ind w:firstLineChars="200" w:firstLine="480"/>
        <w:rPr>
          <w:rFonts w:ascii="宋体" w:hAnsi="宋体"/>
          <w:sz w:val="24"/>
        </w:rPr>
      </w:pPr>
      <w:r>
        <w:rPr>
          <w:rFonts w:ascii="宋体" w:hAnsi="宋体" w:hint="eastAsia"/>
          <w:sz w:val="24"/>
        </w:rPr>
        <w:t>注4</w:t>
      </w:r>
      <w:r w:rsidR="00C00BCE">
        <w:rPr>
          <w:rFonts w:ascii="宋体" w:hAnsi="宋体" w:hint="eastAsia"/>
          <w:sz w:val="24"/>
        </w:rPr>
        <w:t>、营业外支出主要为恒利达停工期间的停工损失，包括生产人员工资、折旧和日常维护费用支出。</w:t>
      </w:r>
    </w:p>
    <w:p w:rsidR="00C00BCE" w:rsidRPr="008C71F5" w:rsidRDefault="00C00BCE" w:rsidP="00C00BCE">
      <w:pPr>
        <w:ind w:firstLineChars="200" w:firstLine="480"/>
        <w:rPr>
          <w:rFonts w:ascii="宋体" w:hAnsi="宋体"/>
          <w:sz w:val="24"/>
        </w:rPr>
      </w:pPr>
    </w:p>
    <w:p w:rsidR="00C00BCE" w:rsidRPr="00134A43" w:rsidRDefault="00C00BCE" w:rsidP="00C00BCE">
      <w:pPr>
        <w:ind w:firstLineChars="200" w:firstLine="480"/>
        <w:rPr>
          <w:rFonts w:ascii="宋体" w:hAnsi="宋体"/>
          <w:sz w:val="24"/>
        </w:rPr>
      </w:pPr>
      <w:r w:rsidRPr="00433C93">
        <w:rPr>
          <w:rFonts w:ascii="宋体" w:hAnsi="宋体" w:hint="eastAsia"/>
          <w:sz w:val="24"/>
        </w:rPr>
        <w:t>（2</w:t>
      </w:r>
      <w:r w:rsidRPr="00E25603">
        <w:rPr>
          <w:rFonts w:ascii="宋体" w:hAnsi="宋体" w:hint="eastAsia"/>
          <w:sz w:val="24"/>
        </w:rPr>
        <w:t>）子公司响水</w:t>
      </w:r>
      <w:proofErr w:type="gramStart"/>
      <w:r w:rsidRPr="00E25603">
        <w:rPr>
          <w:rFonts w:ascii="宋体" w:hAnsi="宋体" w:hint="eastAsia"/>
          <w:sz w:val="24"/>
        </w:rPr>
        <w:t>恒</w:t>
      </w:r>
      <w:proofErr w:type="gramEnd"/>
      <w:r w:rsidRPr="00E25603">
        <w:rPr>
          <w:rFonts w:ascii="宋体" w:hAnsi="宋体" w:hint="eastAsia"/>
          <w:sz w:val="24"/>
        </w:rPr>
        <w:t>利达科技化工有限公司</w:t>
      </w:r>
      <w:r w:rsidRPr="00134A43">
        <w:rPr>
          <w:rFonts w:ascii="宋体" w:hAnsi="宋体" w:hint="eastAsia"/>
          <w:sz w:val="24"/>
        </w:rPr>
        <w:t>2018年各季度财务数据列示如下</w:t>
      </w:r>
      <w:r w:rsidR="008C71F5">
        <w:rPr>
          <w:rFonts w:ascii="宋体" w:hAnsi="宋体" w:hint="eastAsia"/>
          <w:sz w:val="24"/>
        </w:rPr>
        <w:t>：</w:t>
      </w:r>
    </w:p>
    <w:p w:rsidR="008C71F5" w:rsidRPr="00134A43" w:rsidRDefault="008C71F5" w:rsidP="00544E57">
      <w:pPr>
        <w:jc w:val="left"/>
        <w:rPr>
          <w:rFonts w:ascii="宋体" w:hAnsi="宋体"/>
          <w:sz w:val="24"/>
        </w:rPr>
      </w:pPr>
      <w:r w:rsidRPr="009351F3">
        <w:rPr>
          <w:rFonts w:ascii="宋体" w:hAnsi="宋体" w:hint="eastAsia"/>
          <w:sz w:val="24"/>
        </w:rPr>
        <w:t>表2.</w:t>
      </w:r>
      <w:r>
        <w:rPr>
          <w:rFonts w:ascii="宋体" w:hAnsi="宋体" w:hint="eastAsia"/>
          <w:sz w:val="24"/>
        </w:rPr>
        <w:t>2</w:t>
      </w:r>
    </w:p>
    <w:p w:rsidR="008C71F5" w:rsidRPr="009351F3" w:rsidRDefault="008C71F5" w:rsidP="008C71F5">
      <w:pPr>
        <w:ind w:firstLineChars="200" w:firstLine="480"/>
        <w:jc w:val="right"/>
        <w:rPr>
          <w:rFonts w:ascii="宋体" w:hAnsi="宋体"/>
          <w:sz w:val="24"/>
        </w:rPr>
      </w:pPr>
      <w:r w:rsidRPr="00E25603">
        <w:rPr>
          <w:rFonts w:ascii="宋体" w:hAnsi="宋体" w:hint="eastAsia"/>
          <w:sz w:val="24"/>
        </w:rPr>
        <w:t>单位</w:t>
      </w:r>
      <w:r w:rsidRPr="00134A43">
        <w:rPr>
          <w:rFonts w:ascii="宋体" w:hAnsi="宋体" w:hint="eastAsia"/>
          <w:sz w:val="24"/>
        </w:rPr>
        <w:t xml:space="preserve"> ：万元</w:t>
      </w:r>
    </w:p>
    <w:tbl>
      <w:tblPr>
        <w:tblW w:w="5000" w:type="pct"/>
        <w:tblLook w:val="04A0" w:firstRow="1" w:lastRow="0" w:firstColumn="1" w:lastColumn="0" w:noHBand="0" w:noVBand="1"/>
      </w:tblPr>
      <w:tblGrid>
        <w:gridCol w:w="3456"/>
        <w:gridCol w:w="1031"/>
        <w:gridCol w:w="943"/>
        <w:gridCol w:w="1033"/>
        <w:gridCol w:w="1033"/>
        <w:gridCol w:w="1026"/>
      </w:tblGrid>
      <w:tr w:rsidR="00C00BCE" w:rsidRPr="00493E2C" w:rsidTr="00544E57">
        <w:trPr>
          <w:trHeight w:val="270"/>
        </w:trPr>
        <w:tc>
          <w:tcPr>
            <w:tcW w:w="20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CE" w:rsidRPr="004C296D" w:rsidRDefault="00C00BCE" w:rsidP="00544E57">
            <w:pPr>
              <w:jc w:val="left"/>
              <w:rPr>
                <w:sz w:val="18"/>
                <w:szCs w:val="18"/>
              </w:rPr>
            </w:pPr>
            <w:r w:rsidRPr="004C296D">
              <w:rPr>
                <w:rFonts w:hint="eastAsia"/>
                <w:sz w:val="18"/>
                <w:szCs w:val="18"/>
              </w:rPr>
              <w:t>项目</w:t>
            </w:r>
          </w:p>
        </w:tc>
        <w:tc>
          <w:tcPr>
            <w:tcW w:w="605" w:type="pct"/>
            <w:tcBorders>
              <w:top w:val="single" w:sz="4" w:space="0" w:color="auto"/>
              <w:left w:val="nil"/>
              <w:bottom w:val="single" w:sz="4" w:space="0" w:color="auto"/>
              <w:right w:val="single" w:sz="4" w:space="0" w:color="auto"/>
            </w:tcBorders>
            <w:shd w:val="clear" w:color="auto" w:fill="auto"/>
            <w:noWrap/>
            <w:vAlign w:val="center"/>
            <w:hideMark/>
          </w:tcPr>
          <w:p w:rsidR="00C00BCE" w:rsidRPr="00493E2C" w:rsidRDefault="00C00BCE" w:rsidP="008C71F5">
            <w:pPr>
              <w:widowControl/>
              <w:jc w:val="center"/>
              <w:rPr>
                <w:rFonts w:ascii="宋体" w:hAnsi="宋体" w:cs="宋体"/>
                <w:color w:val="000000"/>
                <w:kern w:val="0"/>
                <w:sz w:val="18"/>
                <w:szCs w:val="18"/>
              </w:rPr>
            </w:pPr>
            <w:r w:rsidRPr="00493E2C">
              <w:rPr>
                <w:rFonts w:ascii="宋体" w:hAnsi="宋体" w:cs="宋体" w:hint="eastAsia"/>
                <w:color w:val="000000"/>
                <w:kern w:val="0"/>
                <w:sz w:val="18"/>
                <w:szCs w:val="18"/>
              </w:rPr>
              <w:t>一季度</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C00BCE" w:rsidRPr="00493E2C" w:rsidRDefault="00C00BCE" w:rsidP="008C71F5">
            <w:pPr>
              <w:widowControl/>
              <w:jc w:val="center"/>
              <w:rPr>
                <w:rFonts w:ascii="宋体" w:hAnsi="宋体" w:cs="宋体"/>
                <w:color w:val="000000"/>
                <w:kern w:val="0"/>
                <w:sz w:val="18"/>
                <w:szCs w:val="18"/>
              </w:rPr>
            </w:pPr>
            <w:r w:rsidRPr="00493E2C">
              <w:rPr>
                <w:rFonts w:ascii="宋体" w:hAnsi="宋体" w:cs="宋体" w:hint="eastAsia"/>
                <w:color w:val="000000"/>
                <w:kern w:val="0"/>
                <w:sz w:val="18"/>
                <w:szCs w:val="18"/>
              </w:rPr>
              <w:t>二季度</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C00BCE" w:rsidRPr="00493E2C" w:rsidRDefault="00C00BCE" w:rsidP="008C71F5">
            <w:pPr>
              <w:widowControl/>
              <w:jc w:val="center"/>
              <w:rPr>
                <w:rFonts w:ascii="宋体" w:hAnsi="宋体" w:cs="宋体"/>
                <w:color w:val="000000"/>
                <w:kern w:val="0"/>
                <w:sz w:val="18"/>
                <w:szCs w:val="18"/>
              </w:rPr>
            </w:pPr>
            <w:r w:rsidRPr="00493E2C">
              <w:rPr>
                <w:rFonts w:ascii="宋体" w:hAnsi="宋体" w:cs="宋体" w:hint="eastAsia"/>
                <w:color w:val="000000"/>
                <w:kern w:val="0"/>
                <w:sz w:val="18"/>
                <w:szCs w:val="18"/>
              </w:rPr>
              <w:t>三季度</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C00BCE" w:rsidRPr="00493E2C" w:rsidRDefault="00C00BCE" w:rsidP="008C71F5">
            <w:pPr>
              <w:widowControl/>
              <w:jc w:val="center"/>
              <w:rPr>
                <w:rFonts w:ascii="宋体" w:hAnsi="宋体" w:cs="宋体"/>
                <w:color w:val="000000"/>
                <w:kern w:val="0"/>
                <w:sz w:val="18"/>
                <w:szCs w:val="18"/>
              </w:rPr>
            </w:pPr>
            <w:r w:rsidRPr="00493E2C">
              <w:rPr>
                <w:rFonts w:ascii="宋体" w:hAnsi="宋体" w:cs="宋体" w:hint="eastAsia"/>
                <w:color w:val="000000"/>
                <w:kern w:val="0"/>
                <w:sz w:val="18"/>
                <w:szCs w:val="18"/>
              </w:rPr>
              <w:t>四季度</w:t>
            </w:r>
          </w:p>
        </w:tc>
        <w:tc>
          <w:tcPr>
            <w:tcW w:w="602" w:type="pct"/>
            <w:tcBorders>
              <w:top w:val="single" w:sz="4" w:space="0" w:color="auto"/>
              <w:left w:val="nil"/>
              <w:bottom w:val="single" w:sz="4" w:space="0" w:color="auto"/>
              <w:right w:val="single" w:sz="4" w:space="0" w:color="auto"/>
            </w:tcBorders>
            <w:shd w:val="clear" w:color="auto" w:fill="auto"/>
            <w:noWrap/>
            <w:vAlign w:val="center"/>
            <w:hideMark/>
          </w:tcPr>
          <w:p w:rsidR="00C00BCE" w:rsidRPr="00493E2C" w:rsidRDefault="00C00BCE" w:rsidP="008C71F5">
            <w:pPr>
              <w:widowControl/>
              <w:jc w:val="center"/>
              <w:rPr>
                <w:rFonts w:ascii="宋体" w:hAnsi="宋体" w:cs="宋体"/>
                <w:color w:val="000000"/>
                <w:kern w:val="0"/>
                <w:sz w:val="18"/>
                <w:szCs w:val="18"/>
              </w:rPr>
            </w:pPr>
            <w:r w:rsidRPr="00493E2C">
              <w:rPr>
                <w:rFonts w:ascii="宋体" w:hAnsi="宋体" w:cs="宋体" w:hint="eastAsia"/>
                <w:color w:val="000000"/>
                <w:kern w:val="0"/>
                <w:sz w:val="18"/>
                <w:szCs w:val="18"/>
              </w:rPr>
              <w:t>合计</w:t>
            </w:r>
          </w:p>
        </w:tc>
      </w:tr>
      <w:tr w:rsidR="00C00BCE" w:rsidRPr="00493E2C" w:rsidTr="00544E57">
        <w:trPr>
          <w:trHeight w:val="270"/>
        </w:trPr>
        <w:tc>
          <w:tcPr>
            <w:tcW w:w="2028" w:type="pct"/>
            <w:tcBorders>
              <w:top w:val="nil"/>
              <w:left w:val="single" w:sz="4" w:space="0" w:color="auto"/>
              <w:bottom w:val="single" w:sz="4" w:space="0" w:color="auto"/>
              <w:right w:val="single" w:sz="4" w:space="0" w:color="auto"/>
            </w:tcBorders>
            <w:shd w:val="clear" w:color="auto" w:fill="auto"/>
            <w:noWrap/>
            <w:hideMark/>
          </w:tcPr>
          <w:p w:rsidR="00C00BCE" w:rsidRPr="00FC007F" w:rsidRDefault="00C00BCE" w:rsidP="00544E57">
            <w:pPr>
              <w:jc w:val="left"/>
              <w:rPr>
                <w:sz w:val="18"/>
                <w:szCs w:val="18"/>
              </w:rPr>
            </w:pPr>
            <w:r w:rsidRPr="00FC007F">
              <w:rPr>
                <w:rFonts w:hint="eastAsia"/>
                <w:sz w:val="18"/>
                <w:szCs w:val="18"/>
              </w:rPr>
              <w:t>营业收入</w:t>
            </w:r>
          </w:p>
        </w:tc>
        <w:tc>
          <w:tcPr>
            <w:tcW w:w="605"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 xml:space="preserve"> 16,171.22 </w:t>
            </w:r>
          </w:p>
        </w:tc>
        <w:tc>
          <w:tcPr>
            <w:tcW w:w="553"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6,269.16</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605.53</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873.66</w:t>
            </w:r>
          </w:p>
        </w:tc>
        <w:tc>
          <w:tcPr>
            <w:tcW w:w="602"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23,919.56</w:t>
            </w:r>
          </w:p>
        </w:tc>
      </w:tr>
      <w:tr w:rsidR="00C00BCE" w:rsidRPr="00493E2C" w:rsidTr="00544E57">
        <w:trPr>
          <w:trHeight w:val="270"/>
        </w:trPr>
        <w:tc>
          <w:tcPr>
            <w:tcW w:w="2028" w:type="pct"/>
            <w:tcBorders>
              <w:top w:val="nil"/>
              <w:left w:val="single" w:sz="4" w:space="0" w:color="auto"/>
              <w:bottom w:val="single" w:sz="4" w:space="0" w:color="auto"/>
              <w:right w:val="single" w:sz="4" w:space="0" w:color="auto"/>
            </w:tcBorders>
            <w:shd w:val="clear" w:color="auto" w:fill="auto"/>
            <w:noWrap/>
            <w:hideMark/>
          </w:tcPr>
          <w:p w:rsidR="00C00BCE" w:rsidRPr="00FC007F" w:rsidRDefault="00C00BCE" w:rsidP="00544E57">
            <w:pPr>
              <w:jc w:val="left"/>
              <w:rPr>
                <w:sz w:val="18"/>
                <w:szCs w:val="18"/>
              </w:rPr>
            </w:pPr>
            <w:r w:rsidRPr="00FC007F">
              <w:rPr>
                <w:rFonts w:hint="eastAsia"/>
                <w:sz w:val="18"/>
                <w:szCs w:val="18"/>
              </w:rPr>
              <w:t>营业成本</w:t>
            </w:r>
          </w:p>
        </w:tc>
        <w:tc>
          <w:tcPr>
            <w:tcW w:w="605"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 xml:space="preserve"> 12,483.06 </w:t>
            </w:r>
          </w:p>
        </w:tc>
        <w:tc>
          <w:tcPr>
            <w:tcW w:w="553"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4,688.81</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323.89</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506.72</w:t>
            </w:r>
          </w:p>
        </w:tc>
        <w:tc>
          <w:tcPr>
            <w:tcW w:w="602"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18,002.48</w:t>
            </w:r>
          </w:p>
        </w:tc>
      </w:tr>
      <w:tr w:rsidR="00C00BCE" w:rsidRPr="00493E2C" w:rsidTr="00544E57">
        <w:trPr>
          <w:trHeight w:val="270"/>
        </w:trPr>
        <w:tc>
          <w:tcPr>
            <w:tcW w:w="2028" w:type="pct"/>
            <w:tcBorders>
              <w:top w:val="nil"/>
              <w:left w:val="single" w:sz="4" w:space="0" w:color="auto"/>
              <w:bottom w:val="single" w:sz="4" w:space="0" w:color="auto"/>
              <w:right w:val="single" w:sz="4" w:space="0" w:color="auto"/>
            </w:tcBorders>
            <w:shd w:val="clear" w:color="auto" w:fill="auto"/>
            <w:noWrap/>
            <w:hideMark/>
          </w:tcPr>
          <w:p w:rsidR="00C00BCE" w:rsidRPr="00FC007F" w:rsidRDefault="00C00BCE" w:rsidP="00544E57">
            <w:pPr>
              <w:jc w:val="left"/>
              <w:rPr>
                <w:sz w:val="18"/>
                <w:szCs w:val="18"/>
              </w:rPr>
            </w:pPr>
            <w:r w:rsidRPr="00FC007F">
              <w:rPr>
                <w:rFonts w:hint="eastAsia"/>
                <w:sz w:val="18"/>
                <w:szCs w:val="18"/>
              </w:rPr>
              <w:t>销售费用</w:t>
            </w:r>
          </w:p>
        </w:tc>
        <w:tc>
          <w:tcPr>
            <w:tcW w:w="605"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 xml:space="preserve"> 158.23 </w:t>
            </w:r>
          </w:p>
        </w:tc>
        <w:tc>
          <w:tcPr>
            <w:tcW w:w="553"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 xml:space="preserve"> 156.60 </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35.06</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90.67</w:t>
            </w:r>
          </w:p>
        </w:tc>
        <w:tc>
          <w:tcPr>
            <w:tcW w:w="602"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440.56</w:t>
            </w:r>
          </w:p>
        </w:tc>
      </w:tr>
      <w:tr w:rsidR="00C00BCE" w:rsidRPr="00493E2C" w:rsidTr="00544E57">
        <w:trPr>
          <w:trHeight w:val="270"/>
        </w:trPr>
        <w:tc>
          <w:tcPr>
            <w:tcW w:w="2028" w:type="pct"/>
            <w:tcBorders>
              <w:top w:val="nil"/>
              <w:left w:val="single" w:sz="4" w:space="0" w:color="auto"/>
              <w:bottom w:val="single" w:sz="4" w:space="0" w:color="auto"/>
              <w:right w:val="single" w:sz="4" w:space="0" w:color="auto"/>
            </w:tcBorders>
            <w:shd w:val="clear" w:color="auto" w:fill="auto"/>
            <w:noWrap/>
            <w:hideMark/>
          </w:tcPr>
          <w:p w:rsidR="00C00BCE" w:rsidRPr="00FC007F" w:rsidRDefault="00C00BCE" w:rsidP="00544E57">
            <w:pPr>
              <w:jc w:val="left"/>
              <w:rPr>
                <w:sz w:val="18"/>
                <w:szCs w:val="18"/>
              </w:rPr>
            </w:pPr>
            <w:r w:rsidRPr="00FC007F">
              <w:rPr>
                <w:rFonts w:hint="eastAsia"/>
                <w:sz w:val="18"/>
                <w:szCs w:val="18"/>
              </w:rPr>
              <w:t>管理费用（含研发费用）</w:t>
            </w:r>
          </w:p>
        </w:tc>
        <w:tc>
          <w:tcPr>
            <w:tcW w:w="605"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 xml:space="preserve"> 1,584.71 </w:t>
            </w:r>
          </w:p>
        </w:tc>
        <w:tc>
          <w:tcPr>
            <w:tcW w:w="553"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 xml:space="preserve"> 991.81 </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1,167.63</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1,540.61</w:t>
            </w:r>
          </w:p>
        </w:tc>
        <w:tc>
          <w:tcPr>
            <w:tcW w:w="602"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5,284.76</w:t>
            </w:r>
          </w:p>
        </w:tc>
      </w:tr>
      <w:tr w:rsidR="00C00BCE" w:rsidRPr="00493E2C" w:rsidTr="00544E57">
        <w:trPr>
          <w:trHeight w:val="270"/>
        </w:trPr>
        <w:tc>
          <w:tcPr>
            <w:tcW w:w="2028" w:type="pct"/>
            <w:tcBorders>
              <w:top w:val="nil"/>
              <w:left w:val="single" w:sz="4" w:space="0" w:color="auto"/>
              <w:bottom w:val="single" w:sz="4" w:space="0" w:color="auto"/>
              <w:right w:val="single" w:sz="4" w:space="0" w:color="auto"/>
            </w:tcBorders>
            <w:shd w:val="clear" w:color="auto" w:fill="auto"/>
            <w:noWrap/>
            <w:hideMark/>
          </w:tcPr>
          <w:p w:rsidR="00C00BCE" w:rsidRPr="00FC007F" w:rsidRDefault="00C00BCE" w:rsidP="00544E57">
            <w:pPr>
              <w:jc w:val="left"/>
              <w:rPr>
                <w:sz w:val="18"/>
                <w:szCs w:val="18"/>
              </w:rPr>
            </w:pPr>
            <w:r w:rsidRPr="00FC007F">
              <w:rPr>
                <w:rFonts w:hint="eastAsia"/>
                <w:sz w:val="18"/>
                <w:szCs w:val="18"/>
              </w:rPr>
              <w:t>财务费用</w:t>
            </w:r>
          </w:p>
        </w:tc>
        <w:tc>
          <w:tcPr>
            <w:tcW w:w="605"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 xml:space="preserve"> 197.21 </w:t>
            </w:r>
          </w:p>
        </w:tc>
        <w:tc>
          <w:tcPr>
            <w:tcW w:w="553"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 xml:space="preserve"> 210.11 </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169.77</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148.38</w:t>
            </w:r>
          </w:p>
        </w:tc>
        <w:tc>
          <w:tcPr>
            <w:tcW w:w="602"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725.46</w:t>
            </w:r>
          </w:p>
        </w:tc>
      </w:tr>
      <w:tr w:rsidR="00C00BCE" w:rsidRPr="00493E2C" w:rsidTr="00544E57">
        <w:trPr>
          <w:trHeight w:val="270"/>
        </w:trPr>
        <w:tc>
          <w:tcPr>
            <w:tcW w:w="2028" w:type="pct"/>
            <w:tcBorders>
              <w:top w:val="nil"/>
              <w:left w:val="single" w:sz="4" w:space="0" w:color="auto"/>
              <w:bottom w:val="single" w:sz="4" w:space="0" w:color="auto"/>
              <w:right w:val="single" w:sz="4" w:space="0" w:color="auto"/>
            </w:tcBorders>
            <w:shd w:val="clear" w:color="auto" w:fill="auto"/>
            <w:noWrap/>
          </w:tcPr>
          <w:p w:rsidR="00C00BCE" w:rsidRPr="00FC007F" w:rsidRDefault="00C00BCE" w:rsidP="00544E57">
            <w:pPr>
              <w:jc w:val="left"/>
              <w:rPr>
                <w:sz w:val="18"/>
                <w:szCs w:val="18"/>
              </w:rPr>
            </w:pPr>
            <w:r w:rsidRPr="00FC007F">
              <w:rPr>
                <w:rFonts w:hint="eastAsia"/>
                <w:sz w:val="18"/>
                <w:szCs w:val="18"/>
              </w:rPr>
              <w:t>营业利润</w:t>
            </w:r>
          </w:p>
        </w:tc>
        <w:tc>
          <w:tcPr>
            <w:tcW w:w="605" w:type="pct"/>
            <w:tcBorders>
              <w:top w:val="nil"/>
              <w:left w:val="nil"/>
              <w:bottom w:val="single" w:sz="4" w:space="0" w:color="auto"/>
              <w:right w:val="single" w:sz="4" w:space="0" w:color="auto"/>
            </w:tcBorders>
            <w:shd w:val="clear" w:color="auto" w:fill="auto"/>
            <w:noWrap/>
          </w:tcPr>
          <w:p w:rsidR="00C00BCE" w:rsidRPr="00493E2C" w:rsidRDefault="00C00BCE" w:rsidP="00544E57">
            <w:pPr>
              <w:jc w:val="right"/>
              <w:rPr>
                <w:sz w:val="18"/>
                <w:szCs w:val="18"/>
              </w:rPr>
            </w:pPr>
            <w:r w:rsidRPr="00493E2C">
              <w:rPr>
                <w:rFonts w:hint="eastAsia"/>
                <w:sz w:val="18"/>
                <w:szCs w:val="18"/>
              </w:rPr>
              <w:t xml:space="preserve"> 1,523.48 </w:t>
            </w:r>
          </w:p>
        </w:tc>
        <w:tc>
          <w:tcPr>
            <w:tcW w:w="553" w:type="pct"/>
            <w:tcBorders>
              <w:top w:val="nil"/>
              <w:left w:val="nil"/>
              <w:bottom w:val="single" w:sz="4" w:space="0" w:color="auto"/>
              <w:right w:val="single" w:sz="4" w:space="0" w:color="auto"/>
            </w:tcBorders>
            <w:shd w:val="clear" w:color="auto" w:fill="auto"/>
            <w:noWrap/>
          </w:tcPr>
          <w:p w:rsidR="00C00BCE" w:rsidRPr="00493E2C" w:rsidRDefault="00C00BCE" w:rsidP="00544E57">
            <w:pPr>
              <w:jc w:val="right"/>
              <w:rPr>
                <w:sz w:val="18"/>
                <w:szCs w:val="18"/>
              </w:rPr>
            </w:pPr>
            <w:r w:rsidRPr="00493E2C">
              <w:rPr>
                <w:rFonts w:hint="eastAsia"/>
                <w:sz w:val="18"/>
                <w:szCs w:val="18"/>
              </w:rPr>
              <w:t xml:space="preserve"> 544.44 </w:t>
            </w:r>
          </w:p>
        </w:tc>
        <w:tc>
          <w:tcPr>
            <w:tcW w:w="606" w:type="pct"/>
            <w:tcBorders>
              <w:top w:val="nil"/>
              <w:left w:val="nil"/>
              <w:bottom w:val="single" w:sz="4" w:space="0" w:color="auto"/>
              <w:right w:val="single" w:sz="4" w:space="0" w:color="auto"/>
            </w:tcBorders>
            <w:shd w:val="clear" w:color="auto" w:fill="auto"/>
            <w:noWrap/>
          </w:tcPr>
          <w:p w:rsidR="00C00BCE" w:rsidRPr="00493E2C" w:rsidRDefault="00C00BCE" w:rsidP="00544E57">
            <w:pPr>
              <w:jc w:val="right"/>
              <w:rPr>
                <w:sz w:val="18"/>
                <w:szCs w:val="18"/>
              </w:rPr>
            </w:pPr>
            <w:r w:rsidRPr="00493E2C">
              <w:rPr>
                <w:rFonts w:hint="eastAsia"/>
                <w:sz w:val="18"/>
                <w:szCs w:val="18"/>
              </w:rPr>
              <w:t>-1,025.28</w:t>
            </w:r>
          </w:p>
        </w:tc>
        <w:tc>
          <w:tcPr>
            <w:tcW w:w="606" w:type="pct"/>
            <w:tcBorders>
              <w:top w:val="nil"/>
              <w:left w:val="nil"/>
              <w:bottom w:val="single" w:sz="4" w:space="0" w:color="auto"/>
              <w:right w:val="single" w:sz="4" w:space="0" w:color="auto"/>
            </w:tcBorders>
            <w:shd w:val="clear" w:color="auto" w:fill="auto"/>
            <w:noWrap/>
          </w:tcPr>
          <w:p w:rsidR="00C00BCE" w:rsidRPr="00493E2C" w:rsidRDefault="00C00BCE" w:rsidP="00544E57">
            <w:pPr>
              <w:jc w:val="right"/>
              <w:rPr>
                <w:sz w:val="18"/>
                <w:szCs w:val="18"/>
              </w:rPr>
            </w:pPr>
            <w:r w:rsidRPr="00493E2C">
              <w:rPr>
                <w:rFonts w:hint="eastAsia"/>
                <w:sz w:val="18"/>
                <w:szCs w:val="18"/>
              </w:rPr>
              <w:t>-1,445.99</w:t>
            </w:r>
          </w:p>
        </w:tc>
        <w:tc>
          <w:tcPr>
            <w:tcW w:w="602" w:type="pct"/>
            <w:tcBorders>
              <w:top w:val="nil"/>
              <w:left w:val="nil"/>
              <w:bottom w:val="single" w:sz="4" w:space="0" w:color="auto"/>
              <w:right w:val="single" w:sz="4" w:space="0" w:color="auto"/>
            </w:tcBorders>
            <w:shd w:val="clear" w:color="auto" w:fill="auto"/>
            <w:noWrap/>
          </w:tcPr>
          <w:p w:rsidR="00C00BCE" w:rsidRPr="00493E2C" w:rsidRDefault="00C00BCE" w:rsidP="00544E57">
            <w:pPr>
              <w:jc w:val="right"/>
              <w:rPr>
                <w:sz w:val="18"/>
                <w:szCs w:val="18"/>
              </w:rPr>
            </w:pPr>
            <w:r w:rsidRPr="00493E2C">
              <w:rPr>
                <w:rFonts w:hint="eastAsia"/>
                <w:sz w:val="18"/>
                <w:szCs w:val="18"/>
              </w:rPr>
              <w:t>-403.35</w:t>
            </w:r>
          </w:p>
        </w:tc>
      </w:tr>
      <w:tr w:rsidR="00C00BCE" w:rsidRPr="00493E2C" w:rsidTr="00544E57">
        <w:trPr>
          <w:trHeight w:val="270"/>
        </w:trPr>
        <w:tc>
          <w:tcPr>
            <w:tcW w:w="2028" w:type="pct"/>
            <w:tcBorders>
              <w:top w:val="nil"/>
              <w:left w:val="single" w:sz="4" w:space="0" w:color="auto"/>
              <w:bottom w:val="single" w:sz="4" w:space="0" w:color="auto"/>
              <w:right w:val="single" w:sz="4" w:space="0" w:color="auto"/>
            </w:tcBorders>
            <w:shd w:val="clear" w:color="auto" w:fill="auto"/>
            <w:noWrap/>
            <w:hideMark/>
          </w:tcPr>
          <w:p w:rsidR="00C00BCE" w:rsidRPr="00FC007F" w:rsidRDefault="00C00BCE" w:rsidP="00544E57">
            <w:pPr>
              <w:jc w:val="left"/>
              <w:rPr>
                <w:sz w:val="18"/>
                <w:szCs w:val="18"/>
              </w:rPr>
            </w:pPr>
            <w:r w:rsidRPr="00FC007F">
              <w:rPr>
                <w:rFonts w:hint="eastAsia"/>
                <w:sz w:val="18"/>
                <w:szCs w:val="18"/>
              </w:rPr>
              <w:t>营业外收入</w:t>
            </w:r>
          </w:p>
        </w:tc>
        <w:tc>
          <w:tcPr>
            <w:tcW w:w="605" w:type="pct"/>
            <w:tcBorders>
              <w:top w:val="nil"/>
              <w:left w:val="nil"/>
              <w:bottom w:val="single" w:sz="4" w:space="0" w:color="auto"/>
              <w:right w:val="single" w:sz="4" w:space="0" w:color="auto"/>
            </w:tcBorders>
            <w:shd w:val="clear" w:color="auto" w:fill="auto"/>
            <w:noWrap/>
          </w:tcPr>
          <w:p w:rsidR="00C00BCE" w:rsidRPr="00493E2C" w:rsidRDefault="00C00BCE" w:rsidP="00544E57">
            <w:pPr>
              <w:jc w:val="right"/>
              <w:rPr>
                <w:sz w:val="18"/>
                <w:szCs w:val="18"/>
              </w:rPr>
            </w:pPr>
            <w:r w:rsidRPr="00493E2C">
              <w:rPr>
                <w:rFonts w:hint="eastAsia"/>
                <w:sz w:val="18"/>
                <w:szCs w:val="18"/>
              </w:rPr>
              <w:t xml:space="preserve"> -   </w:t>
            </w:r>
          </w:p>
        </w:tc>
        <w:tc>
          <w:tcPr>
            <w:tcW w:w="553" w:type="pct"/>
            <w:tcBorders>
              <w:top w:val="nil"/>
              <w:left w:val="nil"/>
              <w:bottom w:val="single" w:sz="4" w:space="0" w:color="auto"/>
              <w:right w:val="single" w:sz="4" w:space="0" w:color="auto"/>
            </w:tcBorders>
            <w:shd w:val="clear" w:color="auto" w:fill="auto"/>
            <w:noWrap/>
          </w:tcPr>
          <w:p w:rsidR="00C00BCE" w:rsidRPr="00493E2C" w:rsidRDefault="00C00BCE" w:rsidP="00544E57">
            <w:pPr>
              <w:jc w:val="right"/>
              <w:rPr>
                <w:sz w:val="18"/>
                <w:szCs w:val="18"/>
              </w:rPr>
            </w:pPr>
          </w:p>
        </w:tc>
        <w:tc>
          <w:tcPr>
            <w:tcW w:w="606" w:type="pct"/>
            <w:tcBorders>
              <w:top w:val="nil"/>
              <w:left w:val="nil"/>
              <w:bottom w:val="single" w:sz="4" w:space="0" w:color="auto"/>
              <w:right w:val="single" w:sz="4" w:space="0" w:color="auto"/>
            </w:tcBorders>
            <w:shd w:val="clear" w:color="auto" w:fill="auto"/>
            <w:noWrap/>
          </w:tcPr>
          <w:p w:rsidR="00C00BCE" w:rsidRPr="00493E2C" w:rsidRDefault="00C00BCE" w:rsidP="00544E57">
            <w:pPr>
              <w:jc w:val="right"/>
              <w:rPr>
                <w:sz w:val="18"/>
                <w:szCs w:val="18"/>
              </w:rPr>
            </w:pPr>
            <w:r w:rsidRPr="00493E2C">
              <w:rPr>
                <w:rFonts w:hint="eastAsia"/>
                <w:sz w:val="18"/>
                <w:szCs w:val="18"/>
              </w:rPr>
              <w:t>0.00</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1.30</w:t>
            </w:r>
          </w:p>
        </w:tc>
        <w:tc>
          <w:tcPr>
            <w:tcW w:w="602"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1.30</w:t>
            </w:r>
          </w:p>
        </w:tc>
      </w:tr>
      <w:tr w:rsidR="00C00BCE" w:rsidRPr="00493E2C" w:rsidTr="00544E57">
        <w:trPr>
          <w:trHeight w:val="270"/>
        </w:trPr>
        <w:tc>
          <w:tcPr>
            <w:tcW w:w="2028" w:type="pct"/>
            <w:tcBorders>
              <w:top w:val="nil"/>
              <w:left w:val="single" w:sz="4" w:space="0" w:color="auto"/>
              <w:bottom w:val="single" w:sz="4" w:space="0" w:color="auto"/>
              <w:right w:val="single" w:sz="4" w:space="0" w:color="auto"/>
            </w:tcBorders>
            <w:shd w:val="clear" w:color="auto" w:fill="auto"/>
            <w:noWrap/>
            <w:hideMark/>
          </w:tcPr>
          <w:p w:rsidR="00C00BCE" w:rsidRPr="00FC007F" w:rsidRDefault="00C00BCE" w:rsidP="00544E57">
            <w:pPr>
              <w:jc w:val="left"/>
              <w:rPr>
                <w:sz w:val="18"/>
                <w:szCs w:val="18"/>
              </w:rPr>
            </w:pPr>
            <w:r w:rsidRPr="00FC007F">
              <w:rPr>
                <w:rFonts w:hint="eastAsia"/>
                <w:sz w:val="18"/>
                <w:szCs w:val="18"/>
              </w:rPr>
              <w:t>营业外支出</w:t>
            </w:r>
          </w:p>
        </w:tc>
        <w:tc>
          <w:tcPr>
            <w:tcW w:w="605"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 xml:space="preserve"> 165.48 </w:t>
            </w:r>
          </w:p>
        </w:tc>
        <w:tc>
          <w:tcPr>
            <w:tcW w:w="553"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 xml:space="preserve"> 987.43 </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764.38</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2,659.63</w:t>
            </w:r>
          </w:p>
        </w:tc>
        <w:tc>
          <w:tcPr>
            <w:tcW w:w="602"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4,576.92</w:t>
            </w:r>
          </w:p>
        </w:tc>
      </w:tr>
      <w:tr w:rsidR="00C00BCE" w:rsidRPr="00493E2C" w:rsidTr="00544E57">
        <w:trPr>
          <w:trHeight w:val="270"/>
        </w:trPr>
        <w:tc>
          <w:tcPr>
            <w:tcW w:w="2028" w:type="pct"/>
            <w:tcBorders>
              <w:top w:val="nil"/>
              <w:left w:val="single" w:sz="4" w:space="0" w:color="auto"/>
              <w:bottom w:val="single" w:sz="4" w:space="0" w:color="auto"/>
              <w:right w:val="single" w:sz="4" w:space="0" w:color="auto"/>
            </w:tcBorders>
            <w:shd w:val="clear" w:color="auto" w:fill="auto"/>
            <w:noWrap/>
            <w:hideMark/>
          </w:tcPr>
          <w:p w:rsidR="00C00BCE" w:rsidRPr="00FC007F" w:rsidRDefault="00C00BCE" w:rsidP="00AE520F">
            <w:pPr>
              <w:jc w:val="left"/>
              <w:rPr>
                <w:sz w:val="18"/>
                <w:szCs w:val="18"/>
              </w:rPr>
            </w:pPr>
            <w:proofErr w:type="gramStart"/>
            <w:r w:rsidRPr="00FC007F">
              <w:rPr>
                <w:rFonts w:hint="eastAsia"/>
                <w:sz w:val="18"/>
                <w:szCs w:val="18"/>
              </w:rPr>
              <w:t>恒</w:t>
            </w:r>
            <w:proofErr w:type="gramEnd"/>
            <w:r w:rsidRPr="00FC007F">
              <w:rPr>
                <w:rFonts w:hint="eastAsia"/>
                <w:sz w:val="18"/>
                <w:szCs w:val="18"/>
              </w:rPr>
              <w:t>利达经评估调整后的净利润（注）</w:t>
            </w:r>
          </w:p>
        </w:tc>
        <w:tc>
          <w:tcPr>
            <w:tcW w:w="605"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 xml:space="preserve"> 987.76 </w:t>
            </w:r>
          </w:p>
        </w:tc>
        <w:tc>
          <w:tcPr>
            <w:tcW w:w="553"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 xml:space="preserve"> -304.67 </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-1,267.24</w:t>
            </w:r>
          </w:p>
        </w:tc>
        <w:tc>
          <w:tcPr>
            <w:tcW w:w="606"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-4,455.94</w:t>
            </w:r>
          </w:p>
        </w:tc>
        <w:tc>
          <w:tcPr>
            <w:tcW w:w="602" w:type="pct"/>
            <w:tcBorders>
              <w:top w:val="nil"/>
              <w:left w:val="nil"/>
              <w:bottom w:val="single" w:sz="4" w:space="0" w:color="auto"/>
              <w:right w:val="single" w:sz="4" w:space="0" w:color="auto"/>
            </w:tcBorders>
            <w:shd w:val="clear" w:color="auto" w:fill="auto"/>
            <w:noWrap/>
            <w:hideMark/>
          </w:tcPr>
          <w:p w:rsidR="00C00BCE" w:rsidRPr="00493E2C" w:rsidRDefault="00C00BCE" w:rsidP="00544E57">
            <w:pPr>
              <w:jc w:val="right"/>
              <w:rPr>
                <w:sz w:val="18"/>
                <w:szCs w:val="18"/>
              </w:rPr>
            </w:pPr>
            <w:r w:rsidRPr="00493E2C">
              <w:rPr>
                <w:rFonts w:hint="eastAsia"/>
                <w:sz w:val="18"/>
                <w:szCs w:val="18"/>
              </w:rPr>
              <w:t>-5,040.09</w:t>
            </w:r>
          </w:p>
        </w:tc>
      </w:tr>
    </w:tbl>
    <w:p w:rsidR="00C00BCE" w:rsidRPr="00493E2C" w:rsidRDefault="00C00BCE" w:rsidP="008C71F5">
      <w:pPr>
        <w:ind w:firstLineChars="200" w:firstLine="360"/>
        <w:rPr>
          <w:rFonts w:ascii="宋体" w:hAnsi="宋体"/>
          <w:sz w:val="18"/>
          <w:szCs w:val="18"/>
        </w:rPr>
      </w:pPr>
      <w:r w:rsidRPr="00493E2C">
        <w:rPr>
          <w:rFonts w:ascii="宋体" w:hAnsi="宋体" w:hint="eastAsia"/>
          <w:sz w:val="18"/>
          <w:szCs w:val="18"/>
        </w:rPr>
        <w:t>注：因公司购买响水</w:t>
      </w:r>
      <w:proofErr w:type="gramStart"/>
      <w:r w:rsidRPr="00493E2C">
        <w:rPr>
          <w:rFonts w:ascii="宋体" w:hAnsi="宋体" w:hint="eastAsia"/>
          <w:sz w:val="18"/>
          <w:szCs w:val="18"/>
        </w:rPr>
        <w:t>恒</w:t>
      </w:r>
      <w:proofErr w:type="gramEnd"/>
      <w:r w:rsidRPr="00493E2C">
        <w:rPr>
          <w:rFonts w:ascii="宋体" w:hAnsi="宋体" w:hint="eastAsia"/>
          <w:sz w:val="18"/>
          <w:szCs w:val="18"/>
        </w:rPr>
        <w:t>利达科技化工有限公司股权时该公司账面价值与可辨认净资产公允价值存在差异，公司合并该公司净利润时需对评估增值进行调整。</w:t>
      </w:r>
    </w:p>
    <w:p w:rsidR="00064426" w:rsidRDefault="00064426" w:rsidP="00C00BCE">
      <w:pPr>
        <w:spacing w:line="360" w:lineRule="auto"/>
        <w:ind w:firstLineChars="200" w:firstLine="480"/>
        <w:rPr>
          <w:rFonts w:ascii="宋体" w:hAnsi="宋体"/>
          <w:sz w:val="24"/>
        </w:rPr>
      </w:pPr>
    </w:p>
    <w:p w:rsidR="00C00BCE" w:rsidRPr="00426630" w:rsidRDefault="00C00BCE" w:rsidP="00C00BCE">
      <w:pPr>
        <w:spacing w:line="360" w:lineRule="auto"/>
        <w:ind w:firstLineChars="200" w:firstLine="480"/>
        <w:rPr>
          <w:rFonts w:ascii="宋体" w:hAnsi="宋体"/>
          <w:sz w:val="24"/>
        </w:rPr>
      </w:pPr>
      <w:r w:rsidRPr="00493E2C">
        <w:rPr>
          <w:rFonts w:ascii="宋体" w:hAnsi="宋体" w:hint="eastAsia"/>
          <w:sz w:val="24"/>
        </w:rPr>
        <w:t>响水</w:t>
      </w:r>
      <w:proofErr w:type="gramStart"/>
      <w:r w:rsidRPr="00493E2C">
        <w:rPr>
          <w:rFonts w:ascii="宋体" w:hAnsi="宋体" w:hint="eastAsia"/>
          <w:sz w:val="24"/>
        </w:rPr>
        <w:t>恒</w:t>
      </w:r>
      <w:proofErr w:type="gramEnd"/>
      <w:r w:rsidRPr="00493E2C">
        <w:rPr>
          <w:rFonts w:ascii="宋体" w:hAnsi="宋体" w:hint="eastAsia"/>
          <w:sz w:val="24"/>
        </w:rPr>
        <w:t>利达科技化工有限公司第二、三、四季度营业收入和净利润较第</w:t>
      </w:r>
      <w:r w:rsidRPr="004D5CD1">
        <w:rPr>
          <w:rFonts w:ascii="宋体" w:hAnsi="宋体" w:hint="eastAsia"/>
          <w:sz w:val="24"/>
        </w:rPr>
        <w:t>一季度下降的原因：</w:t>
      </w:r>
      <w:r w:rsidRPr="005F4824">
        <w:rPr>
          <w:rFonts w:ascii="宋体" w:hAnsi="宋体" w:hint="eastAsia"/>
          <w:sz w:val="24"/>
        </w:rPr>
        <w:t>2018年</w:t>
      </w:r>
      <w:r w:rsidRPr="00BF4B3A">
        <w:rPr>
          <w:rFonts w:ascii="宋体" w:hAnsi="宋体" w:hint="eastAsia"/>
          <w:sz w:val="24"/>
        </w:rPr>
        <w:t>5月，公司全资子公司响水</w:t>
      </w:r>
      <w:proofErr w:type="gramStart"/>
      <w:r w:rsidRPr="00BF4B3A">
        <w:rPr>
          <w:rFonts w:ascii="宋体" w:hAnsi="宋体" w:hint="eastAsia"/>
          <w:sz w:val="24"/>
        </w:rPr>
        <w:t>恒</w:t>
      </w:r>
      <w:proofErr w:type="gramEnd"/>
      <w:r w:rsidRPr="00BF4B3A">
        <w:rPr>
          <w:rFonts w:ascii="宋体" w:hAnsi="宋体" w:hint="eastAsia"/>
          <w:sz w:val="24"/>
        </w:rPr>
        <w:t>利达科技化工有限公司根据政府相关部门对园区及园区内</w:t>
      </w:r>
      <w:r w:rsidRPr="00597961">
        <w:rPr>
          <w:rFonts w:ascii="宋体" w:hAnsi="宋体" w:hint="eastAsia"/>
          <w:sz w:val="24"/>
        </w:rPr>
        <w:t xml:space="preserve">所有化工企业全面停产排查整治环保问题的要求而临时停产， </w:t>
      </w:r>
      <w:r w:rsidRPr="00E47C0C">
        <w:rPr>
          <w:rFonts w:ascii="宋体" w:hAnsi="宋体" w:hint="eastAsia"/>
          <w:sz w:val="24"/>
        </w:rPr>
        <w:t>至2018</w:t>
      </w:r>
      <w:r w:rsidRPr="00FC007F">
        <w:rPr>
          <w:rFonts w:ascii="宋体" w:hAnsi="宋体" w:hint="eastAsia"/>
          <w:sz w:val="24"/>
        </w:rPr>
        <w:t>年12月28日，响水</w:t>
      </w:r>
      <w:proofErr w:type="gramStart"/>
      <w:r w:rsidRPr="00FC007F">
        <w:rPr>
          <w:rFonts w:ascii="宋体" w:hAnsi="宋体" w:hint="eastAsia"/>
          <w:sz w:val="24"/>
        </w:rPr>
        <w:t>恒</w:t>
      </w:r>
      <w:proofErr w:type="gramEnd"/>
      <w:r w:rsidRPr="00FC007F">
        <w:rPr>
          <w:rFonts w:ascii="宋体" w:hAnsi="宋体" w:hint="eastAsia"/>
          <w:sz w:val="24"/>
        </w:rPr>
        <w:t>利达收到了响水县人民政府出具</w:t>
      </w:r>
      <w:r w:rsidRPr="00FC007F">
        <w:rPr>
          <w:rFonts w:ascii="宋体" w:hAnsi="宋体" w:hint="eastAsia"/>
          <w:sz w:val="24"/>
        </w:rPr>
        <w:lastRenderedPageBreak/>
        <w:t>的《响水县人民政府关于同意响水恒利达科技化工有限公司复产的通知》，同意响水</w:t>
      </w:r>
      <w:proofErr w:type="gramStart"/>
      <w:r w:rsidRPr="00FC007F">
        <w:rPr>
          <w:rFonts w:ascii="宋体" w:hAnsi="宋体" w:hint="eastAsia"/>
          <w:sz w:val="24"/>
        </w:rPr>
        <w:t>恒</w:t>
      </w:r>
      <w:proofErr w:type="gramEnd"/>
      <w:r w:rsidRPr="00FC007F">
        <w:rPr>
          <w:rFonts w:ascii="宋体" w:hAnsi="宋体" w:hint="eastAsia"/>
          <w:sz w:val="24"/>
        </w:rPr>
        <w:t>利达组织复产。此次停产，造成</w:t>
      </w:r>
      <w:proofErr w:type="gramStart"/>
      <w:r w:rsidRPr="00FC007F">
        <w:rPr>
          <w:rFonts w:ascii="宋体" w:hAnsi="宋体" w:hint="eastAsia"/>
          <w:sz w:val="24"/>
        </w:rPr>
        <w:t>恒</w:t>
      </w:r>
      <w:proofErr w:type="gramEnd"/>
      <w:r w:rsidRPr="00FC007F">
        <w:rPr>
          <w:rFonts w:ascii="宋体" w:hAnsi="宋体" w:hint="eastAsia"/>
          <w:sz w:val="24"/>
        </w:rPr>
        <w:t>利达收入下降和利润亏损。</w:t>
      </w:r>
    </w:p>
    <w:p w:rsidR="00C00BCE" w:rsidRPr="004D5CD1" w:rsidRDefault="00C00BCE" w:rsidP="00C00BCE">
      <w:pPr>
        <w:spacing w:line="360" w:lineRule="auto"/>
        <w:ind w:firstLineChars="200" w:firstLine="480"/>
        <w:rPr>
          <w:rFonts w:ascii="宋体" w:hAnsi="宋体"/>
          <w:sz w:val="24"/>
        </w:rPr>
      </w:pPr>
      <w:r>
        <w:rPr>
          <w:rFonts w:ascii="宋体" w:hAnsi="宋体" w:hint="eastAsia"/>
          <w:sz w:val="24"/>
        </w:rPr>
        <w:t>第</w:t>
      </w:r>
      <w:r w:rsidRPr="00493E2C">
        <w:rPr>
          <w:rFonts w:ascii="宋体" w:hAnsi="宋体" w:hint="eastAsia"/>
          <w:sz w:val="24"/>
        </w:rPr>
        <w:t>四季度响水</w:t>
      </w:r>
      <w:proofErr w:type="gramStart"/>
      <w:r w:rsidRPr="00493E2C">
        <w:rPr>
          <w:rFonts w:ascii="宋体" w:hAnsi="宋体" w:hint="eastAsia"/>
          <w:sz w:val="24"/>
        </w:rPr>
        <w:t>恒</w:t>
      </w:r>
      <w:proofErr w:type="gramEnd"/>
      <w:r w:rsidRPr="00493E2C">
        <w:rPr>
          <w:rFonts w:ascii="宋体" w:hAnsi="宋体" w:hint="eastAsia"/>
          <w:sz w:val="24"/>
        </w:rPr>
        <w:t>利达科技化工有限公司经评估调整后的亏损额较第二、三季度扩大，主要原因为第四季度发生污水处理托管费1,000万元左右，计提2018年度年终奖</w:t>
      </w:r>
      <w:r>
        <w:rPr>
          <w:rFonts w:ascii="宋体" w:hAnsi="宋体" w:hint="eastAsia"/>
          <w:sz w:val="24"/>
        </w:rPr>
        <w:t>551.34</w:t>
      </w:r>
      <w:r w:rsidRPr="00493E2C">
        <w:rPr>
          <w:rFonts w:ascii="宋体" w:hAnsi="宋体" w:hint="eastAsia"/>
          <w:sz w:val="24"/>
        </w:rPr>
        <w:t>万元，冲回递延所得税资产影响所得税费用</w:t>
      </w:r>
      <w:r w:rsidR="00493756">
        <w:rPr>
          <w:rFonts w:ascii="宋体" w:hAnsi="宋体" w:hint="eastAsia"/>
          <w:sz w:val="24"/>
        </w:rPr>
        <w:t>781</w:t>
      </w:r>
      <w:r w:rsidRPr="00493E2C">
        <w:rPr>
          <w:rFonts w:ascii="宋体" w:hAnsi="宋体" w:hint="eastAsia"/>
          <w:sz w:val="24"/>
        </w:rPr>
        <w:t>万元，其他主要为新增的防腐保温费、</w:t>
      </w:r>
      <w:proofErr w:type="gramStart"/>
      <w:r w:rsidRPr="00493E2C">
        <w:rPr>
          <w:rFonts w:ascii="宋体" w:hAnsi="宋体" w:hint="eastAsia"/>
          <w:sz w:val="24"/>
        </w:rPr>
        <w:t>工废处置</w:t>
      </w:r>
      <w:proofErr w:type="gramEnd"/>
      <w:r w:rsidRPr="00493E2C">
        <w:rPr>
          <w:rFonts w:ascii="宋体" w:hAnsi="宋体" w:hint="eastAsia"/>
          <w:sz w:val="24"/>
        </w:rPr>
        <w:t>费支出和其他停工损失。</w:t>
      </w:r>
    </w:p>
    <w:p w:rsidR="00C00BCE" w:rsidRPr="005F4824" w:rsidRDefault="00C00BCE" w:rsidP="00C00BCE">
      <w:pPr>
        <w:spacing w:line="360" w:lineRule="auto"/>
        <w:ind w:firstLineChars="200" w:firstLine="480"/>
        <w:rPr>
          <w:rFonts w:ascii="宋体" w:hAnsi="宋体"/>
          <w:sz w:val="24"/>
        </w:rPr>
      </w:pPr>
    </w:p>
    <w:p w:rsidR="00C00BCE" w:rsidRPr="00597961" w:rsidRDefault="00C00BCE" w:rsidP="00C00BCE">
      <w:pPr>
        <w:ind w:firstLineChars="200" w:firstLine="480"/>
        <w:rPr>
          <w:rFonts w:ascii="宋体" w:hAnsi="宋体"/>
          <w:sz w:val="24"/>
        </w:rPr>
      </w:pPr>
      <w:r w:rsidRPr="00BF4B3A">
        <w:rPr>
          <w:rFonts w:ascii="宋体" w:hAnsi="宋体" w:hint="eastAsia"/>
          <w:sz w:val="24"/>
        </w:rPr>
        <w:t>（</w:t>
      </w:r>
      <w:r w:rsidRPr="00597961">
        <w:rPr>
          <w:rFonts w:ascii="宋体" w:hAnsi="宋体" w:hint="eastAsia"/>
          <w:sz w:val="24"/>
        </w:rPr>
        <w:t>3）扣除江苏银行股份转让收益和计提的商誉减值准备后的财务数据列表如下：</w:t>
      </w:r>
    </w:p>
    <w:p w:rsidR="008C71F5" w:rsidRPr="00134A43" w:rsidRDefault="008C71F5" w:rsidP="00544E57">
      <w:pPr>
        <w:jc w:val="left"/>
        <w:rPr>
          <w:rFonts w:ascii="宋体" w:hAnsi="宋体"/>
          <w:sz w:val="24"/>
        </w:rPr>
      </w:pPr>
      <w:r w:rsidRPr="009351F3">
        <w:rPr>
          <w:rFonts w:ascii="宋体" w:hAnsi="宋体" w:hint="eastAsia"/>
          <w:sz w:val="24"/>
        </w:rPr>
        <w:t>表2.</w:t>
      </w:r>
      <w:r>
        <w:rPr>
          <w:rFonts w:ascii="宋体" w:hAnsi="宋体" w:hint="eastAsia"/>
          <w:sz w:val="24"/>
        </w:rPr>
        <w:t>3</w:t>
      </w:r>
    </w:p>
    <w:p w:rsidR="008C71F5" w:rsidRPr="009351F3" w:rsidRDefault="008C71F5" w:rsidP="008C71F5">
      <w:pPr>
        <w:ind w:firstLineChars="200" w:firstLine="480"/>
        <w:jc w:val="right"/>
        <w:rPr>
          <w:rFonts w:ascii="宋体" w:hAnsi="宋体"/>
          <w:sz w:val="24"/>
        </w:rPr>
      </w:pPr>
      <w:r w:rsidRPr="00E25603">
        <w:rPr>
          <w:rFonts w:ascii="宋体" w:hAnsi="宋体" w:hint="eastAsia"/>
          <w:sz w:val="24"/>
        </w:rPr>
        <w:t>单位</w:t>
      </w:r>
      <w:r w:rsidRPr="00134A43">
        <w:rPr>
          <w:rFonts w:ascii="宋体" w:hAnsi="宋体" w:hint="eastAsia"/>
          <w:sz w:val="24"/>
        </w:rPr>
        <w:t xml:space="preserve"> ：万元</w:t>
      </w:r>
    </w:p>
    <w:tbl>
      <w:tblPr>
        <w:tblW w:w="5000" w:type="pct"/>
        <w:tblLayout w:type="fixed"/>
        <w:tblLook w:val="04A0" w:firstRow="1" w:lastRow="0" w:firstColumn="1" w:lastColumn="0" w:noHBand="0" w:noVBand="1"/>
      </w:tblPr>
      <w:tblGrid>
        <w:gridCol w:w="2235"/>
        <w:gridCol w:w="1417"/>
        <w:gridCol w:w="1278"/>
        <w:gridCol w:w="1133"/>
        <w:gridCol w:w="1133"/>
        <w:gridCol w:w="1326"/>
      </w:tblGrid>
      <w:tr w:rsidR="00C00BCE" w:rsidRPr="00493E2C" w:rsidTr="00544E57">
        <w:trPr>
          <w:trHeight w:val="270"/>
        </w:trPr>
        <w:tc>
          <w:tcPr>
            <w:tcW w:w="1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CE" w:rsidRPr="00426630" w:rsidRDefault="00C00BCE" w:rsidP="00544E57">
            <w:pPr>
              <w:widowControl/>
              <w:jc w:val="left"/>
              <w:rPr>
                <w:rFonts w:ascii="宋体" w:hAnsi="宋体" w:cs="宋体"/>
                <w:color w:val="000000"/>
                <w:kern w:val="0"/>
                <w:sz w:val="18"/>
                <w:szCs w:val="18"/>
              </w:rPr>
            </w:pPr>
            <w:r w:rsidRPr="00426630">
              <w:rPr>
                <w:rFonts w:ascii="宋体" w:hAnsi="宋体" w:cs="宋体" w:hint="eastAsia"/>
                <w:color w:val="000000"/>
                <w:kern w:val="0"/>
                <w:sz w:val="18"/>
                <w:szCs w:val="18"/>
              </w:rPr>
              <w:t>项目</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C00BCE" w:rsidRPr="00433C93" w:rsidRDefault="00C00BCE" w:rsidP="008C71F5">
            <w:pPr>
              <w:widowControl/>
              <w:jc w:val="center"/>
              <w:rPr>
                <w:rFonts w:ascii="宋体" w:hAnsi="宋体" w:cs="宋体"/>
                <w:color w:val="000000"/>
                <w:kern w:val="0"/>
                <w:sz w:val="18"/>
                <w:szCs w:val="18"/>
              </w:rPr>
            </w:pPr>
            <w:r w:rsidRPr="00433C93">
              <w:rPr>
                <w:rFonts w:ascii="宋体" w:hAnsi="宋体" w:cs="宋体" w:hint="eastAsia"/>
                <w:color w:val="000000"/>
                <w:kern w:val="0"/>
                <w:sz w:val="18"/>
                <w:szCs w:val="18"/>
              </w:rPr>
              <w:t>一季度</w:t>
            </w:r>
          </w:p>
        </w:tc>
        <w:tc>
          <w:tcPr>
            <w:tcW w:w="750" w:type="pct"/>
            <w:tcBorders>
              <w:top w:val="single" w:sz="4" w:space="0" w:color="auto"/>
              <w:left w:val="nil"/>
              <w:bottom w:val="single" w:sz="4" w:space="0" w:color="auto"/>
              <w:right w:val="single" w:sz="4" w:space="0" w:color="auto"/>
            </w:tcBorders>
            <w:shd w:val="clear" w:color="auto" w:fill="auto"/>
            <w:noWrap/>
            <w:vAlign w:val="center"/>
            <w:hideMark/>
          </w:tcPr>
          <w:p w:rsidR="00C00BCE" w:rsidRPr="00134A43" w:rsidRDefault="00C00BCE" w:rsidP="008C71F5">
            <w:pPr>
              <w:widowControl/>
              <w:jc w:val="center"/>
              <w:rPr>
                <w:rFonts w:ascii="宋体" w:hAnsi="宋体" w:cs="宋体"/>
                <w:color w:val="000000"/>
                <w:kern w:val="0"/>
                <w:sz w:val="18"/>
                <w:szCs w:val="18"/>
              </w:rPr>
            </w:pPr>
            <w:r w:rsidRPr="00E25603">
              <w:rPr>
                <w:rFonts w:ascii="宋体" w:hAnsi="宋体" w:cs="宋体" w:hint="eastAsia"/>
                <w:color w:val="000000"/>
                <w:kern w:val="0"/>
                <w:sz w:val="18"/>
                <w:szCs w:val="18"/>
              </w:rPr>
              <w:t>二季度</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C00BCE" w:rsidRPr="009351F3" w:rsidRDefault="00C00BCE" w:rsidP="008C71F5">
            <w:pPr>
              <w:widowControl/>
              <w:jc w:val="center"/>
              <w:rPr>
                <w:rFonts w:ascii="宋体" w:hAnsi="宋体" w:cs="宋体"/>
                <w:color w:val="000000"/>
                <w:kern w:val="0"/>
                <w:sz w:val="18"/>
                <w:szCs w:val="18"/>
              </w:rPr>
            </w:pPr>
            <w:r w:rsidRPr="009351F3">
              <w:rPr>
                <w:rFonts w:ascii="宋体" w:hAnsi="宋体" w:cs="宋体" w:hint="eastAsia"/>
                <w:color w:val="000000"/>
                <w:kern w:val="0"/>
                <w:sz w:val="18"/>
                <w:szCs w:val="18"/>
              </w:rPr>
              <w:t>三季度</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C00BCE" w:rsidRPr="009351F3" w:rsidRDefault="00C00BCE" w:rsidP="008C71F5">
            <w:pPr>
              <w:widowControl/>
              <w:jc w:val="center"/>
              <w:rPr>
                <w:rFonts w:ascii="宋体" w:hAnsi="宋体" w:cs="宋体"/>
                <w:color w:val="000000"/>
                <w:kern w:val="0"/>
                <w:sz w:val="18"/>
                <w:szCs w:val="18"/>
              </w:rPr>
            </w:pPr>
            <w:r w:rsidRPr="009351F3">
              <w:rPr>
                <w:rFonts w:ascii="宋体" w:hAnsi="宋体" w:cs="宋体" w:hint="eastAsia"/>
                <w:color w:val="000000"/>
                <w:kern w:val="0"/>
                <w:sz w:val="18"/>
                <w:szCs w:val="18"/>
              </w:rPr>
              <w:t>四季度</w:t>
            </w:r>
          </w:p>
        </w:tc>
        <w:tc>
          <w:tcPr>
            <w:tcW w:w="778" w:type="pct"/>
            <w:tcBorders>
              <w:top w:val="single" w:sz="4" w:space="0" w:color="auto"/>
              <w:left w:val="nil"/>
              <w:bottom w:val="single" w:sz="4" w:space="0" w:color="auto"/>
              <w:right w:val="single" w:sz="4" w:space="0" w:color="auto"/>
            </w:tcBorders>
            <w:shd w:val="clear" w:color="auto" w:fill="auto"/>
            <w:noWrap/>
            <w:vAlign w:val="center"/>
            <w:hideMark/>
          </w:tcPr>
          <w:p w:rsidR="00C00BCE" w:rsidRPr="00493E2C" w:rsidRDefault="00C00BCE" w:rsidP="008C71F5">
            <w:pPr>
              <w:widowControl/>
              <w:jc w:val="center"/>
              <w:rPr>
                <w:rFonts w:ascii="宋体" w:hAnsi="宋体" w:cs="宋体"/>
                <w:color w:val="000000"/>
                <w:kern w:val="0"/>
                <w:sz w:val="18"/>
                <w:szCs w:val="18"/>
              </w:rPr>
            </w:pPr>
            <w:r w:rsidRPr="007B379A">
              <w:rPr>
                <w:rFonts w:ascii="宋体" w:hAnsi="宋体" w:cs="宋体" w:hint="eastAsia"/>
                <w:color w:val="000000"/>
                <w:kern w:val="0"/>
                <w:sz w:val="18"/>
                <w:szCs w:val="18"/>
              </w:rPr>
              <w:t>合计</w:t>
            </w:r>
          </w:p>
        </w:tc>
      </w:tr>
      <w:tr w:rsidR="00C00BCE" w:rsidRPr="00493E2C" w:rsidTr="00544E57">
        <w:trPr>
          <w:trHeight w:val="270"/>
        </w:trPr>
        <w:tc>
          <w:tcPr>
            <w:tcW w:w="1311" w:type="pct"/>
            <w:tcBorders>
              <w:top w:val="nil"/>
              <w:left w:val="single" w:sz="4" w:space="0" w:color="auto"/>
              <w:bottom w:val="single" w:sz="4" w:space="0" w:color="auto"/>
              <w:right w:val="single" w:sz="4" w:space="0" w:color="auto"/>
            </w:tcBorders>
            <w:shd w:val="clear" w:color="auto" w:fill="auto"/>
            <w:noWrap/>
            <w:vAlign w:val="center"/>
            <w:hideMark/>
          </w:tcPr>
          <w:p w:rsidR="00C00BCE" w:rsidRPr="004C296D" w:rsidRDefault="00C00BCE" w:rsidP="00544E57">
            <w:pPr>
              <w:jc w:val="left"/>
              <w:rPr>
                <w:sz w:val="18"/>
                <w:szCs w:val="18"/>
              </w:rPr>
            </w:pPr>
            <w:r w:rsidRPr="004C296D">
              <w:rPr>
                <w:rFonts w:hint="eastAsia"/>
                <w:sz w:val="18"/>
                <w:szCs w:val="18"/>
              </w:rPr>
              <w:t>营业收入</w:t>
            </w:r>
          </w:p>
        </w:tc>
        <w:tc>
          <w:tcPr>
            <w:tcW w:w="831"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56,411.55</w:t>
            </w:r>
          </w:p>
        </w:tc>
        <w:tc>
          <w:tcPr>
            <w:tcW w:w="750"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42,223.31</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41,189.12</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30,338.78</w:t>
            </w:r>
          </w:p>
        </w:tc>
        <w:tc>
          <w:tcPr>
            <w:tcW w:w="778"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170,162.76</w:t>
            </w:r>
          </w:p>
        </w:tc>
      </w:tr>
      <w:tr w:rsidR="00C00BCE" w:rsidRPr="00493E2C" w:rsidTr="00544E57">
        <w:trPr>
          <w:trHeight w:val="270"/>
        </w:trPr>
        <w:tc>
          <w:tcPr>
            <w:tcW w:w="1311" w:type="pct"/>
            <w:tcBorders>
              <w:top w:val="nil"/>
              <w:left w:val="single" w:sz="4" w:space="0" w:color="auto"/>
              <w:bottom w:val="single" w:sz="4" w:space="0" w:color="auto"/>
              <w:right w:val="single" w:sz="4" w:space="0" w:color="auto"/>
            </w:tcBorders>
            <w:shd w:val="clear" w:color="auto" w:fill="auto"/>
            <w:noWrap/>
            <w:vAlign w:val="center"/>
            <w:hideMark/>
          </w:tcPr>
          <w:p w:rsidR="00C00BCE" w:rsidRPr="004C296D" w:rsidRDefault="00C00BCE" w:rsidP="00544E57">
            <w:pPr>
              <w:jc w:val="left"/>
              <w:rPr>
                <w:sz w:val="18"/>
                <w:szCs w:val="18"/>
              </w:rPr>
            </w:pPr>
            <w:r w:rsidRPr="004C296D">
              <w:rPr>
                <w:rFonts w:hint="eastAsia"/>
                <w:sz w:val="18"/>
                <w:szCs w:val="18"/>
              </w:rPr>
              <w:t>营业成本</w:t>
            </w:r>
          </w:p>
        </w:tc>
        <w:tc>
          <w:tcPr>
            <w:tcW w:w="831"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36,924.96</w:t>
            </w:r>
          </w:p>
        </w:tc>
        <w:tc>
          <w:tcPr>
            <w:tcW w:w="750"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27,506.36</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26,770.78</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18,614.85</w:t>
            </w:r>
          </w:p>
        </w:tc>
        <w:tc>
          <w:tcPr>
            <w:tcW w:w="778"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109,816.95</w:t>
            </w:r>
          </w:p>
        </w:tc>
      </w:tr>
      <w:tr w:rsidR="00C00BCE" w:rsidRPr="00493E2C" w:rsidTr="00544E57">
        <w:trPr>
          <w:trHeight w:val="270"/>
        </w:trPr>
        <w:tc>
          <w:tcPr>
            <w:tcW w:w="1311" w:type="pct"/>
            <w:tcBorders>
              <w:top w:val="nil"/>
              <w:left w:val="single" w:sz="4" w:space="0" w:color="auto"/>
              <w:bottom w:val="single" w:sz="4" w:space="0" w:color="auto"/>
              <w:right w:val="single" w:sz="4" w:space="0" w:color="auto"/>
            </w:tcBorders>
            <w:shd w:val="clear" w:color="auto" w:fill="auto"/>
            <w:noWrap/>
            <w:vAlign w:val="center"/>
            <w:hideMark/>
          </w:tcPr>
          <w:p w:rsidR="00C00BCE" w:rsidRPr="004C296D" w:rsidRDefault="00C00BCE" w:rsidP="00544E57">
            <w:pPr>
              <w:jc w:val="left"/>
              <w:rPr>
                <w:sz w:val="18"/>
                <w:szCs w:val="18"/>
              </w:rPr>
            </w:pPr>
            <w:r w:rsidRPr="004C296D">
              <w:rPr>
                <w:rFonts w:hint="eastAsia"/>
                <w:sz w:val="18"/>
                <w:szCs w:val="18"/>
              </w:rPr>
              <w:t>销售费用</w:t>
            </w:r>
          </w:p>
        </w:tc>
        <w:tc>
          <w:tcPr>
            <w:tcW w:w="831"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11,487.32</w:t>
            </w:r>
          </w:p>
        </w:tc>
        <w:tc>
          <w:tcPr>
            <w:tcW w:w="750"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8,770.31</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10,319.88</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12,268.74</w:t>
            </w:r>
          </w:p>
        </w:tc>
        <w:tc>
          <w:tcPr>
            <w:tcW w:w="778"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42,846.25</w:t>
            </w:r>
          </w:p>
        </w:tc>
      </w:tr>
      <w:tr w:rsidR="00C00BCE" w:rsidRPr="00493E2C" w:rsidTr="00544E57">
        <w:trPr>
          <w:trHeight w:val="270"/>
        </w:trPr>
        <w:tc>
          <w:tcPr>
            <w:tcW w:w="1311" w:type="pct"/>
            <w:tcBorders>
              <w:top w:val="nil"/>
              <w:left w:val="single" w:sz="4" w:space="0" w:color="auto"/>
              <w:bottom w:val="single" w:sz="4" w:space="0" w:color="auto"/>
              <w:right w:val="single" w:sz="4" w:space="0" w:color="auto"/>
            </w:tcBorders>
            <w:shd w:val="clear" w:color="auto" w:fill="auto"/>
            <w:noWrap/>
            <w:hideMark/>
          </w:tcPr>
          <w:p w:rsidR="00C00BCE" w:rsidRPr="004C296D" w:rsidRDefault="00C00BCE" w:rsidP="00544E57">
            <w:pPr>
              <w:jc w:val="left"/>
              <w:rPr>
                <w:sz w:val="18"/>
                <w:szCs w:val="18"/>
              </w:rPr>
            </w:pPr>
            <w:r w:rsidRPr="004C296D">
              <w:rPr>
                <w:rFonts w:hint="eastAsia"/>
                <w:sz w:val="18"/>
                <w:szCs w:val="18"/>
              </w:rPr>
              <w:t>管理费用</w:t>
            </w:r>
          </w:p>
        </w:tc>
        <w:tc>
          <w:tcPr>
            <w:tcW w:w="831" w:type="pct"/>
            <w:tcBorders>
              <w:top w:val="nil"/>
              <w:left w:val="nil"/>
              <w:bottom w:val="single" w:sz="4" w:space="0" w:color="auto"/>
              <w:right w:val="single" w:sz="4" w:space="0" w:color="auto"/>
            </w:tcBorders>
            <w:shd w:val="clear" w:color="auto" w:fill="auto"/>
            <w:noWrap/>
            <w:hideMark/>
          </w:tcPr>
          <w:p w:rsidR="00C00BCE" w:rsidRPr="004C296D" w:rsidRDefault="00C00BCE" w:rsidP="00544E57">
            <w:pPr>
              <w:jc w:val="right"/>
              <w:rPr>
                <w:sz w:val="18"/>
                <w:szCs w:val="18"/>
              </w:rPr>
            </w:pPr>
            <w:r w:rsidRPr="004C296D">
              <w:rPr>
                <w:rFonts w:hint="eastAsia"/>
                <w:sz w:val="18"/>
                <w:szCs w:val="18"/>
              </w:rPr>
              <w:t xml:space="preserve"> 3,691.37 </w:t>
            </w:r>
          </w:p>
        </w:tc>
        <w:tc>
          <w:tcPr>
            <w:tcW w:w="750" w:type="pct"/>
            <w:tcBorders>
              <w:top w:val="nil"/>
              <w:left w:val="nil"/>
              <w:bottom w:val="single" w:sz="4" w:space="0" w:color="auto"/>
              <w:right w:val="single" w:sz="4" w:space="0" w:color="auto"/>
            </w:tcBorders>
            <w:shd w:val="clear" w:color="auto" w:fill="auto"/>
            <w:noWrap/>
            <w:hideMark/>
          </w:tcPr>
          <w:p w:rsidR="00C00BCE" w:rsidRPr="004C296D" w:rsidRDefault="00C00BCE" w:rsidP="00544E57">
            <w:pPr>
              <w:jc w:val="right"/>
              <w:rPr>
                <w:sz w:val="18"/>
                <w:szCs w:val="18"/>
              </w:rPr>
            </w:pPr>
            <w:r w:rsidRPr="004C296D">
              <w:rPr>
                <w:rFonts w:hint="eastAsia"/>
                <w:sz w:val="18"/>
                <w:szCs w:val="18"/>
              </w:rPr>
              <w:t xml:space="preserve"> 3,320.05 </w:t>
            </w:r>
          </w:p>
        </w:tc>
        <w:tc>
          <w:tcPr>
            <w:tcW w:w="665" w:type="pct"/>
            <w:tcBorders>
              <w:top w:val="nil"/>
              <w:left w:val="nil"/>
              <w:bottom w:val="single" w:sz="4" w:space="0" w:color="auto"/>
              <w:right w:val="single" w:sz="4" w:space="0" w:color="auto"/>
            </w:tcBorders>
            <w:shd w:val="clear" w:color="auto" w:fill="auto"/>
            <w:noWrap/>
            <w:hideMark/>
          </w:tcPr>
          <w:p w:rsidR="00C00BCE" w:rsidRPr="004C296D" w:rsidRDefault="00C00BCE" w:rsidP="00544E57">
            <w:pPr>
              <w:jc w:val="right"/>
              <w:rPr>
                <w:sz w:val="18"/>
                <w:szCs w:val="18"/>
              </w:rPr>
            </w:pPr>
            <w:r w:rsidRPr="004C296D">
              <w:rPr>
                <w:rFonts w:hint="eastAsia"/>
                <w:sz w:val="18"/>
                <w:szCs w:val="18"/>
              </w:rPr>
              <w:t xml:space="preserve"> 3,872.03 </w:t>
            </w:r>
          </w:p>
        </w:tc>
        <w:tc>
          <w:tcPr>
            <w:tcW w:w="665" w:type="pct"/>
            <w:tcBorders>
              <w:top w:val="nil"/>
              <w:left w:val="nil"/>
              <w:bottom w:val="single" w:sz="4" w:space="0" w:color="auto"/>
              <w:right w:val="single" w:sz="4" w:space="0" w:color="auto"/>
            </w:tcBorders>
            <w:shd w:val="clear" w:color="auto" w:fill="auto"/>
            <w:noWrap/>
            <w:hideMark/>
          </w:tcPr>
          <w:p w:rsidR="00C00BCE" w:rsidRPr="004C296D" w:rsidRDefault="00C00BCE" w:rsidP="00544E57">
            <w:pPr>
              <w:jc w:val="right"/>
              <w:rPr>
                <w:sz w:val="18"/>
                <w:szCs w:val="18"/>
              </w:rPr>
            </w:pPr>
            <w:r w:rsidRPr="004C296D">
              <w:rPr>
                <w:rFonts w:hint="eastAsia"/>
                <w:sz w:val="18"/>
                <w:szCs w:val="18"/>
              </w:rPr>
              <w:t xml:space="preserve"> 5,476.62 </w:t>
            </w:r>
          </w:p>
        </w:tc>
        <w:tc>
          <w:tcPr>
            <w:tcW w:w="778" w:type="pct"/>
            <w:tcBorders>
              <w:top w:val="nil"/>
              <w:left w:val="nil"/>
              <w:bottom w:val="single" w:sz="4" w:space="0" w:color="auto"/>
              <w:right w:val="single" w:sz="4" w:space="0" w:color="auto"/>
            </w:tcBorders>
            <w:shd w:val="clear" w:color="auto" w:fill="auto"/>
            <w:noWrap/>
            <w:hideMark/>
          </w:tcPr>
          <w:p w:rsidR="00C00BCE" w:rsidRPr="004C296D" w:rsidRDefault="00C00BCE" w:rsidP="00544E57">
            <w:pPr>
              <w:jc w:val="right"/>
              <w:rPr>
                <w:sz w:val="18"/>
                <w:szCs w:val="18"/>
              </w:rPr>
            </w:pPr>
            <w:r w:rsidRPr="004C296D">
              <w:rPr>
                <w:rFonts w:hint="eastAsia"/>
                <w:sz w:val="18"/>
                <w:szCs w:val="18"/>
              </w:rPr>
              <w:t xml:space="preserve"> 16,360.06 </w:t>
            </w:r>
          </w:p>
        </w:tc>
      </w:tr>
      <w:tr w:rsidR="00C00BCE" w:rsidRPr="00493E2C" w:rsidTr="00544E57">
        <w:trPr>
          <w:trHeight w:val="270"/>
        </w:trPr>
        <w:tc>
          <w:tcPr>
            <w:tcW w:w="1311" w:type="pct"/>
            <w:tcBorders>
              <w:top w:val="nil"/>
              <w:left w:val="single" w:sz="4" w:space="0" w:color="auto"/>
              <w:bottom w:val="single" w:sz="4" w:space="0" w:color="auto"/>
              <w:right w:val="single" w:sz="4" w:space="0" w:color="auto"/>
            </w:tcBorders>
            <w:shd w:val="clear" w:color="auto" w:fill="auto"/>
            <w:noWrap/>
          </w:tcPr>
          <w:p w:rsidR="00C00BCE" w:rsidRPr="004C296D" w:rsidRDefault="00C00BCE" w:rsidP="00544E57">
            <w:pPr>
              <w:jc w:val="left"/>
              <w:rPr>
                <w:sz w:val="18"/>
                <w:szCs w:val="18"/>
              </w:rPr>
            </w:pPr>
            <w:r w:rsidRPr="004C296D">
              <w:rPr>
                <w:rFonts w:hint="eastAsia"/>
                <w:sz w:val="18"/>
                <w:szCs w:val="18"/>
              </w:rPr>
              <w:t>研发费用</w:t>
            </w:r>
          </w:p>
        </w:tc>
        <w:tc>
          <w:tcPr>
            <w:tcW w:w="831"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 xml:space="preserve"> 559.37 </w:t>
            </w:r>
          </w:p>
        </w:tc>
        <w:tc>
          <w:tcPr>
            <w:tcW w:w="750"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 xml:space="preserve"> 281.72 </w:t>
            </w:r>
          </w:p>
        </w:tc>
        <w:tc>
          <w:tcPr>
            <w:tcW w:w="665"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 xml:space="preserve"> 589.05 </w:t>
            </w:r>
          </w:p>
        </w:tc>
        <w:tc>
          <w:tcPr>
            <w:tcW w:w="665"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 xml:space="preserve"> 3,672.70 </w:t>
            </w:r>
          </w:p>
        </w:tc>
        <w:tc>
          <w:tcPr>
            <w:tcW w:w="778"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5,102.84</w:t>
            </w:r>
          </w:p>
        </w:tc>
      </w:tr>
      <w:tr w:rsidR="00C00BCE" w:rsidRPr="00493E2C" w:rsidTr="00544E57">
        <w:trPr>
          <w:trHeight w:val="270"/>
        </w:trPr>
        <w:tc>
          <w:tcPr>
            <w:tcW w:w="1311" w:type="pct"/>
            <w:tcBorders>
              <w:top w:val="nil"/>
              <w:left w:val="single" w:sz="4" w:space="0" w:color="auto"/>
              <w:bottom w:val="single" w:sz="4" w:space="0" w:color="auto"/>
              <w:right w:val="single" w:sz="4" w:space="0" w:color="auto"/>
            </w:tcBorders>
            <w:shd w:val="clear" w:color="auto" w:fill="auto"/>
            <w:noWrap/>
            <w:vAlign w:val="center"/>
            <w:hideMark/>
          </w:tcPr>
          <w:p w:rsidR="00C00BCE" w:rsidRPr="004C296D" w:rsidRDefault="00C00BCE" w:rsidP="00544E57">
            <w:pPr>
              <w:jc w:val="left"/>
              <w:rPr>
                <w:sz w:val="18"/>
                <w:szCs w:val="18"/>
              </w:rPr>
            </w:pPr>
            <w:r w:rsidRPr="004C296D">
              <w:rPr>
                <w:rFonts w:hint="eastAsia"/>
                <w:sz w:val="18"/>
                <w:szCs w:val="18"/>
              </w:rPr>
              <w:t>财务费用</w:t>
            </w:r>
          </w:p>
        </w:tc>
        <w:tc>
          <w:tcPr>
            <w:tcW w:w="831"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593.23</w:t>
            </w:r>
          </w:p>
        </w:tc>
        <w:tc>
          <w:tcPr>
            <w:tcW w:w="750"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697.73</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1,049.51</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896.92</w:t>
            </w:r>
          </w:p>
        </w:tc>
        <w:tc>
          <w:tcPr>
            <w:tcW w:w="778"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3,237.39</w:t>
            </w:r>
          </w:p>
        </w:tc>
      </w:tr>
      <w:tr w:rsidR="00C00BCE" w:rsidRPr="00493E2C" w:rsidTr="00544E57">
        <w:trPr>
          <w:trHeight w:val="270"/>
        </w:trPr>
        <w:tc>
          <w:tcPr>
            <w:tcW w:w="1311" w:type="pct"/>
            <w:tcBorders>
              <w:top w:val="nil"/>
              <w:left w:val="single" w:sz="4" w:space="0" w:color="auto"/>
              <w:bottom w:val="single" w:sz="4" w:space="0" w:color="auto"/>
              <w:right w:val="single" w:sz="4" w:space="0" w:color="auto"/>
            </w:tcBorders>
            <w:shd w:val="clear" w:color="auto" w:fill="auto"/>
            <w:noWrap/>
          </w:tcPr>
          <w:p w:rsidR="00C00BCE" w:rsidRPr="004C296D" w:rsidRDefault="00C00BCE" w:rsidP="00544E57">
            <w:pPr>
              <w:jc w:val="left"/>
              <w:rPr>
                <w:sz w:val="18"/>
                <w:szCs w:val="18"/>
              </w:rPr>
            </w:pPr>
            <w:r w:rsidRPr="004C296D">
              <w:rPr>
                <w:rFonts w:hint="eastAsia"/>
                <w:sz w:val="18"/>
                <w:szCs w:val="18"/>
              </w:rPr>
              <w:t>资产减值损失（扣除商誉减值损失）</w:t>
            </w:r>
          </w:p>
        </w:tc>
        <w:tc>
          <w:tcPr>
            <w:tcW w:w="831"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280.13</w:t>
            </w:r>
          </w:p>
        </w:tc>
        <w:tc>
          <w:tcPr>
            <w:tcW w:w="750"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-434.81</w:t>
            </w:r>
          </w:p>
        </w:tc>
        <w:tc>
          <w:tcPr>
            <w:tcW w:w="665"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-121.88</w:t>
            </w:r>
          </w:p>
        </w:tc>
        <w:tc>
          <w:tcPr>
            <w:tcW w:w="665"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556.47</w:t>
            </w:r>
          </w:p>
        </w:tc>
        <w:tc>
          <w:tcPr>
            <w:tcW w:w="778"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279.92</w:t>
            </w:r>
          </w:p>
        </w:tc>
      </w:tr>
      <w:tr w:rsidR="00C00BCE" w:rsidRPr="00493E2C" w:rsidTr="00544E57">
        <w:trPr>
          <w:trHeight w:val="270"/>
        </w:trPr>
        <w:tc>
          <w:tcPr>
            <w:tcW w:w="1311" w:type="pct"/>
            <w:tcBorders>
              <w:top w:val="nil"/>
              <w:left w:val="single" w:sz="4" w:space="0" w:color="auto"/>
              <w:bottom w:val="single" w:sz="4" w:space="0" w:color="auto"/>
              <w:right w:val="single" w:sz="4" w:space="0" w:color="auto"/>
            </w:tcBorders>
            <w:shd w:val="clear" w:color="auto" w:fill="auto"/>
            <w:noWrap/>
          </w:tcPr>
          <w:p w:rsidR="00C00BCE" w:rsidRPr="004C296D" w:rsidRDefault="00C00BCE" w:rsidP="00544E57">
            <w:pPr>
              <w:jc w:val="left"/>
              <w:rPr>
                <w:sz w:val="18"/>
                <w:szCs w:val="18"/>
              </w:rPr>
            </w:pPr>
            <w:r w:rsidRPr="004C296D">
              <w:rPr>
                <w:rFonts w:hint="eastAsia"/>
                <w:sz w:val="18"/>
                <w:szCs w:val="18"/>
              </w:rPr>
              <w:t>投资收益（扣除江苏银行股票转让收益）</w:t>
            </w:r>
          </w:p>
        </w:tc>
        <w:tc>
          <w:tcPr>
            <w:tcW w:w="831"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31.79</w:t>
            </w:r>
          </w:p>
        </w:tc>
        <w:tc>
          <w:tcPr>
            <w:tcW w:w="750"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554.81</w:t>
            </w:r>
          </w:p>
        </w:tc>
        <w:tc>
          <w:tcPr>
            <w:tcW w:w="665"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450.84</w:t>
            </w:r>
          </w:p>
        </w:tc>
        <w:tc>
          <w:tcPr>
            <w:tcW w:w="665"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269.59</w:t>
            </w:r>
          </w:p>
        </w:tc>
        <w:tc>
          <w:tcPr>
            <w:tcW w:w="778"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rFonts w:hint="eastAsia"/>
                <w:sz w:val="18"/>
                <w:szCs w:val="18"/>
              </w:rPr>
              <w:t>1,307.02</w:t>
            </w:r>
          </w:p>
        </w:tc>
      </w:tr>
      <w:tr w:rsidR="00C00BCE" w:rsidRPr="00493E2C" w:rsidTr="00544E57">
        <w:trPr>
          <w:trHeight w:val="270"/>
        </w:trPr>
        <w:tc>
          <w:tcPr>
            <w:tcW w:w="1311" w:type="pct"/>
            <w:tcBorders>
              <w:top w:val="nil"/>
              <w:left w:val="single" w:sz="4" w:space="0" w:color="auto"/>
              <w:bottom w:val="single" w:sz="4" w:space="0" w:color="auto"/>
              <w:right w:val="single" w:sz="4" w:space="0" w:color="auto"/>
            </w:tcBorders>
            <w:shd w:val="clear" w:color="auto" w:fill="auto"/>
            <w:noWrap/>
            <w:vAlign w:val="center"/>
          </w:tcPr>
          <w:p w:rsidR="00C00BCE" w:rsidRPr="004C296D" w:rsidRDefault="00C00BCE" w:rsidP="00544E57">
            <w:pPr>
              <w:jc w:val="left"/>
              <w:rPr>
                <w:sz w:val="18"/>
                <w:szCs w:val="18"/>
              </w:rPr>
            </w:pPr>
            <w:r w:rsidRPr="00FC007F">
              <w:rPr>
                <w:rFonts w:hint="eastAsia"/>
                <w:sz w:val="18"/>
                <w:szCs w:val="18"/>
              </w:rPr>
              <w:t>营业利润</w:t>
            </w:r>
          </w:p>
        </w:tc>
        <w:tc>
          <w:tcPr>
            <w:tcW w:w="831"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sz w:val="18"/>
                <w:szCs w:val="18"/>
              </w:rPr>
              <w:t xml:space="preserve"> 2,417.45 </w:t>
            </w:r>
          </w:p>
        </w:tc>
        <w:tc>
          <w:tcPr>
            <w:tcW w:w="750"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sz w:val="18"/>
                <w:szCs w:val="18"/>
              </w:rPr>
              <w:t xml:space="preserve"> 2,640.63 </w:t>
            </w:r>
          </w:p>
        </w:tc>
        <w:tc>
          <w:tcPr>
            <w:tcW w:w="665"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sz w:val="18"/>
                <w:szCs w:val="18"/>
              </w:rPr>
              <w:t xml:space="preserve"> -1,222.48 </w:t>
            </w:r>
          </w:p>
        </w:tc>
        <w:tc>
          <w:tcPr>
            <w:tcW w:w="665"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sz w:val="18"/>
                <w:szCs w:val="18"/>
              </w:rPr>
              <w:t xml:space="preserve"> -9,689.49 </w:t>
            </w:r>
          </w:p>
        </w:tc>
        <w:tc>
          <w:tcPr>
            <w:tcW w:w="778" w:type="pct"/>
            <w:tcBorders>
              <w:top w:val="nil"/>
              <w:left w:val="nil"/>
              <w:bottom w:val="single" w:sz="4" w:space="0" w:color="auto"/>
              <w:right w:val="single" w:sz="4" w:space="0" w:color="auto"/>
            </w:tcBorders>
            <w:shd w:val="clear" w:color="auto" w:fill="auto"/>
            <w:noWrap/>
          </w:tcPr>
          <w:p w:rsidR="00C00BCE" w:rsidRPr="004C296D" w:rsidRDefault="00C00BCE" w:rsidP="00544E57">
            <w:pPr>
              <w:jc w:val="right"/>
              <w:rPr>
                <w:sz w:val="18"/>
                <w:szCs w:val="18"/>
              </w:rPr>
            </w:pPr>
            <w:r w:rsidRPr="004C296D">
              <w:rPr>
                <w:sz w:val="18"/>
                <w:szCs w:val="18"/>
              </w:rPr>
              <w:t xml:space="preserve"> -5,853.90 </w:t>
            </w:r>
          </w:p>
        </w:tc>
      </w:tr>
      <w:tr w:rsidR="00C00BCE" w:rsidRPr="00493E2C" w:rsidTr="00544E57">
        <w:trPr>
          <w:trHeight w:val="270"/>
        </w:trPr>
        <w:tc>
          <w:tcPr>
            <w:tcW w:w="1311" w:type="pct"/>
            <w:tcBorders>
              <w:top w:val="nil"/>
              <w:left w:val="single" w:sz="4" w:space="0" w:color="auto"/>
              <w:bottom w:val="single" w:sz="4" w:space="0" w:color="auto"/>
              <w:right w:val="single" w:sz="4" w:space="0" w:color="auto"/>
            </w:tcBorders>
            <w:shd w:val="clear" w:color="auto" w:fill="auto"/>
            <w:noWrap/>
            <w:vAlign w:val="center"/>
            <w:hideMark/>
          </w:tcPr>
          <w:p w:rsidR="00C00BCE" w:rsidRPr="004C296D" w:rsidRDefault="00C00BCE" w:rsidP="00544E57">
            <w:pPr>
              <w:jc w:val="left"/>
              <w:rPr>
                <w:sz w:val="18"/>
                <w:szCs w:val="18"/>
              </w:rPr>
            </w:pPr>
            <w:r w:rsidRPr="004C296D">
              <w:rPr>
                <w:rFonts w:hint="eastAsia"/>
                <w:sz w:val="18"/>
                <w:szCs w:val="18"/>
              </w:rPr>
              <w:t>营业外收入</w:t>
            </w:r>
          </w:p>
        </w:tc>
        <w:tc>
          <w:tcPr>
            <w:tcW w:w="831"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466.71</w:t>
            </w:r>
          </w:p>
        </w:tc>
        <w:tc>
          <w:tcPr>
            <w:tcW w:w="750"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1.31</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233.07</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765.19</w:t>
            </w:r>
          </w:p>
        </w:tc>
        <w:tc>
          <w:tcPr>
            <w:tcW w:w="778"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1,466.29</w:t>
            </w:r>
          </w:p>
        </w:tc>
      </w:tr>
      <w:tr w:rsidR="00C00BCE" w:rsidRPr="00493E2C" w:rsidTr="00544E57">
        <w:trPr>
          <w:trHeight w:val="270"/>
        </w:trPr>
        <w:tc>
          <w:tcPr>
            <w:tcW w:w="1311" w:type="pct"/>
            <w:tcBorders>
              <w:top w:val="nil"/>
              <w:left w:val="single" w:sz="4" w:space="0" w:color="auto"/>
              <w:bottom w:val="single" w:sz="4" w:space="0" w:color="auto"/>
              <w:right w:val="single" w:sz="4" w:space="0" w:color="auto"/>
            </w:tcBorders>
            <w:shd w:val="clear" w:color="auto" w:fill="auto"/>
            <w:noWrap/>
            <w:vAlign w:val="center"/>
            <w:hideMark/>
          </w:tcPr>
          <w:p w:rsidR="00C00BCE" w:rsidRPr="004C296D" w:rsidRDefault="00C00BCE" w:rsidP="00544E57">
            <w:pPr>
              <w:jc w:val="left"/>
              <w:rPr>
                <w:sz w:val="18"/>
                <w:szCs w:val="18"/>
              </w:rPr>
            </w:pPr>
            <w:r w:rsidRPr="004C296D">
              <w:rPr>
                <w:rFonts w:hint="eastAsia"/>
                <w:sz w:val="18"/>
                <w:szCs w:val="18"/>
              </w:rPr>
              <w:t>营业外支出</w:t>
            </w:r>
          </w:p>
        </w:tc>
        <w:tc>
          <w:tcPr>
            <w:tcW w:w="831"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220.77</w:t>
            </w:r>
          </w:p>
        </w:tc>
        <w:tc>
          <w:tcPr>
            <w:tcW w:w="750"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1,024.46</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785.04</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2,686.19</w:t>
            </w:r>
          </w:p>
        </w:tc>
        <w:tc>
          <w:tcPr>
            <w:tcW w:w="778"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4,716.45</w:t>
            </w:r>
          </w:p>
        </w:tc>
      </w:tr>
      <w:tr w:rsidR="00C00BCE" w:rsidRPr="00493E2C" w:rsidTr="00544E57">
        <w:trPr>
          <w:trHeight w:val="615"/>
        </w:trPr>
        <w:tc>
          <w:tcPr>
            <w:tcW w:w="1311" w:type="pct"/>
            <w:tcBorders>
              <w:top w:val="nil"/>
              <w:left w:val="single" w:sz="4" w:space="0" w:color="auto"/>
              <w:bottom w:val="single" w:sz="4" w:space="0" w:color="auto"/>
              <w:right w:val="single" w:sz="4" w:space="0" w:color="auto"/>
            </w:tcBorders>
            <w:shd w:val="clear" w:color="auto" w:fill="auto"/>
            <w:vAlign w:val="center"/>
            <w:hideMark/>
          </w:tcPr>
          <w:p w:rsidR="00C00BCE" w:rsidRPr="004C296D" w:rsidRDefault="00C00BCE" w:rsidP="00544E57">
            <w:pPr>
              <w:jc w:val="left"/>
              <w:rPr>
                <w:sz w:val="18"/>
                <w:szCs w:val="18"/>
              </w:rPr>
            </w:pPr>
            <w:r w:rsidRPr="004C296D">
              <w:rPr>
                <w:rFonts w:hint="eastAsia"/>
                <w:sz w:val="18"/>
                <w:szCs w:val="18"/>
              </w:rPr>
              <w:t>归属于上市公司股东的净利润（扣除商誉减值损失和转让江苏银行股份收益</w:t>
            </w:r>
            <w:r w:rsidR="00E03E7C">
              <w:rPr>
                <w:rFonts w:hint="eastAsia"/>
                <w:sz w:val="18"/>
                <w:szCs w:val="18"/>
              </w:rPr>
              <w:t>（税后）</w:t>
            </w:r>
            <w:r w:rsidRPr="004C296D">
              <w:rPr>
                <w:rFonts w:hint="eastAsia"/>
                <w:sz w:val="18"/>
                <w:szCs w:val="18"/>
              </w:rPr>
              <w:t>）</w:t>
            </w:r>
          </w:p>
        </w:tc>
        <w:tc>
          <w:tcPr>
            <w:tcW w:w="831"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2,094.10</w:t>
            </w:r>
          </w:p>
        </w:tc>
        <w:tc>
          <w:tcPr>
            <w:tcW w:w="750"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1,305.97</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-1,085.38</w:t>
            </w:r>
          </w:p>
        </w:tc>
        <w:tc>
          <w:tcPr>
            <w:tcW w:w="665"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-11,799.31</w:t>
            </w:r>
          </w:p>
        </w:tc>
        <w:tc>
          <w:tcPr>
            <w:tcW w:w="778" w:type="pct"/>
            <w:tcBorders>
              <w:top w:val="nil"/>
              <w:left w:val="nil"/>
              <w:bottom w:val="single" w:sz="4" w:space="0" w:color="auto"/>
              <w:right w:val="single" w:sz="4" w:space="0" w:color="auto"/>
            </w:tcBorders>
            <w:shd w:val="clear" w:color="auto" w:fill="auto"/>
            <w:noWrap/>
            <w:vAlign w:val="center"/>
            <w:hideMark/>
          </w:tcPr>
          <w:p w:rsidR="00C00BCE" w:rsidRPr="004C296D" w:rsidRDefault="00C00BCE" w:rsidP="00544E57">
            <w:pPr>
              <w:jc w:val="right"/>
              <w:rPr>
                <w:sz w:val="18"/>
                <w:szCs w:val="18"/>
              </w:rPr>
            </w:pPr>
            <w:r w:rsidRPr="004C296D">
              <w:rPr>
                <w:rFonts w:hint="eastAsia"/>
                <w:sz w:val="18"/>
                <w:szCs w:val="18"/>
              </w:rPr>
              <w:t>-9,484.62</w:t>
            </w:r>
          </w:p>
        </w:tc>
      </w:tr>
    </w:tbl>
    <w:p w:rsidR="00C00BCE" w:rsidRPr="00493E2C" w:rsidRDefault="00C00BCE" w:rsidP="00C00BCE">
      <w:pPr>
        <w:spacing w:line="360" w:lineRule="auto"/>
        <w:ind w:firstLineChars="200" w:firstLine="480"/>
        <w:rPr>
          <w:rFonts w:ascii="宋体" w:hAnsi="宋体"/>
          <w:sz w:val="24"/>
        </w:rPr>
      </w:pPr>
      <w:r w:rsidRPr="00493E2C">
        <w:rPr>
          <w:rFonts w:ascii="宋体" w:hAnsi="宋体" w:hint="eastAsia"/>
          <w:sz w:val="24"/>
        </w:rPr>
        <w:t>营业收入波动原因：</w:t>
      </w:r>
    </w:p>
    <w:p w:rsidR="00C00BCE" w:rsidRPr="00597961" w:rsidRDefault="00C00BCE" w:rsidP="00C00BCE">
      <w:pPr>
        <w:pStyle w:val="a5"/>
        <w:numPr>
          <w:ilvl w:val="0"/>
          <w:numId w:val="2"/>
        </w:numPr>
        <w:suppressAutoHyphens/>
        <w:spacing w:line="360" w:lineRule="auto"/>
        <w:ind w:left="0" w:firstLineChars="0" w:firstLine="480"/>
        <w:rPr>
          <w:rFonts w:ascii="宋体" w:hAnsi="宋体"/>
          <w:sz w:val="24"/>
        </w:rPr>
      </w:pPr>
      <w:r w:rsidRPr="00493E2C">
        <w:rPr>
          <w:rFonts w:ascii="宋体" w:hAnsi="宋体" w:hint="eastAsia"/>
          <w:sz w:val="24"/>
        </w:rPr>
        <w:t>由于响水</w:t>
      </w:r>
      <w:proofErr w:type="gramStart"/>
      <w:r w:rsidRPr="00493E2C">
        <w:rPr>
          <w:rFonts w:ascii="宋体" w:hAnsi="宋体" w:hint="eastAsia"/>
          <w:sz w:val="24"/>
        </w:rPr>
        <w:t>恒</w:t>
      </w:r>
      <w:proofErr w:type="gramEnd"/>
      <w:r w:rsidRPr="00493E2C">
        <w:rPr>
          <w:rFonts w:ascii="宋体" w:hAnsi="宋体" w:hint="eastAsia"/>
          <w:sz w:val="24"/>
        </w:rPr>
        <w:t>利达科技化工有限公司2018年度停产造成生产和销售下降，第</w:t>
      </w:r>
      <w:r w:rsidRPr="004D5CD1">
        <w:rPr>
          <w:rFonts w:ascii="宋体" w:hAnsi="宋体" w:hint="eastAsia"/>
          <w:sz w:val="24"/>
        </w:rPr>
        <w:t>二、三、四季度营业收入较</w:t>
      </w:r>
      <w:r w:rsidRPr="00493E2C">
        <w:rPr>
          <w:rFonts w:ascii="宋体" w:hAnsi="宋体" w:hint="eastAsia"/>
          <w:sz w:val="24"/>
        </w:rPr>
        <w:t>第</w:t>
      </w:r>
      <w:r w:rsidRPr="004D5CD1">
        <w:rPr>
          <w:rFonts w:ascii="宋体" w:hAnsi="宋体" w:hint="eastAsia"/>
          <w:sz w:val="24"/>
        </w:rPr>
        <w:t>一季度分别下降9,902.06</w:t>
      </w:r>
      <w:r w:rsidRPr="005F4824">
        <w:rPr>
          <w:rFonts w:ascii="宋体" w:hAnsi="宋体" w:hint="eastAsia"/>
          <w:sz w:val="24"/>
        </w:rPr>
        <w:t>万元、15,565.69万元、15,297.56</w:t>
      </w:r>
      <w:r w:rsidRPr="00BF4B3A">
        <w:rPr>
          <w:rFonts w:ascii="宋体" w:hAnsi="宋体" w:hint="eastAsia"/>
          <w:sz w:val="24"/>
        </w:rPr>
        <w:t>万元。</w:t>
      </w:r>
    </w:p>
    <w:p w:rsidR="00C00BCE" w:rsidRPr="00337A29" w:rsidRDefault="00C00BCE" w:rsidP="00C00BCE">
      <w:pPr>
        <w:widowControl/>
        <w:numPr>
          <w:ilvl w:val="0"/>
          <w:numId w:val="2"/>
        </w:numPr>
        <w:spacing w:line="360" w:lineRule="auto"/>
        <w:ind w:left="0" w:firstLineChars="200" w:firstLine="480"/>
        <w:jc w:val="left"/>
        <w:rPr>
          <w:rFonts w:ascii="宋体" w:hAnsi="宋体"/>
          <w:sz w:val="24"/>
        </w:rPr>
      </w:pPr>
      <w:r w:rsidRPr="00337A29">
        <w:rPr>
          <w:rFonts w:ascii="宋体" w:hAnsi="宋体" w:cs="宋体"/>
          <w:kern w:val="0"/>
          <w:sz w:val="24"/>
        </w:rPr>
        <w:t>2018年</w:t>
      </w:r>
      <w:r w:rsidRPr="00337A29">
        <w:rPr>
          <w:rFonts w:ascii="宋体" w:hAnsi="宋体" w:cs="宋体" w:hint="eastAsia"/>
          <w:kern w:val="0"/>
          <w:sz w:val="24"/>
        </w:rPr>
        <w:t>度，公司医药业务中免疫调节类药品由于受年初网络报道的影响，</w:t>
      </w:r>
      <w:r w:rsidRPr="00337A29">
        <w:rPr>
          <w:rFonts w:ascii="宋体" w:hAnsi="宋体" w:hint="eastAsia"/>
          <w:sz w:val="24"/>
        </w:rPr>
        <w:t>医药业务营业收入第二季度较第一季度下降5,945.12万元； 第三季度医药业务营业收入较第一季度下降2,430.58万元； 第四季度医药业务收入较第一季度下降5,128.67万元。</w:t>
      </w:r>
    </w:p>
    <w:p w:rsidR="00C00BCE" w:rsidRPr="004D5CD1" w:rsidRDefault="00C00BCE" w:rsidP="00C00BCE">
      <w:pPr>
        <w:spacing w:line="360" w:lineRule="auto"/>
        <w:ind w:firstLineChars="200" w:firstLine="480"/>
        <w:rPr>
          <w:rFonts w:ascii="宋体" w:hAnsi="宋体"/>
          <w:sz w:val="24"/>
        </w:rPr>
      </w:pPr>
      <w:r w:rsidRPr="005F4824">
        <w:rPr>
          <w:rFonts w:ascii="宋体" w:hAnsi="宋体" w:hint="eastAsia"/>
          <w:sz w:val="24"/>
        </w:rPr>
        <w:lastRenderedPageBreak/>
        <w:t>归属于上市公司股东的净利润（扣除商誉减</w:t>
      </w:r>
      <w:r w:rsidRPr="00BF4B3A">
        <w:rPr>
          <w:rFonts w:ascii="宋体" w:hAnsi="宋体" w:hint="eastAsia"/>
          <w:sz w:val="24"/>
        </w:rPr>
        <w:t>值损失和转让江苏银行股份收益</w:t>
      </w:r>
      <w:r w:rsidRPr="00493E2C">
        <w:rPr>
          <w:rFonts w:ascii="宋体" w:hAnsi="宋体" w:hint="eastAsia"/>
          <w:sz w:val="24"/>
        </w:rPr>
        <w:t>（税后））</w:t>
      </w:r>
      <w:r w:rsidRPr="004D5CD1">
        <w:rPr>
          <w:rFonts w:ascii="宋体" w:hAnsi="宋体" w:hint="eastAsia"/>
          <w:sz w:val="24"/>
        </w:rPr>
        <w:t>波动较大的主要原因：</w:t>
      </w:r>
    </w:p>
    <w:p w:rsidR="00C00BCE" w:rsidRPr="004D5CD1" w:rsidRDefault="00C00BCE" w:rsidP="00C00BCE">
      <w:pPr>
        <w:pStyle w:val="a5"/>
        <w:numPr>
          <w:ilvl w:val="1"/>
          <w:numId w:val="2"/>
        </w:numPr>
        <w:suppressAutoHyphens/>
        <w:spacing w:line="360" w:lineRule="auto"/>
        <w:ind w:left="0" w:firstLineChars="0" w:firstLine="426"/>
        <w:rPr>
          <w:rFonts w:ascii="宋体" w:hAnsi="宋体"/>
          <w:sz w:val="24"/>
        </w:rPr>
      </w:pPr>
      <w:r w:rsidRPr="00493E2C">
        <w:rPr>
          <w:rFonts w:ascii="宋体" w:hAnsi="宋体" w:hint="eastAsia"/>
          <w:sz w:val="24"/>
        </w:rPr>
        <w:t>第二、三、四季度</w:t>
      </w:r>
      <w:r w:rsidRPr="004D5CD1">
        <w:rPr>
          <w:rFonts w:ascii="宋体" w:hAnsi="宋体" w:hint="eastAsia"/>
          <w:sz w:val="24"/>
        </w:rPr>
        <w:t>较一季度归属于上市公司股东的净利润逐季下降，主要原因为响水</w:t>
      </w:r>
      <w:proofErr w:type="gramStart"/>
      <w:r w:rsidRPr="004D5CD1">
        <w:rPr>
          <w:rFonts w:ascii="宋体" w:hAnsi="宋体" w:hint="eastAsia"/>
          <w:sz w:val="24"/>
        </w:rPr>
        <w:t>恒</w:t>
      </w:r>
      <w:proofErr w:type="gramEnd"/>
      <w:r w:rsidRPr="004D5CD1">
        <w:rPr>
          <w:rFonts w:ascii="宋体" w:hAnsi="宋体" w:hint="eastAsia"/>
          <w:sz w:val="24"/>
        </w:rPr>
        <w:t>利达科技化工有限公司停产造成销售下降和净利润下降；</w:t>
      </w:r>
      <w:r w:rsidRPr="00493E2C">
        <w:rPr>
          <w:rFonts w:ascii="宋体" w:hAnsi="宋体" w:cs="宋体" w:hint="eastAsia"/>
          <w:kern w:val="0"/>
          <w:sz w:val="24"/>
        </w:rPr>
        <w:t>公司医药业务中免疫调节类药品由于受2018年初网络报道的影响，造成医药业务营业收入下降，进而</w:t>
      </w:r>
      <w:r w:rsidRPr="00493E2C">
        <w:rPr>
          <w:rFonts w:ascii="宋体" w:hAnsi="宋体" w:hint="eastAsia"/>
          <w:sz w:val="24"/>
        </w:rPr>
        <w:t>引起净利润下降。</w:t>
      </w:r>
    </w:p>
    <w:p w:rsidR="00C00BCE" w:rsidRPr="004D5CD1" w:rsidRDefault="00C00BCE" w:rsidP="00C00BCE">
      <w:pPr>
        <w:pStyle w:val="a5"/>
        <w:numPr>
          <w:ilvl w:val="1"/>
          <w:numId w:val="2"/>
        </w:numPr>
        <w:suppressAutoHyphens/>
        <w:spacing w:line="360" w:lineRule="auto"/>
        <w:ind w:left="0" w:firstLineChars="0" w:firstLine="426"/>
        <w:rPr>
          <w:rFonts w:ascii="宋体" w:hAnsi="宋体"/>
          <w:sz w:val="24"/>
        </w:rPr>
      </w:pPr>
      <w:r w:rsidRPr="005F4824">
        <w:rPr>
          <w:rFonts w:ascii="宋体" w:hAnsi="宋体" w:hint="eastAsia"/>
          <w:sz w:val="24"/>
        </w:rPr>
        <w:t>第四季度与前三季度相比</w:t>
      </w:r>
      <w:r w:rsidR="0080170D">
        <w:rPr>
          <w:rFonts w:ascii="宋体" w:hAnsi="宋体" w:hint="eastAsia"/>
          <w:sz w:val="24"/>
        </w:rPr>
        <w:t>净</w:t>
      </w:r>
      <w:r w:rsidRPr="005F4824">
        <w:rPr>
          <w:rFonts w:ascii="宋体" w:hAnsi="宋体" w:hint="eastAsia"/>
          <w:sz w:val="24"/>
        </w:rPr>
        <w:t>利润下降额较大，主要原因如</w:t>
      </w:r>
      <w:r w:rsidRPr="00493E2C">
        <w:rPr>
          <w:rFonts w:ascii="宋体" w:hAnsi="宋体" w:hint="eastAsia"/>
          <w:sz w:val="24"/>
        </w:rPr>
        <w:t>下：</w:t>
      </w:r>
    </w:p>
    <w:p w:rsidR="00C00BCE" w:rsidRPr="004D5CD1" w:rsidRDefault="00C00BCE" w:rsidP="00C00BCE">
      <w:pPr>
        <w:pStyle w:val="a5"/>
        <w:numPr>
          <w:ilvl w:val="0"/>
          <w:numId w:val="3"/>
        </w:numPr>
        <w:suppressAutoHyphens/>
        <w:spacing w:line="360" w:lineRule="auto"/>
        <w:ind w:left="0" w:firstLineChars="0" w:firstLine="426"/>
        <w:rPr>
          <w:rFonts w:ascii="宋体" w:hAnsi="宋体"/>
          <w:sz w:val="24"/>
        </w:rPr>
      </w:pPr>
      <w:r w:rsidRPr="004D5CD1">
        <w:rPr>
          <w:rFonts w:ascii="宋体" w:hAnsi="宋体" w:hint="eastAsia"/>
          <w:sz w:val="24"/>
        </w:rPr>
        <w:t>响水</w:t>
      </w:r>
      <w:proofErr w:type="gramStart"/>
      <w:r w:rsidRPr="004D5CD1">
        <w:rPr>
          <w:rFonts w:ascii="宋体" w:hAnsi="宋体" w:hint="eastAsia"/>
          <w:sz w:val="24"/>
        </w:rPr>
        <w:t>恒</w:t>
      </w:r>
      <w:proofErr w:type="gramEnd"/>
      <w:r w:rsidRPr="005F4824">
        <w:rPr>
          <w:rFonts w:ascii="宋体" w:hAnsi="宋体" w:hint="eastAsia"/>
          <w:sz w:val="24"/>
        </w:rPr>
        <w:t>利达科技化工有限公司第四季度</w:t>
      </w:r>
      <w:r w:rsidRPr="00493E2C">
        <w:rPr>
          <w:rFonts w:ascii="宋体" w:hAnsi="宋体" w:hint="eastAsia"/>
          <w:sz w:val="24"/>
        </w:rPr>
        <w:t>较前三季度利润下降幅度较大（原因见表2.2下说明）。</w:t>
      </w:r>
    </w:p>
    <w:p w:rsidR="00C00BCE" w:rsidRPr="005F4824" w:rsidRDefault="00C00BCE" w:rsidP="00C00BCE">
      <w:pPr>
        <w:pStyle w:val="a5"/>
        <w:numPr>
          <w:ilvl w:val="0"/>
          <w:numId w:val="3"/>
        </w:numPr>
        <w:suppressAutoHyphens/>
        <w:spacing w:line="360" w:lineRule="auto"/>
        <w:ind w:left="0" w:firstLineChars="0" w:firstLine="426"/>
        <w:rPr>
          <w:rFonts w:ascii="宋体" w:hAnsi="宋体"/>
          <w:sz w:val="24"/>
        </w:rPr>
      </w:pPr>
      <w:r w:rsidRPr="008C71F5">
        <w:rPr>
          <w:rFonts w:ascii="宋体" w:hAnsi="宋体" w:hint="eastAsia"/>
          <w:sz w:val="24"/>
        </w:rPr>
        <w:t>2018年末计提的应付职</w:t>
      </w:r>
      <w:proofErr w:type="gramStart"/>
      <w:r w:rsidRPr="008C71F5">
        <w:rPr>
          <w:rFonts w:ascii="宋体" w:hAnsi="宋体" w:hint="eastAsia"/>
          <w:sz w:val="24"/>
        </w:rPr>
        <w:t>工薪酬较三季度末</w:t>
      </w:r>
      <w:proofErr w:type="gramEnd"/>
      <w:r w:rsidRPr="008C71F5">
        <w:rPr>
          <w:rFonts w:ascii="宋体" w:hAnsi="宋体" w:hint="eastAsia"/>
          <w:sz w:val="24"/>
        </w:rPr>
        <w:t>增</w:t>
      </w:r>
      <w:r w:rsidRPr="00BF4B3A">
        <w:rPr>
          <w:rFonts w:ascii="宋体" w:hAnsi="宋体" w:hint="eastAsia"/>
          <w:sz w:val="24"/>
        </w:rPr>
        <w:t>加</w:t>
      </w:r>
      <w:r w:rsidRPr="00597961">
        <w:rPr>
          <w:rFonts w:ascii="宋体" w:hAnsi="宋体" w:hint="eastAsia"/>
          <w:sz w:val="24"/>
        </w:rPr>
        <w:t>2,372.55</w:t>
      </w:r>
      <w:r w:rsidRPr="00E47C0C">
        <w:rPr>
          <w:rFonts w:ascii="宋体" w:hAnsi="宋体" w:hint="eastAsia"/>
          <w:sz w:val="24"/>
        </w:rPr>
        <w:t>万元（主要用于2019</w:t>
      </w:r>
      <w:r w:rsidRPr="00426630">
        <w:rPr>
          <w:rFonts w:ascii="宋体" w:hAnsi="宋体" w:hint="eastAsia"/>
          <w:sz w:val="24"/>
        </w:rPr>
        <w:t>年初发放2018年度的工资奖金）。</w:t>
      </w:r>
    </w:p>
    <w:p w:rsidR="00C00BCE" w:rsidRDefault="00C00BCE" w:rsidP="00F00C10">
      <w:pPr>
        <w:spacing w:line="360" w:lineRule="auto"/>
        <w:ind w:firstLineChars="200" w:firstLine="480"/>
        <w:rPr>
          <w:rFonts w:ascii="宋体" w:hAnsi="宋体"/>
          <w:sz w:val="24"/>
        </w:rPr>
      </w:pPr>
      <w:r>
        <w:rPr>
          <w:rFonts w:ascii="宋体" w:hAnsi="宋体" w:hint="eastAsia"/>
          <w:sz w:val="24"/>
        </w:rPr>
        <w:t xml:space="preserve">C. </w:t>
      </w:r>
      <w:r w:rsidRPr="00493E2C">
        <w:rPr>
          <w:rFonts w:ascii="宋体" w:hAnsi="宋体" w:hint="eastAsia"/>
          <w:sz w:val="24"/>
        </w:rPr>
        <w:t>由于全资子公司江苏吴中医药集团有限公司接到了国家药监局药品审评中心的技术审评部门发出的重组</w:t>
      </w:r>
      <w:r w:rsidRPr="00493E2C">
        <w:rPr>
          <w:rFonts w:ascii="宋体" w:hAnsi="宋体"/>
          <w:sz w:val="24"/>
        </w:rPr>
        <w:t>人</w:t>
      </w:r>
      <w:r w:rsidRPr="00493E2C">
        <w:rPr>
          <w:rFonts w:ascii="宋体" w:hAnsi="宋体" w:hint="eastAsia"/>
          <w:sz w:val="24"/>
        </w:rPr>
        <w:t>血管内皮抑素注射液（CXSS1800005-</w:t>
      </w:r>
      <w:r w:rsidRPr="00493E2C">
        <w:rPr>
          <w:rFonts w:ascii="宋体" w:hAnsi="宋体"/>
          <w:sz w:val="24"/>
        </w:rPr>
        <w:t>1</w:t>
      </w:r>
      <w:r w:rsidRPr="00493E2C">
        <w:rPr>
          <w:rFonts w:ascii="宋体" w:hAnsi="宋体" w:hint="eastAsia"/>
          <w:sz w:val="24"/>
        </w:rPr>
        <w:t>）依据现有数据技术审评不予</w:t>
      </w:r>
      <w:r w:rsidRPr="00493E2C">
        <w:rPr>
          <w:rFonts w:ascii="宋体" w:hAnsi="宋体"/>
          <w:sz w:val="24"/>
        </w:rPr>
        <w:t>通过与申请人沟通交流报告</w:t>
      </w:r>
      <w:r w:rsidRPr="004D5CD1">
        <w:rPr>
          <w:rFonts w:ascii="宋体" w:hAnsi="宋体" w:hint="eastAsia"/>
          <w:sz w:val="24"/>
        </w:rPr>
        <w:t>，</w:t>
      </w:r>
      <w:r w:rsidRPr="00493E2C">
        <w:rPr>
          <w:rFonts w:ascii="宋体" w:hAnsi="宋体" w:hint="eastAsia"/>
          <w:sz w:val="24"/>
        </w:rPr>
        <w:t>公司对内皮项目研发支出资本化中判断不再符合资本化条件的支出</w:t>
      </w:r>
      <w:r w:rsidRPr="004D5CD1">
        <w:rPr>
          <w:rFonts w:ascii="宋体" w:hAnsi="宋体" w:hint="eastAsia"/>
          <w:sz w:val="24"/>
        </w:rPr>
        <w:t>2</w:t>
      </w:r>
      <w:proofErr w:type="gramStart"/>
      <w:r w:rsidRPr="004D5CD1">
        <w:rPr>
          <w:rFonts w:ascii="宋体" w:hAnsi="宋体" w:hint="eastAsia"/>
          <w:sz w:val="24"/>
        </w:rPr>
        <w:t>,732万元</w:t>
      </w:r>
      <w:r w:rsidRPr="00493E2C">
        <w:rPr>
          <w:rFonts w:ascii="宋体" w:hAnsi="宋体" w:hint="eastAsia"/>
          <w:sz w:val="24"/>
        </w:rPr>
        <w:t>予以费用化处理</w:t>
      </w:r>
      <w:proofErr w:type="gramEnd"/>
      <w:r w:rsidRPr="004D5CD1">
        <w:rPr>
          <w:rFonts w:ascii="宋体" w:hAnsi="宋体" w:hint="eastAsia"/>
          <w:sz w:val="24"/>
        </w:rPr>
        <w:t>, 同时对与内皮项目相关的递延收益转入当期损益，涉及金额</w:t>
      </w:r>
      <w:r w:rsidRPr="00493E2C">
        <w:rPr>
          <w:rFonts w:ascii="宋体" w:hAnsi="宋体" w:hint="eastAsia"/>
          <w:sz w:val="24"/>
        </w:rPr>
        <w:t>1,43</w:t>
      </w:r>
      <w:r w:rsidRPr="004D5CD1">
        <w:rPr>
          <w:rFonts w:ascii="宋体" w:hAnsi="宋体" w:hint="eastAsia"/>
          <w:sz w:val="24"/>
        </w:rPr>
        <w:t>3万元，影响净利润约</w:t>
      </w:r>
      <w:r w:rsidRPr="00493E2C">
        <w:rPr>
          <w:rFonts w:ascii="宋体" w:hAnsi="宋体" w:hint="eastAsia"/>
          <w:sz w:val="24"/>
        </w:rPr>
        <w:t>1,104万</w:t>
      </w:r>
      <w:r w:rsidRPr="004D5CD1">
        <w:rPr>
          <w:rFonts w:ascii="宋体" w:hAnsi="宋体" w:hint="eastAsia"/>
          <w:sz w:val="24"/>
        </w:rPr>
        <w:t>元。</w:t>
      </w:r>
    </w:p>
    <w:p w:rsidR="00C00BCE" w:rsidRDefault="00C00BCE" w:rsidP="00C00BCE">
      <w:pPr>
        <w:spacing w:line="360" w:lineRule="auto"/>
        <w:ind w:firstLineChars="200" w:firstLine="480"/>
        <w:rPr>
          <w:rFonts w:ascii="宋体" w:hAnsi="宋体"/>
          <w:sz w:val="24"/>
        </w:rPr>
      </w:pPr>
      <w:r>
        <w:rPr>
          <w:rFonts w:ascii="宋体" w:hAnsi="宋体" w:hint="eastAsia"/>
          <w:sz w:val="24"/>
        </w:rPr>
        <w:t>D</w:t>
      </w:r>
      <w:r w:rsidRPr="00493E2C">
        <w:rPr>
          <w:rFonts w:ascii="宋体" w:hAnsi="宋体" w:hint="eastAsia"/>
          <w:sz w:val="24"/>
        </w:rPr>
        <w:t>.</w:t>
      </w:r>
      <w:r w:rsidRPr="00493E2C">
        <w:rPr>
          <w:rFonts w:ascii="宋体" w:hAnsi="宋体" w:cs="宋体" w:hint="eastAsia"/>
          <w:color w:val="000000"/>
          <w:kern w:val="0"/>
          <w:sz w:val="22"/>
        </w:rPr>
        <w:t xml:space="preserve"> </w:t>
      </w:r>
      <w:r w:rsidRPr="00493E2C">
        <w:rPr>
          <w:rFonts w:ascii="宋体" w:hAnsi="宋体" w:hint="eastAsia"/>
          <w:sz w:val="24"/>
        </w:rPr>
        <w:t>因业绩补偿无法确认，母公司未来可获得盈利是否能够弥补亏损存在不确定性，冲回递延</w:t>
      </w:r>
      <w:r>
        <w:rPr>
          <w:rFonts w:ascii="宋体" w:hAnsi="宋体" w:hint="eastAsia"/>
          <w:sz w:val="24"/>
        </w:rPr>
        <w:t>所得税</w:t>
      </w:r>
      <w:r w:rsidRPr="00493E2C">
        <w:rPr>
          <w:rFonts w:ascii="宋体" w:hAnsi="宋体" w:hint="eastAsia"/>
          <w:sz w:val="24"/>
        </w:rPr>
        <w:t>资产751万元。</w:t>
      </w:r>
    </w:p>
    <w:p w:rsidR="00C00BCE" w:rsidRPr="00CE5248" w:rsidRDefault="00C00BCE" w:rsidP="00C00BCE">
      <w:pPr>
        <w:spacing w:line="360" w:lineRule="auto"/>
        <w:ind w:firstLineChars="200" w:firstLine="480"/>
        <w:rPr>
          <w:rFonts w:ascii="宋体" w:hAnsi="宋体"/>
          <w:sz w:val="24"/>
        </w:rPr>
      </w:pPr>
      <w:r>
        <w:rPr>
          <w:rFonts w:ascii="宋体" w:hAnsi="宋体" w:hint="eastAsia"/>
          <w:sz w:val="24"/>
        </w:rPr>
        <w:t>E. 第四季度计提的资产减值损失（扣除计提的商誉减值损失）较前三季度相比，增加556.47万元。</w:t>
      </w:r>
    </w:p>
    <w:p w:rsidR="00C00BCE" w:rsidRPr="00493E2C" w:rsidRDefault="00C00BCE" w:rsidP="00C00BCE">
      <w:pPr>
        <w:spacing w:line="360" w:lineRule="auto"/>
        <w:ind w:firstLineChars="200" w:firstLine="480"/>
        <w:rPr>
          <w:rFonts w:ascii="宋体" w:hAnsi="宋体"/>
          <w:sz w:val="24"/>
        </w:rPr>
      </w:pPr>
      <w:r w:rsidRPr="00493E2C">
        <w:rPr>
          <w:rFonts w:ascii="宋体" w:hAnsi="宋体" w:hint="eastAsia"/>
          <w:sz w:val="24"/>
        </w:rPr>
        <w:t>F.第四季度医药研发项目一致性评价费用</w:t>
      </w:r>
      <w:proofErr w:type="gramStart"/>
      <w:r w:rsidRPr="00493E2C">
        <w:rPr>
          <w:rFonts w:ascii="宋体" w:hAnsi="宋体" w:hint="eastAsia"/>
          <w:sz w:val="24"/>
        </w:rPr>
        <w:t>化金额</w:t>
      </w:r>
      <w:proofErr w:type="gramEnd"/>
      <w:r w:rsidRPr="00493E2C">
        <w:rPr>
          <w:rFonts w:ascii="宋体" w:hAnsi="宋体" w:hint="eastAsia"/>
          <w:sz w:val="24"/>
        </w:rPr>
        <w:t>479.60万元。</w:t>
      </w:r>
    </w:p>
    <w:p w:rsidR="00C00BCE" w:rsidRDefault="00C00BCE" w:rsidP="00C00BCE">
      <w:pPr>
        <w:spacing w:line="360" w:lineRule="auto"/>
        <w:ind w:firstLineChars="200" w:firstLine="480"/>
        <w:rPr>
          <w:rFonts w:ascii="宋体" w:hAnsi="宋体"/>
          <w:sz w:val="24"/>
        </w:rPr>
      </w:pPr>
      <w:r w:rsidRPr="00493E2C">
        <w:rPr>
          <w:rFonts w:ascii="宋体" w:hAnsi="宋体" w:hint="eastAsia"/>
          <w:sz w:val="24"/>
        </w:rPr>
        <w:t>G．第四季度公司所属房地产公司计提土地增值税300万元。</w:t>
      </w:r>
    </w:p>
    <w:p w:rsidR="00C00BCE" w:rsidRPr="004D5CD1" w:rsidRDefault="00C00BCE" w:rsidP="00C00BCE">
      <w:pPr>
        <w:ind w:firstLineChars="200" w:firstLine="480"/>
        <w:rPr>
          <w:rFonts w:ascii="宋体" w:hAnsi="宋体"/>
          <w:sz w:val="24"/>
        </w:rPr>
      </w:pPr>
    </w:p>
    <w:p w:rsidR="00C00BCE" w:rsidRDefault="00C00BCE" w:rsidP="00C00BCE">
      <w:pPr>
        <w:ind w:firstLineChars="200" w:firstLine="480"/>
        <w:rPr>
          <w:rStyle w:val="afont1"/>
          <w:rFonts w:ascii="宋体" w:hAnsi="宋体"/>
          <w:sz w:val="24"/>
        </w:rPr>
      </w:pPr>
      <w:r w:rsidRPr="005F4824">
        <w:rPr>
          <w:rStyle w:val="afont1"/>
          <w:rFonts w:ascii="宋体" w:hAnsi="宋体" w:hint="eastAsia"/>
          <w:sz w:val="24"/>
        </w:rPr>
        <w:t>2</w:t>
      </w:r>
      <w:r w:rsidRPr="00BF4B3A">
        <w:rPr>
          <w:rStyle w:val="afont1"/>
          <w:rFonts w:ascii="宋体" w:hAnsi="宋体" w:hint="eastAsia"/>
          <w:sz w:val="24"/>
        </w:rPr>
        <w:t>、分析并解释各季度经营活动现金流波动与营业收入的变化趋势存在不匹配的原因及合理性</w:t>
      </w:r>
      <w:r w:rsidR="008C71F5">
        <w:rPr>
          <w:rStyle w:val="afont1"/>
          <w:rFonts w:ascii="宋体" w:hAnsi="宋体" w:hint="eastAsia"/>
          <w:sz w:val="24"/>
        </w:rPr>
        <w:t>：</w:t>
      </w:r>
    </w:p>
    <w:p w:rsidR="008C71F5" w:rsidRPr="00134A43" w:rsidRDefault="008C71F5" w:rsidP="008C71F5">
      <w:pPr>
        <w:jc w:val="left"/>
        <w:rPr>
          <w:rFonts w:ascii="宋体" w:hAnsi="宋体"/>
          <w:sz w:val="24"/>
        </w:rPr>
      </w:pPr>
      <w:r w:rsidRPr="009351F3">
        <w:rPr>
          <w:rFonts w:ascii="宋体" w:hAnsi="宋体" w:hint="eastAsia"/>
          <w:sz w:val="24"/>
        </w:rPr>
        <w:t>表2.</w:t>
      </w:r>
      <w:r>
        <w:rPr>
          <w:rFonts w:ascii="宋体" w:hAnsi="宋体" w:hint="eastAsia"/>
          <w:sz w:val="24"/>
        </w:rPr>
        <w:t>4</w:t>
      </w:r>
    </w:p>
    <w:p w:rsidR="00C00BCE" w:rsidRPr="004D5CD1" w:rsidRDefault="00C00BCE" w:rsidP="008C71F5">
      <w:pPr>
        <w:ind w:firstLineChars="200" w:firstLine="480"/>
        <w:jc w:val="right"/>
        <w:rPr>
          <w:rStyle w:val="afont1"/>
          <w:rFonts w:ascii="宋体" w:hAnsi="宋体"/>
          <w:sz w:val="24"/>
        </w:rPr>
      </w:pPr>
      <w:r w:rsidRPr="00597961">
        <w:rPr>
          <w:rStyle w:val="afont1"/>
          <w:rFonts w:ascii="宋体" w:hAnsi="宋体" w:hint="eastAsia"/>
          <w:sz w:val="24"/>
        </w:rPr>
        <w:t xml:space="preserve">                                                </w:t>
      </w:r>
      <w:r w:rsidRPr="00493E2C">
        <w:rPr>
          <w:rStyle w:val="afont1"/>
          <w:rFonts w:ascii="宋体" w:hAnsi="宋体" w:hint="eastAsia"/>
          <w:sz w:val="24"/>
        </w:rPr>
        <w:t>单位：万元</w:t>
      </w:r>
    </w:p>
    <w:tbl>
      <w:tblPr>
        <w:tblW w:w="5000" w:type="pct"/>
        <w:tblLook w:val="04A0" w:firstRow="1" w:lastRow="0" w:firstColumn="1" w:lastColumn="0" w:noHBand="0" w:noVBand="1"/>
      </w:tblPr>
      <w:tblGrid>
        <w:gridCol w:w="2017"/>
        <w:gridCol w:w="1183"/>
        <w:gridCol w:w="1331"/>
        <w:gridCol w:w="1331"/>
        <w:gridCol w:w="1331"/>
        <w:gridCol w:w="1329"/>
      </w:tblGrid>
      <w:tr w:rsidR="00C00BCE" w:rsidRPr="00493E2C" w:rsidTr="00544E57">
        <w:trPr>
          <w:trHeight w:val="270"/>
        </w:trPr>
        <w:tc>
          <w:tcPr>
            <w:tcW w:w="1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BCE" w:rsidRPr="004F318C" w:rsidRDefault="00C00BCE" w:rsidP="00544E57">
            <w:pPr>
              <w:jc w:val="left"/>
              <w:rPr>
                <w:sz w:val="18"/>
                <w:szCs w:val="18"/>
              </w:rPr>
            </w:pPr>
            <w:r w:rsidRPr="004F318C">
              <w:rPr>
                <w:rFonts w:hint="eastAsia"/>
                <w:sz w:val="18"/>
                <w:szCs w:val="18"/>
              </w:rPr>
              <w:t>项目</w:t>
            </w:r>
          </w:p>
        </w:tc>
        <w:tc>
          <w:tcPr>
            <w:tcW w:w="694" w:type="pct"/>
            <w:tcBorders>
              <w:top w:val="single" w:sz="4" w:space="0" w:color="auto"/>
              <w:left w:val="nil"/>
              <w:bottom w:val="single" w:sz="4" w:space="0" w:color="auto"/>
              <w:right w:val="single" w:sz="4" w:space="0" w:color="auto"/>
            </w:tcBorders>
            <w:shd w:val="clear" w:color="auto" w:fill="auto"/>
            <w:noWrap/>
            <w:vAlign w:val="center"/>
            <w:hideMark/>
          </w:tcPr>
          <w:p w:rsidR="00C00BCE" w:rsidRPr="004F318C" w:rsidRDefault="00C00BCE" w:rsidP="00544E57">
            <w:pPr>
              <w:jc w:val="center"/>
              <w:rPr>
                <w:sz w:val="18"/>
                <w:szCs w:val="18"/>
              </w:rPr>
            </w:pPr>
            <w:r w:rsidRPr="004F318C">
              <w:rPr>
                <w:rFonts w:hint="eastAsia"/>
                <w:sz w:val="18"/>
                <w:szCs w:val="18"/>
              </w:rPr>
              <w:t>一季度</w:t>
            </w:r>
          </w:p>
        </w:tc>
        <w:tc>
          <w:tcPr>
            <w:tcW w:w="781" w:type="pct"/>
            <w:tcBorders>
              <w:top w:val="single" w:sz="4" w:space="0" w:color="auto"/>
              <w:left w:val="nil"/>
              <w:bottom w:val="single" w:sz="4" w:space="0" w:color="auto"/>
              <w:right w:val="single" w:sz="4" w:space="0" w:color="auto"/>
            </w:tcBorders>
            <w:shd w:val="clear" w:color="auto" w:fill="auto"/>
            <w:noWrap/>
            <w:vAlign w:val="center"/>
            <w:hideMark/>
          </w:tcPr>
          <w:p w:rsidR="00C00BCE" w:rsidRPr="004F318C" w:rsidRDefault="00C00BCE" w:rsidP="00544E57">
            <w:pPr>
              <w:jc w:val="center"/>
              <w:rPr>
                <w:sz w:val="18"/>
                <w:szCs w:val="18"/>
              </w:rPr>
            </w:pPr>
            <w:r w:rsidRPr="004F318C">
              <w:rPr>
                <w:rFonts w:hint="eastAsia"/>
                <w:sz w:val="18"/>
                <w:szCs w:val="18"/>
              </w:rPr>
              <w:t>二季度</w:t>
            </w:r>
          </w:p>
        </w:tc>
        <w:tc>
          <w:tcPr>
            <w:tcW w:w="781" w:type="pct"/>
            <w:tcBorders>
              <w:top w:val="single" w:sz="4" w:space="0" w:color="auto"/>
              <w:left w:val="nil"/>
              <w:bottom w:val="single" w:sz="4" w:space="0" w:color="auto"/>
              <w:right w:val="single" w:sz="4" w:space="0" w:color="auto"/>
            </w:tcBorders>
            <w:shd w:val="clear" w:color="auto" w:fill="auto"/>
            <w:noWrap/>
            <w:vAlign w:val="center"/>
            <w:hideMark/>
          </w:tcPr>
          <w:p w:rsidR="00C00BCE" w:rsidRPr="004F318C" w:rsidRDefault="00C00BCE" w:rsidP="00544E57">
            <w:pPr>
              <w:jc w:val="center"/>
              <w:rPr>
                <w:sz w:val="18"/>
                <w:szCs w:val="18"/>
              </w:rPr>
            </w:pPr>
            <w:r w:rsidRPr="004F318C">
              <w:rPr>
                <w:rFonts w:hint="eastAsia"/>
                <w:sz w:val="18"/>
                <w:szCs w:val="18"/>
              </w:rPr>
              <w:t>三季度</w:t>
            </w:r>
          </w:p>
        </w:tc>
        <w:tc>
          <w:tcPr>
            <w:tcW w:w="781" w:type="pct"/>
            <w:tcBorders>
              <w:top w:val="single" w:sz="4" w:space="0" w:color="auto"/>
              <w:left w:val="nil"/>
              <w:bottom w:val="single" w:sz="4" w:space="0" w:color="auto"/>
              <w:right w:val="single" w:sz="4" w:space="0" w:color="auto"/>
            </w:tcBorders>
            <w:shd w:val="clear" w:color="auto" w:fill="auto"/>
            <w:noWrap/>
            <w:vAlign w:val="center"/>
            <w:hideMark/>
          </w:tcPr>
          <w:p w:rsidR="00C00BCE" w:rsidRPr="004F318C" w:rsidRDefault="00C00BCE" w:rsidP="00544E57">
            <w:pPr>
              <w:jc w:val="center"/>
              <w:rPr>
                <w:sz w:val="18"/>
                <w:szCs w:val="18"/>
              </w:rPr>
            </w:pPr>
            <w:r w:rsidRPr="004F318C">
              <w:rPr>
                <w:rFonts w:hint="eastAsia"/>
                <w:sz w:val="18"/>
                <w:szCs w:val="18"/>
              </w:rPr>
              <w:t>四季度</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rsidR="00C00BCE" w:rsidRPr="004F318C" w:rsidRDefault="00C00BCE" w:rsidP="00544E57">
            <w:pPr>
              <w:jc w:val="center"/>
              <w:rPr>
                <w:sz w:val="18"/>
                <w:szCs w:val="18"/>
              </w:rPr>
            </w:pPr>
            <w:r w:rsidRPr="004F318C">
              <w:rPr>
                <w:rFonts w:hint="eastAsia"/>
                <w:sz w:val="18"/>
                <w:szCs w:val="18"/>
              </w:rPr>
              <w:t>合计</w:t>
            </w:r>
          </w:p>
        </w:tc>
      </w:tr>
      <w:tr w:rsidR="00C00BCE" w:rsidRPr="00493E2C" w:rsidTr="00544E57">
        <w:trPr>
          <w:trHeight w:val="270"/>
        </w:trPr>
        <w:tc>
          <w:tcPr>
            <w:tcW w:w="1183" w:type="pct"/>
            <w:tcBorders>
              <w:top w:val="nil"/>
              <w:left w:val="single" w:sz="4" w:space="0" w:color="auto"/>
              <w:bottom w:val="single" w:sz="4" w:space="0" w:color="auto"/>
              <w:right w:val="single" w:sz="4" w:space="0" w:color="auto"/>
            </w:tcBorders>
            <w:shd w:val="clear" w:color="auto" w:fill="auto"/>
            <w:noWrap/>
            <w:vAlign w:val="center"/>
            <w:hideMark/>
          </w:tcPr>
          <w:p w:rsidR="00C00BCE" w:rsidRPr="004F318C" w:rsidRDefault="00C00BCE" w:rsidP="00544E57">
            <w:pPr>
              <w:jc w:val="left"/>
              <w:rPr>
                <w:sz w:val="18"/>
                <w:szCs w:val="18"/>
              </w:rPr>
            </w:pPr>
            <w:r w:rsidRPr="004F318C">
              <w:rPr>
                <w:rFonts w:hint="eastAsia"/>
                <w:sz w:val="18"/>
                <w:szCs w:val="18"/>
              </w:rPr>
              <w:t>销售商品收到现金</w:t>
            </w:r>
          </w:p>
        </w:tc>
        <w:tc>
          <w:tcPr>
            <w:tcW w:w="694"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91,841.92</w:t>
            </w:r>
          </w:p>
        </w:tc>
        <w:tc>
          <w:tcPr>
            <w:tcW w:w="781"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91,438.56</w:t>
            </w:r>
          </w:p>
        </w:tc>
        <w:tc>
          <w:tcPr>
            <w:tcW w:w="781"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63,193.43</w:t>
            </w:r>
          </w:p>
        </w:tc>
        <w:tc>
          <w:tcPr>
            <w:tcW w:w="781"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95,397.27</w:t>
            </w:r>
          </w:p>
        </w:tc>
        <w:tc>
          <w:tcPr>
            <w:tcW w:w="780"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341,871.17</w:t>
            </w:r>
          </w:p>
        </w:tc>
      </w:tr>
      <w:tr w:rsidR="00C00BCE" w:rsidRPr="00493E2C" w:rsidTr="00544E57">
        <w:trPr>
          <w:trHeight w:val="270"/>
        </w:trPr>
        <w:tc>
          <w:tcPr>
            <w:tcW w:w="1183" w:type="pct"/>
            <w:tcBorders>
              <w:top w:val="nil"/>
              <w:left w:val="single" w:sz="4" w:space="0" w:color="auto"/>
              <w:bottom w:val="single" w:sz="4" w:space="0" w:color="auto"/>
              <w:right w:val="single" w:sz="4" w:space="0" w:color="auto"/>
            </w:tcBorders>
            <w:shd w:val="clear" w:color="auto" w:fill="auto"/>
            <w:noWrap/>
            <w:vAlign w:val="center"/>
            <w:hideMark/>
          </w:tcPr>
          <w:p w:rsidR="00C00BCE" w:rsidRPr="004F318C" w:rsidRDefault="00C00BCE" w:rsidP="00544E57">
            <w:pPr>
              <w:jc w:val="left"/>
              <w:rPr>
                <w:sz w:val="18"/>
                <w:szCs w:val="18"/>
              </w:rPr>
            </w:pPr>
            <w:r w:rsidRPr="004F318C">
              <w:rPr>
                <w:rFonts w:hint="eastAsia"/>
                <w:sz w:val="18"/>
                <w:szCs w:val="18"/>
              </w:rPr>
              <w:t>购买商品支付现金</w:t>
            </w:r>
          </w:p>
        </w:tc>
        <w:tc>
          <w:tcPr>
            <w:tcW w:w="694"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61,893.76</w:t>
            </w:r>
          </w:p>
        </w:tc>
        <w:tc>
          <w:tcPr>
            <w:tcW w:w="781"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62,796.64</w:t>
            </w:r>
          </w:p>
        </w:tc>
        <w:tc>
          <w:tcPr>
            <w:tcW w:w="781"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56,425.26</w:t>
            </w:r>
          </w:p>
        </w:tc>
        <w:tc>
          <w:tcPr>
            <w:tcW w:w="781"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49,090.38</w:t>
            </w:r>
          </w:p>
        </w:tc>
        <w:tc>
          <w:tcPr>
            <w:tcW w:w="780"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230,206.04</w:t>
            </w:r>
          </w:p>
        </w:tc>
      </w:tr>
      <w:tr w:rsidR="00C00BCE" w:rsidRPr="00493E2C" w:rsidTr="00544E57">
        <w:trPr>
          <w:trHeight w:val="270"/>
        </w:trPr>
        <w:tc>
          <w:tcPr>
            <w:tcW w:w="1183" w:type="pct"/>
            <w:tcBorders>
              <w:top w:val="nil"/>
              <w:left w:val="single" w:sz="4" w:space="0" w:color="auto"/>
              <w:bottom w:val="single" w:sz="4" w:space="0" w:color="auto"/>
              <w:right w:val="single" w:sz="4" w:space="0" w:color="auto"/>
            </w:tcBorders>
            <w:shd w:val="clear" w:color="auto" w:fill="auto"/>
            <w:noWrap/>
            <w:vAlign w:val="center"/>
            <w:hideMark/>
          </w:tcPr>
          <w:p w:rsidR="00C00BCE" w:rsidRPr="004F318C" w:rsidRDefault="00C00BCE" w:rsidP="00544E57">
            <w:pPr>
              <w:jc w:val="left"/>
              <w:rPr>
                <w:sz w:val="18"/>
                <w:szCs w:val="18"/>
              </w:rPr>
            </w:pPr>
            <w:r w:rsidRPr="004F318C">
              <w:rPr>
                <w:rFonts w:hint="eastAsia"/>
                <w:sz w:val="18"/>
                <w:szCs w:val="18"/>
              </w:rPr>
              <w:t>经营活动现金流量净额</w:t>
            </w:r>
          </w:p>
        </w:tc>
        <w:tc>
          <w:tcPr>
            <w:tcW w:w="694"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9,217.79</w:t>
            </w:r>
          </w:p>
        </w:tc>
        <w:tc>
          <w:tcPr>
            <w:tcW w:w="781"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15,224.80</w:t>
            </w:r>
          </w:p>
        </w:tc>
        <w:tc>
          <w:tcPr>
            <w:tcW w:w="781"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-6,942.38</w:t>
            </w:r>
          </w:p>
        </w:tc>
        <w:tc>
          <w:tcPr>
            <w:tcW w:w="781"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15,902.54</w:t>
            </w:r>
          </w:p>
        </w:tc>
        <w:tc>
          <w:tcPr>
            <w:tcW w:w="780"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33,402.75</w:t>
            </w:r>
          </w:p>
        </w:tc>
      </w:tr>
      <w:tr w:rsidR="00C00BCE" w:rsidRPr="00493E2C" w:rsidTr="00544E57">
        <w:trPr>
          <w:trHeight w:val="270"/>
        </w:trPr>
        <w:tc>
          <w:tcPr>
            <w:tcW w:w="1183" w:type="pct"/>
            <w:tcBorders>
              <w:top w:val="nil"/>
              <w:left w:val="single" w:sz="4" w:space="0" w:color="auto"/>
              <w:bottom w:val="single" w:sz="4" w:space="0" w:color="auto"/>
              <w:right w:val="single" w:sz="4" w:space="0" w:color="auto"/>
            </w:tcBorders>
            <w:shd w:val="clear" w:color="auto" w:fill="auto"/>
            <w:noWrap/>
            <w:vAlign w:val="center"/>
            <w:hideMark/>
          </w:tcPr>
          <w:p w:rsidR="00C00BCE" w:rsidRPr="004F318C" w:rsidRDefault="00C00BCE" w:rsidP="00544E57">
            <w:pPr>
              <w:jc w:val="left"/>
              <w:rPr>
                <w:sz w:val="18"/>
                <w:szCs w:val="18"/>
              </w:rPr>
            </w:pPr>
            <w:r w:rsidRPr="004F318C">
              <w:rPr>
                <w:rFonts w:hint="eastAsia"/>
                <w:sz w:val="18"/>
                <w:szCs w:val="18"/>
              </w:rPr>
              <w:t>营业收入</w:t>
            </w:r>
          </w:p>
        </w:tc>
        <w:tc>
          <w:tcPr>
            <w:tcW w:w="694"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56,411.55</w:t>
            </w:r>
          </w:p>
        </w:tc>
        <w:tc>
          <w:tcPr>
            <w:tcW w:w="781"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42,223.31</w:t>
            </w:r>
          </w:p>
        </w:tc>
        <w:tc>
          <w:tcPr>
            <w:tcW w:w="781"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41,189.12</w:t>
            </w:r>
          </w:p>
        </w:tc>
        <w:tc>
          <w:tcPr>
            <w:tcW w:w="781"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30,338.78</w:t>
            </w:r>
          </w:p>
        </w:tc>
        <w:tc>
          <w:tcPr>
            <w:tcW w:w="780" w:type="pct"/>
            <w:tcBorders>
              <w:top w:val="nil"/>
              <w:left w:val="nil"/>
              <w:bottom w:val="single" w:sz="4" w:space="0" w:color="auto"/>
              <w:right w:val="single" w:sz="4" w:space="0" w:color="auto"/>
            </w:tcBorders>
            <w:shd w:val="clear" w:color="auto" w:fill="auto"/>
            <w:noWrap/>
            <w:vAlign w:val="center"/>
            <w:hideMark/>
          </w:tcPr>
          <w:p w:rsidR="00C00BCE" w:rsidRPr="004F318C" w:rsidRDefault="00C00BCE" w:rsidP="00544E57">
            <w:pPr>
              <w:jc w:val="right"/>
              <w:rPr>
                <w:sz w:val="18"/>
                <w:szCs w:val="18"/>
              </w:rPr>
            </w:pPr>
            <w:r w:rsidRPr="004F318C">
              <w:rPr>
                <w:rFonts w:hint="eastAsia"/>
                <w:sz w:val="18"/>
                <w:szCs w:val="18"/>
              </w:rPr>
              <w:t>170,162.76</w:t>
            </w:r>
          </w:p>
        </w:tc>
      </w:tr>
    </w:tbl>
    <w:p w:rsidR="00C00BCE" w:rsidRPr="00493E2C" w:rsidRDefault="00C00BCE" w:rsidP="00C00BCE">
      <w:pPr>
        <w:pStyle w:val="a5"/>
        <w:spacing w:line="360" w:lineRule="auto"/>
        <w:ind w:leftChars="-68" w:left="-143" w:firstLineChars="300" w:firstLine="720"/>
        <w:rPr>
          <w:rFonts w:ascii="宋体" w:hAnsi="宋体"/>
          <w:sz w:val="24"/>
        </w:rPr>
      </w:pPr>
      <w:r w:rsidRPr="00493E2C">
        <w:rPr>
          <w:rStyle w:val="afont1"/>
          <w:rFonts w:ascii="宋体" w:hAnsi="宋体" w:hint="eastAsia"/>
          <w:sz w:val="24"/>
        </w:rPr>
        <w:lastRenderedPageBreak/>
        <w:t>各季度经营活动现金流波动与营业收入的变化趋势存在不匹配的原因如下：</w:t>
      </w:r>
    </w:p>
    <w:p w:rsidR="00C00BCE" w:rsidRPr="00597961" w:rsidRDefault="00C00BCE" w:rsidP="00C00BCE">
      <w:pPr>
        <w:pStyle w:val="a5"/>
        <w:numPr>
          <w:ilvl w:val="0"/>
          <w:numId w:val="1"/>
        </w:numPr>
        <w:suppressAutoHyphens/>
        <w:spacing w:line="360" w:lineRule="auto"/>
        <w:ind w:left="0" w:firstLineChars="0" w:firstLine="480"/>
        <w:rPr>
          <w:rFonts w:ascii="宋体" w:hAnsi="宋体"/>
          <w:sz w:val="24"/>
        </w:rPr>
      </w:pPr>
      <w:r w:rsidRPr="00493E2C">
        <w:rPr>
          <w:rFonts w:ascii="宋体" w:hAnsi="宋体" w:hint="eastAsia"/>
          <w:sz w:val="24"/>
        </w:rPr>
        <w:t>公司第二、三、四季度营业收入较第一季度下降的主要原因为恒利达停产导致营业收入下降；</w:t>
      </w:r>
      <w:r w:rsidRPr="00493E2C">
        <w:rPr>
          <w:rFonts w:ascii="宋体" w:hAnsi="宋体" w:cs="宋体" w:hint="eastAsia"/>
          <w:kern w:val="0"/>
          <w:sz w:val="24"/>
        </w:rPr>
        <w:t>公司医药业务中免疫调节类药品由于受年初网络报道的影响，造成医药业务营业收入下降</w:t>
      </w:r>
      <w:r w:rsidRPr="004D5CD1">
        <w:rPr>
          <w:rFonts w:ascii="宋体" w:hAnsi="宋体" w:hint="eastAsia"/>
          <w:sz w:val="24"/>
        </w:rPr>
        <w:t>（详细说明见表</w:t>
      </w:r>
      <w:r w:rsidRPr="005F4824">
        <w:rPr>
          <w:rFonts w:ascii="宋体" w:hAnsi="宋体" w:hint="eastAsia"/>
          <w:sz w:val="24"/>
        </w:rPr>
        <w:t>2.3</w:t>
      </w:r>
      <w:r w:rsidRPr="00BF4B3A">
        <w:rPr>
          <w:rFonts w:ascii="宋体" w:hAnsi="宋体" w:hint="eastAsia"/>
          <w:sz w:val="24"/>
        </w:rPr>
        <w:t>下营业收入波动原因解释）。</w:t>
      </w:r>
    </w:p>
    <w:p w:rsidR="00C00BCE" w:rsidRPr="00E47C0C" w:rsidRDefault="00C00BCE" w:rsidP="00C00BCE">
      <w:pPr>
        <w:pStyle w:val="a5"/>
        <w:numPr>
          <w:ilvl w:val="0"/>
          <w:numId w:val="1"/>
        </w:numPr>
        <w:suppressAutoHyphens/>
        <w:spacing w:line="360" w:lineRule="auto"/>
        <w:ind w:left="0" w:firstLineChars="0" w:firstLine="480"/>
        <w:rPr>
          <w:rFonts w:ascii="宋体" w:hAnsi="宋体"/>
          <w:sz w:val="24"/>
        </w:rPr>
      </w:pPr>
      <w:r w:rsidRPr="00597961">
        <w:rPr>
          <w:rFonts w:ascii="宋体" w:hAnsi="宋体" w:hint="eastAsia"/>
          <w:sz w:val="24"/>
        </w:rPr>
        <w:t>第一季度营业收入高于第二、四季度营业收入，但经营活动现金流量净额第一季度低于第二、四季度的原因：</w:t>
      </w:r>
    </w:p>
    <w:p w:rsidR="00C00BCE" w:rsidRPr="00337A29" w:rsidRDefault="00C00BCE" w:rsidP="00C00BCE">
      <w:pPr>
        <w:pStyle w:val="a5"/>
        <w:spacing w:line="360" w:lineRule="auto"/>
        <w:ind w:firstLineChars="335" w:firstLine="804"/>
        <w:rPr>
          <w:rFonts w:ascii="宋体" w:hAnsi="宋体"/>
          <w:sz w:val="24"/>
        </w:rPr>
      </w:pPr>
      <w:r w:rsidRPr="00337A29">
        <w:rPr>
          <w:rFonts w:ascii="宋体" w:hAnsi="宋体" w:hint="eastAsia"/>
          <w:sz w:val="24"/>
        </w:rPr>
        <w:t>1)</w:t>
      </w:r>
      <w:r>
        <w:rPr>
          <w:rFonts w:ascii="宋体" w:hAnsi="宋体" w:hint="eastAsia"/>
          <w:sz w:val="24"/>
        </w:rPr>
        <w:t xml:space="preserve"> </w:t>
      </w:r>
      <w:r w:rsidRPr="00337A29">
        <w:rPr>
          <w:rFonts w:ascii="宋体" w:hAnsi="宋体" w:hint="eastAsia"/>
          <w:sz w:val="24"/>
        </w:rPr>
        <w:t>第一季度支付的各项费用较其他季度相比金额较大，如支付给职工以及为职工支付的现金第一季度分别高于第二、四季度4,426.55万元、4,955.45万元，高出部分主要是支付的2017年度年终奖。</w:t>
      </w:r>
    </w:p>
    <w:p w:rsidR="00C00BCE" w:rsidRPr="00337A29" w:rsidRDefault="00C00BCE" w:rsidP="00C00BCE">
      <w:pPr>
        <w:pStyle w:val="a5"/>
        <w:spacing w:line="360" w:lineRule="auto"/>
        <w:ind w:firstLineChars="335" w:firstLine="804"/>
        <w:rPr>
          <w:rFonts w:ascii="宋体" w:hAnsi="宋体"/>
          <w:sz w:val="24"/>
        </w:rPr>
      </w:pPr>
      <w:r w:rsidRPr="00337A29">
        <w:rPr>
          <w:rFonts w:ascii="宋体" w:hAnsi="宋体" w:hint="eastAsia"/>
          <w:sz w:val="24"/>
        </w:rPr>
        <w:t>2)</w:t>
      </w:r>
      <w:r>
        <w:rPr>
          <w:rFonts w:ascii="宋体" w:hAnsi="宋体" w:hint="eastAsia"/>
          <w:sz w:val="24"/>
        </w:rPr>
        <w:t xml:space="preserve"> </w:t>
      </w:r>
      <w:r w:rsidRPr="00337A29">
        <w:rPr>
          <w:rFonts w:ascii="宋体" w:hAnsi="宋体" w:hint="eastAsia"/>
          <w:sz w:val="24"/>
        </w:rPr>
        <w:t>第一季度支付的各项税费分别高于第二、四季度1,597.66万元和3,211.52万元。</w:t>
      </w:r>
    </w:p>
    <w:p w:rsidR="00C00BCE" w:rsidRPr="00597961" w:rsidRDefault="00C00BCE" w:rsidP="00F00C10">
      <w:pPr>
        <w:pStyle w:val="a5"/>
        <w:spacing w:line="360" w:lineRule="auto"/>
        <w:ind w:firstLineChars="177" w:firstLine="425"/>
        <w:rPr>
          <w:rFonts w:ascii="宋体" w:hAnsi="宋体"/>
          <w:sz w:val="24"/>
        </w:rPr>
      </w:pPr>
      <w:r w:rsidRPr="00337A29">
        <w:rPr>
          <w:rFonts w:ascii="宋体" w:hAnsi="宋体" w:hint="eastAsia"/>
          <w:sz w:val="24"/>
        </w:rPr>
        <w:t>（3）第三季度经营活动现金流量净额较第一、二、四季</w:t>
      </w:r>
      <w:r>
        <w:rPr>
          <w:rFonts w:ascii="宋体" w:hAnsi="宋体" w:hint="eastAsia"/>
          <w:sz w:val="24"/>
        </w:rPr>
        <w:t>度</w:t>
      </w:r>
      <w:r w:rsidRPr="00337A29">
        <w:rPr>
          <w:rFonts w:ascii="宋体" w:hAnsi="宋体" w:hint="eastAsia"/>
          <w:sz w:val="24"/>
        </w:rPr>
        <w:t>下降且为负数，主要原因如下</w:t>
      </w:r>
      <w:r w:rsidRPr="00BF4B3A">
        <w:rPr>
          <w:rFonts w:ascii="宋体" w:hAnsi="宋体" w:hint="eastAsia"/>
          <w:sz w:val="24"/>
        </w:rPr>
        <w:t>：</w:t>
      </w:r>
    </w:p>
    <w:p w:rsidR="00C00BCE" w:rsidRPr="008C71F5" w:rsidRDefault="00C00BCE" w:rsidP="00C00BCE">
      <w:pPr>
        <w:pStyle w:val="a5"/>
        <w:numPr>
          <w:ilvl w:val="1"/>
          <w:numId w:val="1"/>
        </w:numPr>
        <w:suppressAutoHyphens/>
        <w:spacing w:line="360" w:lineRule="auto"/>
        <w:ind w:left="0" w:firstLineChars="295" w:firstLine="708"/>
        <w:rPr>
          <w:rFonts w:ascii="宋体" w:hAnsi="宋体"/>
          <w:sz w:val="24"/>
        </w:rPr>
      </w:pPr>
      <w:r w:rsidRPr="008C71F5">
        <w:rPr>
          <w:rFonts w:ascii="宋体" w:hAnsi="宋体" w:hint="eastAsia"/>
          <w:sz w:val="24"/>
        </w:rPr>
        <w:t>响水</w:t>
      </w:r>
      <w:proofErr w:type="gramStart"/>
      <w:r w:rsidRPr="008C71F5">
        <w:rPr>
          <w:rFonts w:ascii="宋体" w:hAnsi="宋体" w:hint="eastAsia"/>
          <w:sz w:val="24"/>
        </w:rPr>
        <w:t>恒</w:t>
      </w:r>
      <w:proofErr w:type="gramEnd"/>
      <w:r w:rsidRPr="008C71F5">
        <w:rPr>
          <w:rFonts w:ascii="宋体" w:hAnsi="宋体" w:hint="eastAsia"/>
          <w:sz w:val="24"/>
        </w:rPr>
        <w:t>利达科技化工有限公司停产后销售下降，销售商品收到的现金减少，第三季度较第一季度下降15,805.06万元，而一些固定费用如人员工资等在继续支出。</w:t>
      </w:r>
    </w:p>
    <w:p w:rsidR="00C00BCE" w:rsidRPr="008C71F5" w:rsidRDefault="00C00BCE" w:rsidP="00C00BCE">
      <w:pPr>
        <w:pStyle w:val="a5"/>
        <w:numPr>
          <w:ilvl w:val="1"/>
          <w:numId w:val="1"/>
        </w:numPr>
        <w:tabs>
          <w:tab w:val="left" w:pos="709"/>
          <w:tab w:val="left" w:pos="851"/>
        </w:tabs>
        <w:suppressAutoHyphens/>
        <w:spacing w:line="360" w:lineRule="auto"/>
        <w:ind w:left="142" w:firstLineChars="0" w:firstLine="567"/>
        <w:rPr>
          <w:rFonts w:ascii="宋体" w:hAnsi="宋体"/>
          <w:sz w:val="24"/>
        </w:rPr>
      </w:pPr>
      <w:r w:rsidRPr="008C71F5">
        <w:rPr>
          <w:rStyle w:val="afont1"/>
          <w:rFonts w:ascii="宋体" w:hAnsi="宋体" w:hint="eastAsia"/>
          <w:sz w:val="24"/>
        </w:rPr>
        <w:t>由于第三季度与公司房地产企业合作办理按揭的银行贷款额度不足，</w:t>
      </w:r>
      <w:r w:rsidRPr="008C71F5">
        <w:rPr>
          <w:rFonts w:ascii="宋体" w:hAnsi="宋体" w:hint="eastAsia"/>
          <w:sz w:val="24"/>
        </w:rPr>
        <w:t>对购房人员的按揭贷款放缓发放，部分贷款在四季度进行了发放，导致三季度房地产业销售商品收到的现金较第一、二、四季度减少，而房地产工程款需按施工进度正常支付，第三季度房地产销售商品收到的现金与购买商品收到的现金的差额较第一季度减少11,490.62万元。</w:t>
      </w:r>
    </w:p>
    <w:p w:rsidR="00C00BCE" w:rsidRPr="00493E2C" w:rsidRDefault="00C00BCE" w:rsidP="00C00BCE">
      <w:pPr>
        <w:pStyle w:val="a5"/>
        <w:suppressAutoHyphens/>
        <w:spacing w:line="360" w:lineRule="auto"/>
        <w:ind w:left="425" w:firstLineChars="0" w:firstLine="0"/>
        <w:rPr>
          <w:rFonts w:ascii="宋体" w:hAnsi="宋体"/>
          <w:sz w:val="24"/>
        </w:rPr>
      </w:pPr>
    </w:p>
    <w:p w:rsidR="00C00BCE" w:rsidRPr="004D5CD1" w:rsidRDefault="00C00BCE" w:rsidP="00C00BCE">
      <w:pPr>
        <w:pStyle w:val="a5"/>
        <w:spacing w:line="360" w:lineRule="auto"/>
        <w:ind w:firstLine="480"/>
        <w:rPr>
          <w:rFonts w:ascii="宋体" w:hAnsi="宋体"/>
          <w:sz w:val="24"/>
        </w:rPr>
      </w:pPr>
      <w:r w:rsidRPr="004D5CD1">
        <w:rPr>
          <w:rStyle w:val="afont1"/>
          <w:rFonts w:ascii="宋体" w:hAnsi="宋体" w:hint="eastAsia"/>
          <w:sz w:val="24"/>
        </w:rPr>
        <w:t>3、说明是否存在集中第四季度调账而导致财务数据异常变化的情形</w:t>
      </w:r>
      <w:r w:rsidR="008C71F5">
        <w:rPr>
          <w:rStyle w:val="afont1"/>
          <w:rFonts w:ascii="宋体" w:hAnsi="宋体" w:hint="eastAsia"/>
          <w:sz w:val="24"/>
        </w:rPr>
        <w:t>。</w:t>
      </w:r>
    </w:p>
    <w:p w:rsidR="00C00BCE" w:rsidRPr="005F4824" w:rsidRDefault="00C00BCE" w:rsidP="00C00BCE">
      <w:pPr>
        <w:spacing w:line="360" w:lineRule="auto"/>
        <w:ind w:firstLineChars="200" w:firstLine="480"/>
        <w:rPr>
          <w:rFonts w:ascii="宋体" w:hAnsi="宋体"/>
          <w:sz w:val="24"/>
        </w:rPr>
      </w:pPr>
      <w:r w:rsidRPr="005F4824">
        <w:rPr>
          <w:rFonts w:ascii="宋体" w:hAnsi="宋体" w:hint="eastAsia"/>
          <w:sz w:val="24"/>
        </w:rPr>
        <w:t>综合上述</w:t>
      </w:r>
      <w:r w:rsidRPr="00BF4B3A">
        <w:rPr>
          <w:rFonts w:ascii="宋体" w:hAnsi="宋体" w:hint="eastAsia"/>
          <w:sz w:val="24"/>
        </w:rPr>
        <w:t>1、</w:t>
      </w:r>
      <w:r w:rsidRPr="00597961">
        <w:rPr>
          <w:rFonts w:ascii="宋体" w:hAnsi="宋体" w:hint="eastAsia"/>
          <w:sz w:val="24"/>
        </w:rPr>
        <w:t>2点，公司营业收入下降的原因主要为子公司响水</w:t>
      </w:r>
      <w:proofErr w:type="gramStart"/>
      <w:r w:rsidRPr="00597961">
        <w:rPr>
          <w:rFonts w:ascii="宋体" w:hAnsi="宋体" w:hint="eastAsia"/>
          <w:sz w:val="24"/>
        </w:rPr>
        <w:t>恒</w:t>
      </w:r>
      <w:proofErr w:type="gramEnd"/>
      <w:r w:rsidRPr="00597961">
        <w:rPr>
          <w:rFonts w:ascii="宋体" w:hAnsi="宋体" w:hint="eastAsia"/>
          <w:sz w:val="24"/>
        </w:rPr>
        <w:t>利达科技化工有限公司</w:t>
      </w:r>
      <w:r w:rsidRPr="004D5CD1">
        <w:rPr>
          <w:rFonts w:ascii="宋体" w:hAnsi="宋体" w:hint="eastAsia"/>
          <w:sz w:val="24"/>
        </w:rPr>
        <w:t>因停产而减少营业收入、</w:t>
      </w:r>
      <w:r w:rsidRPr="00493E2C">
        <w:rPr>
          <w:rFonts w:ascii="宋体" w:hAnsi="宋体" w:cs="宋体" w:hint="eastAsia"/>
          <w:kern w:val="0"/>
          <w:sz w:val="24"/>
        </w:rPr>
        <w:t>公司医药业务中免疫调节类药品由于受年初网络报道的影响造成医药业务营业收入下降</w:t>
      </w:r>
      <w:r w:rsidRPr="004D5CD1">
        <w:rPr>
          <w:rFonts w:ascii="宋体" w:hAnsi="宋体" w:hint="eastAsia"/>
          <w:sz w:val="24"/>
        </w:rPr>
        <w:t>；</w:t>
      </w:r>
      <w:r w:rsidRPr="005F4824">
        <w:rPr>
          <w:rFonts w:ascii="宋体" w:hAnsi="宋体" w:hint="eastAsia"/>
          <w:sz w:val="24"/>
        </w:rPr>
        <w:t>净利润各季变动较大的主要原因为公司</w:t>
      </w:r>
      <w:r w:rsidRPr="00493E2C">
        <w:rPr>
          <w:rFonts w:ascii="宋体" w:hAnsi="宋体" w:hint="eastAsia"/>
          <w:sz w:val="24"/>
        </w:rPr>
        <w:t>第</w:t>
      </w:r>
      <w:r w:rsidRPr="004D5CD1">
        <w:rPr>
          <w:rFonts w:ascii="宋体" w:hAnsi="宋体" w:hint="eastAsia"/>
          <w:sz w:val="24"/>
        </w:rPr>
        <w:t>二、三、四季度</w:t>
      </w:r>
      <w:r w:rsidRPr="008C71F5">
        <w:rPr>
          <w:rFonts w:ascii="宋体" w:hAnsi="宋体" w:hint="eastAsia"/>
          <w:sz w:val="24"/>
        </w:rPr>
        <w:t>转让江苏银行股权产生投资收益 ，</w:t>
      </w:r>
      <w:r w:rsidR="00C018B8" w:rsidRPr="008C71F5">
        <w:rPr>
          <w:rFonts w:ascii="宋体" w:hAnsi="宋体" w:hint="eastAsia"/>
          <w:sz w:val="24"/>
        </w:rPr>
        <w:t>第</w:t>
      </w:r>
      <w:r w:rsidRPr="008C71F5">
        <w:rPr>
          <w:rFonts w:ascii="宋体" w:hAnsi="宋体" w:hint="eastAsia"/>
          <w:sz w:val="24"/>
        </w:rPr>
        <w:t>四季度因计提商誉减值准备而造成大额亏损，响水</w:t>
      </w:r>
      <w:proofErr w:type="gramStart"/>
      <w:r w:rsidRPr="008C71F5">
        <w:rPr>
          <w:rFonts w:ascii="宋体" w:hAnsi="宋体" w:hint="eastAsia"/>
          <w:sz w:val="24"/>
        </w:rPr>
        <w:t>恒</w:t>
      </w:r>
      <w:proofErr w:type="gramEnd"/>
      <w:r w:rsidRPr="008C71F5">
        <w:rPr>
          <w:rFonts w:ascii="宋体" w:hAnsi="宋体" w:hint="eastAsia"/>
          <w:sz w:val="24"/>
        </w:rPr>
        <w:t>利达第二季度开始因环保整治停产而造成该</w:t>
      </w:r>
      <w:r w:rsidRPr="008C71F5">
        <w:rPr>
          <w:rFonts w:ascii="宋体" w:hAnsi="宋体" w:hint="eastAsia"/>
          <w:sz w:val="24"/>
        </w:rPr>
        <w:lastRenderedPageBreak/>
        <w:t>公司亏损，因此</w:t>
      </w:r>
      <w:r w:rsidRPr="004D5CD1">
        <w:rPr>
          <w:rFonts w:ascii="宋体" w:hAnsi="宋体" w:hint="eastAsia"/>
          <w:sz w:val="24"/>
        </w:rPr>
        <w:t>公司不存在</w:t>
      </w:r>
      <w:r w:rsidRPr="004D5CD1">
        <w:rPr>
          <w:rStyle w:val="afont1"/>
          <w:rFonts w:ascii="宋体" w:hAnsi="宋体" w:hint="eastAsia"/>
          <w:sz w:val="24"/>
        </w:rPr>
        <w:t>集中第四季度调账而导致财务数据异常变化的情形</w:t>
      </w:r>
      <w:r w:rsidRPr="004D5CD1">
        <w:rPr>
          <w:rFonts w:ascii="宋体" w:hAnsi="宋体"/>
          <w:sz w:val="24"/>
        </w:rPr>
        <w:t>。</w:t>
      </w:r>
    </w:p>
    <w:p w:rsidR="00D0185C" w:rsidRDefault="00D0185C" w:rsidP="00010EAD">
      <w:pPr>
        <w:spacing w:line="360" w:lineRule="auto"/>
        <w:ind w:firstLineChars="200" w:firstLine="482"/>
        <w:rPr>
          <w:rFonts w:asciiTheme="minorEastAsia" w:eastAsiaTheme="minorEastAsia" w:hAnsiTheme="minorEastAsia"/>
          <w:b/>
          <w:sz w:val="24"/>
        </w:rPr>
      </w:pPr>
    </w:p>
    <w:p w:rsidR="0052077F" w:rsidRPr="00010EAD" w:rsidRDefault="00BC3268" w:rsidP="00010EAD">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三、</w:t>
      </w:r>
      <w:r w:rsidR="0052077F" w:rsidRPr="00010EAD">
        <w:rPr>
          <w:rFonts w:asciiTheme="minorEastAsia" w:eastAsiaTheme="minorEastAsia" w:hAnsiTheme="minorEastAsia" w:hint="eastAsia"/>
          <w:b/>
          <w:sz w:val="24"/>
        </w:rPr>
        <w:t>根据年报，由于响水</w:t>
      </w:r>
      <w:proofErr w:type="gramStart"/>
      <w:r w:rsidR="0052077F" w:rsidRPr="00010EAD">
        <w:rPr>
          <w:rFonts w:asciiTheme="minorEastAsia" w:eastAsiaTheme="minorEastAsia" w:hAnsiTheme="minorEastAsia" w:hint="eastAsia"/>
          <w:b/>
          <w:sz w:val="24"/>
        </w:rPr>
        <w:t>恒</w:t>
      </w:r>
      <w:proofErr w:type="gramEnd"/>
      <w:r w:rsidR="0052077F" w:rsidRPr="00010EAD">
        <w:rPr>
          <w:rFonts w:asciiTheme="minorEastAsia" w:eastAsiaTheme="minorEastAsia" w:hAnsiTheme="minorEastAsia" w:hint="eastAsia"/>
          <w:b/>
          <w:sz w:val="24"/>
        </w:rPr>
        <w:t>利达目前处于停产状态，报告</w:t>
      </w:r>
      <w:proofErr w:type="gramStart"/>
      <w:r w:rsidR="0052077F" w:rsidRPr="00010EAD">
        <w:rPr>
          <w:rFonts w:asciiTheme="minorEastAsia" w:eastAsiaTheme="minorEastAsia" w:hAnsiTheme="minorEastAsia" w:hint="eastAsia"/>
          <w:b/>
          <w:sz w:val="24"/>
        </w:rPr>
        <w:t>期业绩</w:t>
      </w:r>
      <w:proofErr w:type="gramEnd"/>
      <w:r w:rsidR="0052077F" w:rsidRPr="00010EAD">
        <w:rPr>
          <w:rFonts w:asciiTheme="minorEastAsia" w:eastAsiaTheme="minorEastAsia" w:hAnsiTheme="minorEastAsia" w:hint="eastAsia"/>
          <w:b/>
          <w:sz w:val="24"/>
        </w:rPr>
        <w:t>承诺未完成，媒体披露当地政府决定关闭响水</w:t>
      </w:r>
      <w:proofErr w:type="gramStart"/>
      <w:r w:rsidR="0052077F" w:rsidRPr="00010EAD">
        <w:rPr>
          <w:rFonts w:asciiTheme="minorEastAsia" w:eastAsiaTheme="minorEastAsia" w:hAnsiTheme="minorEastAsia" w:hint="eastAsia"/>
          <w:b/>
          <w:sz w:val="24"/>
        </w:rPr>
        <w:t>恒</w:t>
      </w:r>
      <w:proofErr w:type="gramEnd"/>
      <w:r w:rsidR="0052077F" w:rsidRPr="00010EAD">
        <w:rPr>
          <w:rFonts w:asciiTheme="minorEastAsia" w:eastAsiaTheme="minorEastAsia" w:hAnsiTheme="minorEastAsia" w:hint="eastAsia"/>
          <w:b/>
          <w:sz w:val="24"/>
        </w:rPr>
        <w:t>利达所在化工园区等原因，公司对收购响水</w:t>
      </w:r>
      <w:proofErr w:type="gramStart"/>
      <w:r w:rsidR="0052077F" w:rsidRPr="00010EAD">
        <w:rPr>
          <w:rFonts w:asciiTheme="minorEastAsia" w:eastAsiaTheme="minorEastAsia" w:hAnsiTheme="minorEastAsia" w:hint="eastAsia"/>
          <w:b/>
          <w:sz w:val="24"/>
        </w:rPr>
        <w:t>恒</w:t>
      </w:r>
      <w:proofErr w:type="gramEnd"/>
      <w:r w:rsidR="0052077F" w:rsidRPr="00010EAD">
        <w:rPr>
          <w:rFonts w:asciiTheme="minorEastAsia" w:eastAsiaTheme="minorEastAsia" w:hAnsiTheme="minorEastAsia" w:hint="eastAsia"/>
          <w:b/>
          <w:sz w:val="24"/>
        </w:rPr>
        <w:t>利达所形成的商誉计提减值准备3.67亿元。公司2016年及2017年对相关商誉均未计提商誉减值准备。请公司结合收购响水</w:t>
      </w:r>
      <w:proofErr w:type="gramStart"/>
      <w:r w:rsidR="0052077F" w:rsidRPr="00010EAD">
        <w:rPr>
          <w:rFonts w:asciiTheme="minorEastAsia" w:eastAsiaTheme="minorEastAsia" w:hAnsiTheme="minorEastAsia" w:hint="eastAsia"/>
          <w:b/>
          <w:sz w:val="24"/>
        </w:rPr>
        <w:t>恒</w:t>
      </w:r>
      <w:proofErr w:type="gramEnd"/>
      <w:r w:rsidR="0052077F" w:rsidRPr="00010EAD">
        <w:rPr>
          <w:rFonts w:asciiTheme="minorEastAsia" w:eastAsiaTheme="minorEastAsia" w:hAnsiTheme="minorEastAsia" w:hint="eastAsia"/>
          <w:b/>
          <w:sz w:val="24"/>
        </w:rPr>
        <w:t>利达以来各报告期商誉减值测试及商誉减值计提的情况，补充披露：（1）明确</w:t>
      </w:r>
      <w:proofErr w:type="gramStart"/>
      <w:r w:rsidR="0052077F" w:rsidRPr="00010EAD">
        <w:rPr>
          <w:rFonts w:asciiTheme="minorEastAsia" w:eastAsiaTheme="minorEastAsia" w:hAnsiTheme="minorEastAsia" w:hint="eastAsia"/>
          <w:b/>
          <w:sz w:val="24"/>
        </w:rPr>
        <w:t>说明自</w:t>
      </w:r>
      <w:proofErr w:type="gramEnd"/>
      <w:r w:rsidR="0052077F" w:rsidRPr="00010EAD">
        <w:rPr>
          <w:rFonts w:asciiTheme="minorEastAsia" w:eastAsiaTheme="minorEastAsia" w:hAnsiTheme="minorEastAsia" w:hint="eastAsia"/>
          <w:b/>
          <w:sz w:val="24"/>
        </w:rPr>
        <w:t>收购响水</w:t>
      </w:r>
      <w:proofErr w:type="gramStart"/>
      <w:r w:rsidR="0052077F" w:rsidRPr="00010EAD">
        <w:rPr>
          <w:rFonts w:asciiTheme="minorEastAsia" w:eastAsiaTheme="minorEastAsia" w:hAnsiTheme="minorEastAsia" w:hint="eastAsia"/>
          <w:b/>
          <w:sz w:val="24"/>
        </w:rPr>
        <w:t>恒</w:t>
      </w:r>
      <w:proofErr w:type="gramEnd"/>
      <w:r w:rsidR="0052077F" w:rsidRPr="00010EAD">
        <w:rPr>
          <w:rFonts w:asciiTheme="minorEastAsia" w:eastAsiaTheme="minorEastAsia" w:hAnsiTheme="minorEastAsia" w:hint="eastAsia"/>
          <w:b/>
          <w:sz w:val="24"/>
        </w:rPr>
        <w:t>利达产生商誉以来各报告期期末商誉减值测试的方法，资产组或资产组组合认定的标准、依据和结果，商誉减值测试具体步骤和详细计算过程，具体指标选取情况、选取依据及合理性；（2）说明公司往年未对响水</w:t>
      </w:r>
      <w:proofErr w:type="gramStart"/>
      <w:r w:rsidR="0052077F" w:rsidRPr="00010EAD">
        <w:rPr>
          <w:rFonts w:asciiTheme="minorEastAsia" w:eastAsiaTheme="minorEastAsia" w:hAnsiTheme="minorEastAsia" w:hint="eastAsia"/>
          <w:b/>
          <w:sz w:val="24"/>
        </w:rPr>
        <w:t>恒</w:t>
      </w:r>
      <w:proofErr w:type="gramEnd"/>
      <w:r w:rsidR="0052077F" w:rsidRPr="00010EAD">
        <w:rPr>
          <w:rFonts w:asciiTheme="minorEastAsia" w:eastAsiaTheme="minorEastAsia" w:hAnsiTheme="minorEastAsia" w:hint="eastAsia"/>
          <w:b/>
          <w:sz w:val="24"/>
        </w:rPr>
        <w:t>利达商誉计提减值准备的会计处理是否谨慎，是否存在前期商誉减值计提不充分的情形，并提供相关证据和说明。</w:t>
      </w:r>
    </w:p>
    <w:p w:rsidR="005824D9" w:rsidRPr="00597961" w:rsidRDefault="005824D9" w:rsidP="005824D9">
      <w:pPr>
        <w:spacing w:line="360" w:lineRule="auto"/>
        <w:ind w:firstLineChars="200" w:firstLine="482"/>
        <w:rPr>
          <w:rFonts w:ascii="宋体" w:hAnsi="宋体"/>
          <w:b/>
          <w:sz w:val="24"/>
        </w:rPr>
      </w:pPr>
      <w:r w:rsidRPr="00597961">
        <w:rPr>
          <w:rFonts w:ascii="宋体" w:hAnsi="宋体" w:hint="eastAsia"/>
          <w:b/>
          <w:sz w:val="24"/>
        </w:rPr>
        <w:t>公司回复：</w:t>
      </w:r>
    </w:p>
    <w:p w:rsidR="005824D9" w:rsidRPr="005F4824" w:rsidRDefault="005824D9" w:rsidP="005824D9">
      <w:pPr>
        <w:spacing w:line="360" w:lineRule="auto"/>
        <w:ind w:firstLineChars="200" w:firstLine="480"/>
        <w:rPr>
          <w:rFonts w:ascii="宋体" w:hAnsi="宋体"/>
          <w:sz w:val="24"/>
        </w:rPr>
      </w:pPr>
      <w:r w:rsidRPr="00597961">
        <w:rPr>
          <w:rFonts w:ascii="宋体" w:hAnsi="宋体" w:hint="eastAsia"/>
          <w:sz w:val="24"/>
        </w:rPr>
        <w:t>1、</w:t>
      </w:r>
      <w:r w:rsidRPr="00E47C0C">
        <w:rPr>
          <w:rFonts w:ascii="宋体" w:hAnsi="宋体" w:hint="eastAsia"/>
          <w:sz w:val="24"/>
        </w:rPr>
        <w:t>明确</w:t>
      </w:r>
      <w:proofErr w:type="gramStart"/>
      <w:r w:rsidRPr="00E47C0C">
        <w:rPr>
          <w:rFonts w:ascii="宋体" w:hAnsi="宋体" w:hint="eastAsia"/>
          <w:sz w:val="24"/>
        </w:rPr>
        <w:t>说明自</w:t>
      </w:r>
      <w:proofErr w:type="gramEnd"/>
      <w:r w:rsidRPr="00E47C0C">
        <w:rPr>
          <w:rFonts w:ascii="宋体" w:hAnsi="宋体" w:hint="eastAsia"/>
          <w:sz w:val="24"/>
        </w:rPr>
        <w:t>收购响水</w:t>
      </w:r>
      <w:proofErr w:type="gramStart"/>
      <w:r w:rsidRPr="00E47C0C">
        <w:rPr>
          <w:rFonts w:ascii="宋体" w:hAnsi="宋体" w:hint="eastAsia"/>
          <w:sz w:val="24"/>
        </w:rPr>
        <w:t>恒</w:t>
      </w:r>
      <w:proofErr w:type="gramEnd"/>
      <w:r w:rsidRPr="00E47C0C">
        <w:rPr>
          <w:rFonts w:ascii="宋体" w:hAnsi="宋体" w:hint="eastAsia"/>
          <w:sz w:val="24"/>
        </w:rPr>
        <w:t>利达产生商誉</w:t>
      </w:r>
      <w:r w:rsidRPr="00493E2C">
        <w:rPr>
          <w:rFonts w:ascii="宋体" w:hAnsi="宋体" w:hint="eastAsia"/>
          <w:sz w:val="24"/>
        </w:rPr>
        <w:t>以来</w:t>
      </w:r>
      <w:r w:rsidRPr="004D5CD1">
        <w:rPr>
          <w:rFonts w:ascii="宋体" w:hAnsi="宋体" w:hint="eastAsia"/>
          <w:sz w:val="24"/>
        </w:rPr>
        <w:t>各报告期期末商誉减值测试的方法，资产组或资产组组合认定</w:t>
      </w:r>
      <w:r w:rsidRPr="00493E2C">
        <w:rPr>
          <w:rFonts w:ascii="宋体" w:hAnsi="宋体" w:hint="eastAsia"/>
          <w:sz w:val="24"/>
        </w:rPr>
        <w:t>的标</w:t>
      </w:r>
      <w:r w:rsidRPr="004D5CD1">
        <w:rPr>
          <w:rFonts w:ascii="宋体" w:hAnsi="宋体" w:hint="eastAsia"/>
          <w:sz w:val="24"/>
        </w:rPr>
        <w:t>准、依据和结果，商誉减值测试具体步骤和详细计算过程，具体指标选取情况、选取依据及合理性；</w:t>
      </w:r>
    </w:p>
    <w:p w:rsidR="005824D9" w:rsidRPr="00E47C0C" w:rsidRDefault="005824D9" w:rsidP="005824D9">
      <w:pPr>
        <w:spacing w:line="360" w:lineRule="auto"/>
        <w:ind w:firstLineChars="200" w:firstLine="480"/>
        <w:rPr>
          <w:rFonts w:ascii="宋体" w:hAnsi="宋体"/>
          <w:sz w:val="24"/>
        </w:rPr>
      </w:pPr>
      <w:r w:rsidRPr="00BF4B3A">
        <w:rPr>
          <w:rFonts w:ascii="宋体" w:hAnsi="宋体" w:hint="eastAsia"/>
          <w:sz w:val="24"/>
        </w:rPr>
        <w:t>（1</w:t>
      </w:r>
      <w:r w:rsidRPr="00597961">
        <w:rPr>
          <w:rFonts w:ascii="宋体" w:hAnsi="宋体" w:hint="eastAsia"/>
          <w:sz w:val="24"/>
        </w:rPr>
        <w:t>）测试方法：自2016年收购响水</w:t>
      </w:r>
      <w:proofErr w:type="gramStart"/>
      <w:r w:rsidRPr="00597961">
        <w:rPr>
          <w:rFonts w:ascii="宋体" w:hAnsi="宋体" w:hint="eastAsia"/>
          <w:sz w:val="24"/>
        </w:rPr>
        <w:t>恒</w:t>
      </w:r>
      <w:proofErr w:type="gramEnd"/>
      <w:r w:rsidRPr="00597961">
        <w:rPr>
          <w:rFonts w:ascii="宋体" w:hAnsi="宋体" w:hint="eastAsia"/>
          <w:sz w:val="24"/>
        </w:rPr>
        <w:t>利达以来，本公司每年度末均会对商誉进行减值测试，本公司聘请资产评估机构对商誉所对应资产组的价值进行评估，以评估价值作为资产组可收回价值，与账面价值（合并报表层面资产组在购买日公允价值基础上持续计量的在各资产负债表日的金额）进行比较，如可回收价值低于账面价值则发生减值，将对差额计提商誉减值准备。</w:t>
      </w:r>
    </w:p>
    <w:p w:rsidR="005824D9" w:rsidRPr="00433C93" w:rsidRDefault="005824D9" w:rsidP="005824D9">
      <w:pPr>
        <w:spacing w:line="360" w:lineRule="auto"/>
        <w:ind w:firstLineChars="200" w:firstLine="480"/>
        <w:rPr>
          <w:rFonts w:ascii="宋体" w:hAnsi="宋体"/>
          <w:sz w:val="24"/>
        </w:rPr>
      </w:pPr>
      <w:r w:rsidRPr="00FC007F">
        <w:rPr>
          <w:rFonts w:ascii="宋体" w:hAnsi="宋体" w:hint="eastAsia"/>
          <w:sz w:val="24"/>
        </w:rPr>
        <w:t>（</w:t>
      </w:r>
      <w:r w:rsidRPr="00426630">
        <w:rPr>
          <w:rFonts w:ascii="宋体" w:hAnsi="宋体" w:hint="eastAsia"/>
          <w:sz w:val="24"/>
        </w:rPr>
        <w:t>2）资产组或资产组组合的认定标准、依据和结果</w:t>
      </w:r>
    </w:p>
    <w:p w:rsidR="005824D9" w:rsidRPr="00E25603" w:rsidRDefault="005824D9" w:rsidP="005824D9">
      <w:pPr>
        <w:spacing w:line="360" w:lineRule="auto"/>
        <w:ind w:firstLineChars="200" w:firstLine="480"/>
        <w:rPr>
          <w:rFonts w:ascii="宋体" w:hAnsi="宋体"/>
          <w:sz w:val="24"/>
        </w:rPr>
      </w:pPr>
      <w:r w:rsidRPr="00433C93">
        <w:rPr>
          <w:rFonts w:ascii="宋体" w:hAnsi="宋体" w:hint="eastAsia"/>
          <w:sz w:val="24"/>
        </w:rPr>
        <w:t>资产组是指企业可以认定的可以独立产生现金流的最小资产组合，其产生的现金流入应当基本上独立于其他资产或者资产</w:t>
      </w:r>
      <w:proofErr w:type="gramStart"/>
      <w:r w:rsidRPr="00433C93">
        <w:rPr>
          <w:rFonts w:ascii="宋体" w:hAnsi="宋体" w:hint="eastAsia"/>
          <w:sz w:val="24"/>
        </w:rPr>
        <w:t>组产生</w:t>
      </w:r>
      <w:proofErr w:type="gramEnd"/>
      <w:r w:rsidRPr="00433C93">
        <w:rPr>
          <w:rFonts w:ascii="宋体" w:hAnsi="宋体" w:hint="eastAsia"/>
          <w:sz w:val="24"/>
        </w:rPr>
        <w:t>的现金流入。</w:t>
      </w:r>
    </w:p>
    <w:p w:rsidR="005824D9" w:rsidRPr="00493E2C" w:rsidRDefault="005824D9" w:rsidP="005824D9">
      <w:pPr>
        <w:spacing w:line="360" w:lineRule="auto"/>
        <w:ind w:firstLineChars="200" w:firstLine="480"/>
        <w:rPr>
          <w:rFonts w:ascii="宋体" w:hAnsi="宋体"/>
          <w:sz w:val="24"/>
        </w:rPr>
      </w:pPr>
      <w:r w:rsidRPr="00134A43">
        <w:rPr>
          <w:rFonts w:ascii="宋体" w:hAnsi="宋体" w:hint="eastAsia"/>
          <w:sz w:val="24"/>
        </w:rPr>
        <w:t>本次收购涉及的恒利达资产主要为固定资产、在建工程、无形资产等，上述资产相互配合，生产主要产品J</w:t>
      </w:r>
      <w:r w:rsidRPr="009351F3">
        <w:rPr>
          <w:rFonts w:ascii="宋体" w:hAnsi="宋体" w:hint="eastAsia"/>
          <w:sz w:val="24"/>
        </w:rPr>
        <w:t>酸、</w:t>
      </w:r>
      <w:proofErr w:type="gramStart"/>
      <w:r w:rsidRPr="009351F3">
        <w:rPr>
          <w:rFonts w:ascii="宋体" w:hAnsi="宋体" w:hint="eastAsia"/>
          <w:sz w:val="24"/>
        </w:rPr>
        <w:t>吐氏酸</w:t>
      </w:r>
      <w:proofErr w:type="gramEnd"/>
      <w:r w:rsidRPr="009351F3">
        <w:rPr>
          <w:rFonts w:ascii="宋体" w:hAnsi="宋体" w:hint="eastAsia"/>
          <w:sz w:val="24"/>
        </w:rPr>
        <w:t>、磺化</w:t>
      </w:r>
      <w:proofErr w:type="gramStart"/>
      <w:r w:rsidRPr="009351F3">
        <w:rPr>
          <w:rFonts w:ascii="宋体" w:hAnsi="宋体" w:hint="eastAsia"/>
          <w:sz w:val="24"/>
        </w:rPr>
        <w:t>吐氏酸</w:t>
      </w:r>
      <w:proofErr w:type="gramEnd"/>
      <w:r w:rsidRPr="009351F3">
        <w:rPr>
          <w:rFonts w:ascii="宋体" w:hAnsi="宋体" w:hint="eastAsia"/>
          <w:sz w:val="24"/>
        </w:rPr>
        <w:t>、4氯25等，能够产生独立的现金流。在本次发行股份收购响水</w:t>
      </w:r>
      <w:proofErr w:type="gramStart"/>
      <w:r w:rsidRPr="009351F3">
        <w:rPr>
          <w:rFonts w:ascii="宋体" w:hAnsi="宋体" w:hint="eastAsia"/>
          <w:sz w:val="24"/>
        </w:rPr>
        <w:t>恒</w:t>
      </w:r>
      <w:proofErr w:type="gramEnd"/>
      <w:r w:rsidRPr="009351F3">
        <w:rPr>
          <w:rFonts w:ascii="宋体" w:hAnsi="宋体" w:hint="eastAsia"/>
          <w:sz w:val="24"/>
        </w:rPr>
        <w:t>利达</w:t>
      </w:r>
      <w:r w:rsidRPr="007B379A">
        <w:rPr>
          <w:rFonts w:ascii="宋体" w:hAnsi="宋体" w:hint="eastAsia"/>
          <w:sz w:val="24"/>
        </w:rPr>
        <w:t>100%</w:t>
      </w:r>
      <w:r w:rsidRPr="00493E2C">
        <w:rPr>
          <w:rFonts w:ascii="宋体" w:hAnsi="宋体" w:hint="eastAsia"/>
          <w:sz w:val="24"/>
        </w:rPr>
        <w:t>股权之时，公司还将使用募集配套资金进行二期项目建设，为此将收购响水</w:t>
      </w:r>
      <w:proofErr w:type="gramStart"/>
      <w:r w:rsidRPr="00493E2C">
        <w:rPr>
          <w:rFonts w:ascii="宋体" w:hAnsi="宋体" w:hint="eastAsia"/>
          <w:sz w:val="24"/>
        </w:rPr>
        <w:t>恒</w:t>
      </w:r>
      <w:proofErr w:type="gramEnd"/>
      <w:r w:rsidRPr="00493E2C">
        <w:rPr>
          <w:rFonts w:ascii="宋体" w:hAnsi="宋体" w:hint="eastAsia"/>
          <w:sz w:val="24"/>
        </w:rPr>
        <w:t>利达的原始股权独立建账并独立经营而形成核算单位作为一期项目，后续使用募集配套资金进一步投资所</w:t>
      </w:r>
      <w:r w:rsidRPr="00493E2C">
        <w:rPr>
          <w:rFonts w:ascii="宋体" w:hAnsi="宋体" w:hint="eastAsia"/>
          <w:sz w:val="24"/>
        </w:rPr>
        <w:lastRenderedPageBreak/>
        <w:t>形成的资产及业务都作为二期项目核算以示区分。募集配套资金投资项目即二期项目不在本次收购所签署业绩承诺及补偿协议约定范围，故公司将一期项目资产组作为与商誉相关的资产组，对其产生的现金流进行独立估值。</w:t>
      </w:r>
    </w:p>
    <w:p w:rsidR="005824D9" w:rsidRPr="00493E2C" w:rsidRDefault="005824D9" w:rsidP="008C71F5">
      <w:pPr>
        <w:spacing w:line="360" w:lineRule="auto"/>
        <w:ind w:firstLineChars="200" w:firstLine="480"/>
        <w:rPr>
          <w:rFonts w:ascii="宋体" w:hAnsi="宋体"/>
          <w:sz w:val="24"/>
        </w:rPr>
      </w:pPr>
      <w:r w:rsidRPr="00493E2C">
        <w:rPr>
          <w:rFonts w:ascii="宋体" w:hAnsi="宋体" w:hint="eastAsia"/>
          <w:sz w:val="24"/>
        </w:rPr>
        <w:t>（3）商誉减值测试具体步骤和详细计算过程，具体指标选取情况、选取依据及合理性</w:t>
      </w:r>
      <w:r w:rsidR="00BE312B">
        <w:rPr>
          <w:rFonts w:ascii="宋体" w:hAnsi="宋体" w:hint="eastAsia"/>
          <w:sz w:val="24"/>
        </w:rPr>
        <w:t>。</w:t>
      </w:r>
    </w:p>
    <w:p w:rsidR="005824D9" w:rsidRPr="00493E2C" w:rsidRDefault="005824D9" w:rsidP="005824D9">
      <w:pPr>
        <w:spacing w:line="360" w:lineRule="auto"/>
        <w:ind w:firstLineChars="200" w:firstLine="480"/>
        <w:rPr>
          <w:rFonts w:ascii="宋体" w:hAnsi="宋体"/>
          <w:sz w:val="24"/>
        </w:rPr>
      </w:pPr>
      <w:r w:rsidRPr="00493E2C">
        <w:rPr>
          <w:rFonts w:ascii="宋体" w:hAnsi="宋体" w:hint="eastAsia"/>
          <w:sz w:val="24"/>
        </w:rPr>
        <w:t>1）2016年减值测试情况：经</w:t>
      </w:r>
      <w:proofErr w:type="gramStart"/>
      <w:r w:rsidRPr="00493E2C">
        <w:rPr>
          <w:rFonts w:ascii="宋体" w:hAnsi="宋体" w:hint="eastAsia"/>
          <w:sz w:val="24"/>
        </w:rPr>
        <w:t>中通诚资产</w:t>
      </w:r>
      <w:proofErr w:type="gramEnd"/>
      <w:r w:rsidRPr="00493E2C">
        <w:rPr>
          <w:rFonts w:ascii="宋体" w:hAnsi="宋体" w:hint="eastAsia"/>
          <w:sz w:val="24"/>
        </w:rPr>
        <w:t>评估有限公司评估并出具的《江苏吴中实业股份有限公司商誉减值测试项目所涉及响水恒利达科技化工有限公司一期项目（资产组）价值估值咨询报告》(〔2017〕14号)，响水</w:t>
      </w:r>
      <w:proofErr w:type="gramStart"/>
      <w:r w:rsidRPr="00493E2C">
        <w:rPr>
          <w:rFonts w:ascii="宋体" w:hAnsi="宋体" w:hint="eastAsia"/>
          <w:sz w:val="24"/>
        </w:rPr>
        <w:t>恒</w:t>
      </w:r>
      <w:proofErr w:type="gramEnd"/>
      <w:r w:rsidRPr="00493E2C">
        <w:rPr>
          <w:rFonts w:ascii="宋体" w:hAnsi="宋体" w:hint="eastAsia"/>
          <w:sz w:val="24"/>
        </w:rPr>
        <w:t>利达科技化工有限公司的可收回金额为67,527.81万元，该金额按照预计未来现金流量的现值计算，预计现金流量根据公司批准的五年期现金流量预测为基础，超过五年财务预算之后年份的现金流量均保持稳定。现金流量使用的折现率为14.09%。</w:t>
      </w:r>
    </w:p>
    <w:p w:rsidR="005824D9" w:rsidRPr="00493E2C" w:rsidRDefault="005824D9" w:rsidP="005824D9">
      <w:pPr>
        <w:spacing w:line="360" w:lineRule="auto"/>
        <w:ind w:firstLineChars="200" w:firstLine="480"/>
        <w:rPr>
          <w:rFonts w:ascii="宋体" w:hAnsi="宋体"/>
          <w:sz w:val="24"/>
        </w:rPr>
      </w:pPr>
      <w:r w:rsidRPr="00493E2C">
        <w:rPr>
          <w:rFonts w:ascii="宋体" w:hAnsi="宋体" w:hint="eastAsia"/>
          <w:sz w:val="24"/>
        </w:rPr>
        <w:t>减值测试中采用的其他关键数据包括：管理层所采用的加权平均增长率不超过本公司所在行业产品的长期平均增长率。管理层根据历史经验及对市场发展的预测确定预算毛利率，并采用能够反映相关资产组和资产组组合的特定风险的税前利率为折现率。上述假设用以分析该资产组组合的可收回金额。</w:t>
      </w:r>
    </w:p>
    <w:p w:rsidR="005824D9" w:rsidRPr="00493E2C" w:rsidRDefault="005824D9" w:rsidP="005824D9">
      <w:pPr>
        <w:spacing w:line="360" w:lineRule="auto"/>
        <w:ind w:firstLineChars="200" w:firstLine="480"/>
        <w:rPr>
          <w:rFonts w:ascii="宋体" w:hAnsi="宋体"/>
          <w:sz w:val="24"/>
        </w:rPr>
      </w:pPr>
      <w:r w:rsidRPr="00493E2C">
        <w:rPr>
          <w:rFonts w:ascii="宋体" w:hAnsi="宋体" w:hint="eastAsia"/>
          <w:sz w:val="24"/>
        </w:rPr>
        <w:t>本期响水</w:t>
      </w:r>
      <w:proofErr w:type="gramStart"/>
      <w:r w:rsidRPr="00493E2C">
        <w:rPr>
          <w:rFonts w:ascii="宋体" w:hAnsi="宋体" w:hint="eastAsia"/>
          <w:sz w:val="24"/>
        </w:rPr>
        <w:t>恒</w:t>
      </w:r>
      <w:proofErr w:type="gramEnd"/>
      <w:r w:rsidRPr="00493E2C">
        <w:rPr>
          <w:rFonts w:ascii="宋体" w:hAnsi="宋体" w:hint="eastAsia"/>
          <w:sz w:val="24"/>
        </w:rPr>
        <w:t>利达科技化工有限公司一期账面价值为57,809.08万元（包括所分摊的商誉价值部分），小于经评估的可收回金额67,527.81万元，商誉未出现减值损失。</w:t>
      </w:r>
    </w:p>
    <w:p w:rsidR="005824D9" w:rsidRPr="00493E2C" w:rsidRDefault="005824D9" w:rsidP="005824D9">
      <w:pPr>
        <w:spacing w:line="360" w:lineRule="auto"/>
        <w:ind w:firstLineChars="200" w:firstLine="480"/>
        <w:rPr>
          <w:rFonts w:ascii="宋体" w:hAnsi="宋体"/>
          <w:sz w:val="24"/>
        </w:rPr>
      </w:pPr>
      <w:r w:rsidRPr="00493E2C">
        <w:rPr>
          <w:rFonts w:ascii="宋体" w:hAnsi="宋体" w:hint="eastAsia"/>
          <w:sz w:val="24"/>
        </w:rPr>
        <w:t>2）2017年减值测试情况：经</w:t>
      </w:r>
      <w:proofErr w:type="gramStart"/>
      <w:r w:rsidRPr="00493E2C">
        <w:rPr>
          <w:rFonts w:ascii="宋体" w:hAnsi="宋体" w:hint="eastAsia"/>
          <w:sz w:val="24"/>
        </w:rPr>
        <w:t>中通诚资产</w:t>
      </w:r>
      <w:proofErr w:type="gramEnd"/>
      <w:r w:rsidRPr="00493E2C">
        <w:rPr>
          <w:rFonts w:ascii="宋体" w:hAnsi="宋体" w:hint="eastAsia"/>
          <w:sz w:val="24"/>
        </w:rPr>
        <w:t>评估有限公司评估并出具的《江苏吴中实业股份有限公司商誉减值测试项目所涉及响水恒利达科技化工有限公司一期项目（资产组）价值估值咨询报告》(中通评报字〔2018〕23012号)，响水</w:t>
      </w:r>
      <w:proofErr w:type="gramStart"/>
      <w:r w:rsidRPr="00493E2C">
        <w:rPr>
          <w:rFonts w:ascii="宋体" w:hAnsi="宋体" w:hint="eastAsia"/>
          <w:sz w:val="24"/>
        </w:rPr>
        <w:t>恒</w:t>
      </w:r>
      <w:proofErr w:type="gramEnd"/>
      <w:r w:rsidRPr="00493E2C">
        <w:rPr>
          <w:rFonts w:ascii="宋体" w:hAnsi="宋体" w:hint="eastAsia"/>
          <w:sz w:val="24"/>
        </w:rPr>
        <w:t>利达科技化工有限公司的可收回金额为69,093.81万元，该金额按照预计未来现金流量的现值计算，预计现金流量根据公司批准的五年期现金流量预测为基础，超过五年财务预算之后年份的现金流量均保持稳定。现金流量使用的折现率为12.65%。</w:t>
      </w:r>
    </w:p>
    <w:p w:rsidR="005824D9" w:rsidRPr="00493E2C" w:rsidRDefault="005824D9" w:rsidP="005824D9">
      <w:pPr>
        <w:spacing w:line="360" w:lineRule="auto"/>
        <w:ind w:firstLineChars="200" w:firstLine="480"/>
        <w:rPr>
          <w:rFonts w:ascii="宋体" w:hAnsi="宋体"/>
          <w:sz w:val="24"/>
        </w:rPr>
      </w:pPr>
      <w:r w:rsidRPr="00493E2C">
        <w:rPr>
          <w:rFonts w:ascii="宋体" w:hAnsi="宋体" w:hint="eastAsia"/>
          <w:sz w:val="24"/>
        </w:rPr>
        <w:t>减值测试中采用的其他关键数据包括：管理层所采用的加权平均增长率不超过本公司所在行业产品的长期平均增长率。管理层根据历史经验及对市场发展的预测确定预算毛利率，并采用能够反映相关资产组和资产组组合的特定风险的税前利率为折现率。上述假设用以分析该资产组组合的可收回金额。</w:t>
      </w:r>
    </w:p>
    <w:p w:rsidR="005824D9" w:rsidRPr="00493E2C" w:rsidRDefault="005824D9" w:rsidP="005824D9">
      <w:pPr>
        <w:spacing w:line="360" w:lineRule="auto"/>
        <w:ind w:firstLineChars="200" w:firstLine="480"/>
        <w:rPr>
          <w:rFonts w:ascii="宋体" w:hAnsi="宋体"/>
          <w:sz w:val="24"/>
        </w:rPr>
      </w:pPr>
      <w:r w:rsidRPr="00493E2C">
        <w:rPr>
          <w:rFonts w:ascii="宋体" w:hAnsi="宋体" w:hint="eastAsia"/>
          <w:sz w:val="24"/>
        </w:rPr>
        <w:lastRenderedPageBreak/>
        <w:t>本期响水</w:t>
      </w:r>
      <w:proofErr w:type="gramStart"/>
      <w:r w:rsidRPr="00493E2C">
        <w:rPr>
          <w:rFonts w:ascii="宋体" w:hAnsi="宋体" w:hint="eastAsia"/>
          <w:sz w:val="24"/>
        </w:rPr>
        <w:t>恒</w:t>
      </w:r>
      <w:proofErr w:type="gramEnd"/>
      <w:r w:rsidRPr="00493E2C">
        <w:rPr>
          <w:rFonts w:ascii="宋体" w:hAnsi="宋体" w:hint="eastAsia"/>
          <w:sz w:val="24"/>
        </w:rPr>
        <w:t>利达科技化工有限公司一期账面价值为66,349.69万元（包括所分摊的商誉价值部分），低于经评估的可收回金额69,093.81万元，商誉未出现减值损失。</w:t>
      </w:r>
    </w:p>
    <w:p w:rsidR="005824D9" w:rsidRPr="00493E2C" w:rsidRDefault="005824D9" w:rsidP="005824D9">
      <w:pPr>
        <w:spacing w:line="360" w:lineRule="auto"/>
        <w:ind w:firstLineChars="200" w:firstLine="480"/>
        <w:rPr>
          <w:rFonts w:ascii="宋体" w:hAnsi="宋体"/>
          <w:sz w:val="24"/>
        </w:rPr>
      </w:pPr>
      <w:r w:rsidRPr="00493E2C">
        <w:rPr>
          <w:rFonts w:ascii="宋体" w:hAnsi="宋体" w:hint="eastAsia"/>
          <w:sz w:val="24"/>
        </w:rPr>
        <w:t>3）2018年减值测试情况：经万隆（上海）资产评估有限公司评估并出具的《江苏吴中实业股份有限公司以财务报告为目的商誉减值测试涉及的合并响水恒利达科技化工有限公司一期项目股东权益后商誉所在的资产组可回收价值资产评估报告》(万隆评报字（2019）第10128号)，响水</w:t>
      </w:r>
      <w:proofErr w:type="gramStart"/>
      <w:r w:rsidRPr="00493E2C">
        <w:rPr>
          <w:rFonts w:ascii="宋体" w:hAnsi="宋体" w:hint="eastAsia"/>
          <w:sz w:val="24"/>
        </w:rPr>
        <w:t>恒</w:t>
      </w:r>
      <w:proofErr w:type="gramEnd"/>
      <w:r w:rsidRPr="00493E2C">
        <w:rPr>
          <w:rFonts w:ascii="宋体" w:hAnsi="宋体" w:hint="eastAsia"/>
          <w:sz w:val="24"/>
        </w:rPr>
        <w:t>利达科技化工有限公司的可收回金额为30,960.04万元，该金额按照公允价值（公允价值采用成本法、市场法）减去处置费用的方式测算。</w:t>
      </w:r>
    </w:p>
    <w:p w:rsidR="00560A45" w:rsidRDefault="005824D9" w:rsidP="005824D9">
      <w:pPr>
        <w:spacing w:line="360" w:lineRule="auto"/>
        <w:ind w:firstLineChars="200" w:firstLine="480"/>
        <w:rPr>
          <w:rFonts w:ascii="宋体" w:hAnsi="宋体"/>
          <w:sz w:val="24"/>
        </w:rPr>
      </w:pPr>
      <w:r w:rsidRPr="00493E2C">
        <w:rPr>
          <w:rFonts w:ascii="宋体" w:hAnsi="宋体" w:hint="eastAsia"/>
          <w:sz w:val="24"/>
        </w:rPr>
        <w:t>由于</w:t>
      </w:r>
      <w:r w:rsidR="00B8267E" w:rsidRPr="00B8267E">
        <w:rPr>
          <w:rFonts w:ascii="宋体" w:hAnsi="宋体" w:hint="eastAsia"/>
          <w:sz w:val="24"/>
        </w:rPr>
        <w:t>响水</w:t>
      </w:r>
      <w:proofErr w:type="gramStart"/>
      <w:r w:rsidR="00B8267E" w:rsidRPr="00B8267E">
        <w:rPr>
          <w:rFonts w:ascii="宋体" w:hAnsi="宋体" w:hint="eastAsia"/>
          <w:sz w:val="24"/>
        </w:rPr>
        <w:t>恒</w:t>
      </w:r>
      <w:proofErr w:type="gramEnd"/>
      <w:r w:rsidR="00B8267E" w:rsidRPr="00B8267E">
        <w:rPr>
          <w:rFonts w:ascii="宋体" w:hAnsi="宋体" w:hint="eastAsia"/>
          <w:sz w:val="24"/>
        </w:rPr>
        <w:t>利达所在化工</w:t>
      </w:r>
      <w:proofErr w:type="gramStart"/>
      <w:r w:rsidR="00B8267E" w:rsidRPr="00B8267E">
        <w:rPr>
          <w:rFonts w:ascii="宋体" w:hAnsi="宋体" w:hint="eastAsia"/>
          <w:sz w:val="24"/>
        </w:rPr>
        <w:t>园区</w:t>
      </w:r>
      <w:r w:rsidR="00B8267E">
        <w:rPr>
          <w:rFonts w:ascii="宋体" w:hAnsi="宋体" w:hint="eastAsia"/>
          <w:sz w:val="24"/>
        </w:rPr>
        <w:t>某</w:t>
      </w:r>
      <w:proofErr w:type="gramEnd"/>
      <w:r w:rsidR="00B8267E">
        <w:rPr>
          <w:rFonts w:ascii="宋体" w:hAnsi="宋体" w:hint="eastAsia"/>
          <w:sz w:val="24"/>
        </w:rPr>
        <w:t>化工企业</w:t>
      </w:r>
      <w:r w:rsidR="00B8267E" w:rsidRPr="00493E2C">
        <w:rPr>
          <w:rFonts w:ascii="宋体" w:hAnsi="宋体" w:hint="eastAsia"/>
          <w:sz w:val="24"/>
        </w:rPr>
        <w:t>于2019年3月21日</w:t>
      </w:r>
      <w:r w:rsidR="00B8267E" w:rsidRPr="00B8267E">
        <w:rPr>
          <w:rFonts w:ascii="宋体" w:hAnsi="宋体" w:hint="eastAsia"/>
          <w:sz w:val="24"/>
        </w:rPr>
        <w:t>发生爆炸事故</w:t>
      </w:r>
      <w:r w:rsidRPr="00493E2C">
        <w:rPr>
          <w:rFonts w:ascii="宋体" w:hAnsi="宋体" w:hint="eastAsia"/>
          <w:sz w:val="24"/>
        </w:rPr>
        <w:t>，企业受到一定损伤并且停工停产至今</w:t>
      </w:r>
      <w:r w:rsidR="00B8267E">
        <w:rPr>
          <w:rFonts w:ascii="宋体" w:hAnsi="宋体" w:hint="eastAsia"/>
          <w:sz w:val="24"/>
        </w:rPr>
        <w:t>。</w:t>
      </w:r>
      <w:r w:rsidR="00B8267E" w:rsidRPr="00493E2C" w:rsidDel="00B8267E">
        <w:rPr>
          <w:rFonts w:ascii="宋体" w:hAnsi="宋体" w:hint="eastAsia"/>
          <w:sz w:val="24"/>
        </w:rPr>
        <w:t xml:space="preserve"> </w:t>
      </w:r>
      <w:r w:rsidRPr="00493E2C">
        <w:rPr>
          <w:rFonts w:ascii="宋体" w:hAnsi="宋体" w:hint="eastAsia"/>
          <w:sz w:val="24"/>
        </w:rPr>
        <w:t>2019年4月5日由媒体</w:t>
      </w:r>
      <w:r w:rsidR="00415D93">
        <w:rPr>
          <w:rFonts w:ascii="宋体" w:hAnsi="宋体" w:hint="eastAsia"/>
          <w:sz w:val="24"/>
        </w:rPr>
        <w:t>发布消息</w:t>
      </w:r>
      <w:r w:rsidR="00B8267E">
        <w:rPr>
          <w:rFonts w:ascii="宋体" w:hAnsi="宋体" w:hint="eastAsia"/>
          <w:sz w:val="24"/>
        </w:rPr>
        <w:t>称</w:t>
      </w:r>
      <w:r w:rsidR="00415D93">
        <w:rPr>
          <w:rFonts w:ascii="宋体" w:hAnsi="宋体" w:hint="eastAsia"/>
          <w:sz w:val="24"/>
        </w:rPr>
        <w:t>盐城市</w:t>
      </w:r>
      <w:r w:rsidR="00B8267E">
        <w:rPr>
          <w:rFonts w:ascii="宋体" w:hAnsi="宋体" w:hint="eastAsia"/>
          <w:sz w:val="24"/>
        </w:rPr>
        <w:t>决定</w:t>
      </w:r>
      <w:r w:rsidR="00415D93">
        <w:rPr>
          <w:rFonts w:ascii="宋体" w:hAnsi="宋体" w:hint="eastAsia"/>
          <w:sz w:val="24"/>
        </w:rPr>
        <w:t>关闭该化工园区</w:t>
      </w:r>
      <w:r w:rsidR="00B8267E">
        <w:rPr>
          <w:rFonts w:ascii="宋体" w:hAnsi="宋体" w:hint="eastAsia"/>
          <w:sz w:val="24"/>
        </w:rPr>
        <w:t>，</w:t>
      </w:r>
      <w:r w:rsidRPr="00493E2C">
        <w:rPr>
          <w:rFonts w:ascii="宋体" w:hAnsi="宋体" w:hint="eastAsia"/>
          <w:sz w:val="24"/>
        </w:rPr>
        <w:t>公司也发布《江苏吴中实业股份有限公司关于全资子公司响水恒利达科技化工有限公司的风险提示性公告》确认媒体曝光园区面临关停的消息</w:t>
      </w:r>
      <w:r w:rsidR="00B8267E">
        <w:rPr>
          <w:rFonts w:ascii="宋体" w:hAnsi="宋体" w:hint="eastAsia"/>
          <w:sz w:val="24"/>
        </w:rPr>
        <w:t>。评估机构认为响水</w:t>
      </w:r>
      <w:proofErr w:type="gramStart"/>
      <w:r w:rsidR="00B8267E">
        <w:rPr>
          <w:rFonts w:ascii="宋体" w:hAnsi="宋体" w:hint="eastAsia"/>
          <w:sz w:val="24"/>
        </w:rPr>
        <w:t>恒</w:t>
      </w:r>
      <w:proofErr w:type="gramEnd"/>
      <w:r w:rsidR="00B8267E">
        <w:rPr>
          <w:rFonts w:ascii="宋体" w:hAnsi="宋体" w:hint="eastAsia"/>
          <w:sz w:val="24"/>
        </w:rPr>
        <w:t>利达</w:t>
      </w:r>
      <w:r w:rsidRPr="00493E2C">
        <w:rPr>
          <w:rFonts w:ascii="宋体" w:hAnsi="宋体" w:hint="eastAsia"/>
          <w:sz w:val="24"/>
        </w:rPr>
        <w:t>继续生产的难度非常大，谨慎看待</w:t>
      </w:r>
      <w:r w:rsidR="00B8267E">
        <w:rPr>
          <w:rFonts w:ascii="宋体" w:hAnsi="宋体" w:hint="eastAsia"/>
          <w:sz w:val="24"/>
        </w:rPr>
        <w:t>其</w:t>
      </w:r>
      <w:r w:rsidRPr="00493E2C">
        <w:rPr>
          <w:rFonts w:ascii="宋体" w:hAnsi="宋体" w:hint="eastAsia"/>
          <w:sz w:val="24"/>
        </w:rPr>
        <w:t>可持续生产能力，在此假设下本次评估不采用现金流量折现法。考虑到本次评估价值类型是可回收价值，评估</w:t>
      </w:r>
      <w:r w:rsidR="00B8267E">
        <w:rPr>
          <w:rFonts w:ascii="宋体" w:hAnsi="宋体" w:hint="eastAsia"/>
          <w:sz w:val="24"/>
        </w:rPr>
        <w:t>机构</w:t>
      </w:r>
      <w:r w:rsidRPr="00493E2C">
        <w:rPr>
          <w:rFonts w:ascii="宋体" w:hAnsi="宋体" w:hint="eastAsia"/>
          <w:sz w:val="24"/>
        </w:rPr>
        <w:t>采用公允价值减去处置费用（公允价值采用成本法、市场法）的方式，测算资产组的可回收价值。</w:t>
      </w:r>
    </w:p>
    <w:p w:rsidR="005824D9" w:rsidRDefault="005824D9" w:rsidP="005824D9">
      <w:pPr>
        <w:spacing w:line="360" w:lineRule="auto"/>
        <w:ind w:firstLineChars="200" w:firstLine="480"/>
        <w:rPr>
          <w:rFonts w:ascii="宋体" w:hAnsi="宋体"/>
          <w:sz w:val="24"/>
        </w:rPr>
      </w:pPr>
      <w:r w:rsidRPr="00493E2C">
        <w:rPr>
          <w:rFonts w:ascii="宋体" w:hAnsi="宋体" w:hint="eastAsia"/>
          <w:sz w:val="24"/>
        </w:rPr>
        <w:t>本期响水</w:t>
      </w:r>
      <w:proofErr w:type="gramStart"/>
      <w:r w:rsidRPr="00493E2C">
        <w:rPr>
          <w:rFonts w:ascii="宋体" w:hAnsi="宋体" w:hint="eastAsia"/>
          <w:sz w:val="24"/>
        </w:rPr>
        <w:t>恒</w:t>
      </w:r>
      <w:proofErr w:type="gramEnd"/>
      <w:r w:rsidRPr="00493E2C">
        <w:rPr>
          <w:rFonts w:ascii="宋体" w:hAnsi="宋体" w:hint="eastAsia"/>
          <w:sz w:val="24"/>
        </w:rPr>
        <w:t>利达科技化工有限公司一期账面价值为67,678.36万元（包括所分摊的商誉价值部分），</w:t>
      </w:r>
      <w:r>
        <w:rPr>
          <w:rFonts w:ascii="宋体" w:hAnsi="宋体" w:hint="eastAsia"/>
          <w:sz w:val="24"/>
        </w:rPr>
        <w:t>高</w:t>
      </w:r>
      <w:r w:rsidRPr="00BF4B3A">
        <w:rPr>
          <w:rFonts w:ascii="宋体" w:hAnsi="宋体" w:hint="eastAsia"/>
          <w:sz w:val="24"/>
        </w:rPr>
        <w:t>于经评估的可收回金额30,960.04</w:t>
      </w:r>
      <w:r w:rsidRPr="00597961">
        <w:rPr>
          <w:rFonts w:ascii="宋体" w:hAnsi="宋体" w:hint="eastAsia"/>
          <w:sz w:val="24"/>
        </w:rPr>
        <w:t>万元，按可收回价值小于资产组账面价值的差额计提商誉减值准备36,718.32</w:t>
      </w:r>
      <w:r w:rsidRPr="00493E2C">
        <w:rPr>
          <w:rFonts w:ascii="宋体" w:hAnsi="宋体" w:hint="eastAsia"/>
          <w:sz w:val="24"/>
        </w:rPr>
        <w:t>万</w:t>
      </w:r>
      <w:r w:rsidRPr="004D5CD1">
        <w:rPr>
          <w:rFonts w:ascii="宋体" w:hAnsi="宋体" w:hint="eastAsia"/>
          <w:sz w:val="24"/>
        </w:rPr>
        <w:t>元。</w:t>
      </w:r>
    </w:p>
    <w:p w:rsidR="005824D9" w:rsidRPr="004D5CD1" w:rsidRDefault="005824D9" w:rsidP="005824D9">
      <w:pPr>
        <w:spacing w:line="360" w:lineRule="auto"/>
        <w:ind w:firstLineChars="200" w:firstLine="480"/>
        <w:rPr>
          <w:rFonts w:ascii="宋体" w:hAnsi="宋体"/>
          <w:sz w:val="24"/>
        </w:rPr>
      </w:pPr>
      <w:r w:rsidRPr="00493E2C">
        <w:rPr>
          <w:rFonts w:ascii="宋体" w:hAnsi="宋体" w:hint="eastAsia"/>
          <w:sz w:val="24"/>
        </w:rPr>
        <w:t>2、说明公司往年未对响水</w:t>
      </w:r>
      <w:proofErr w:type="gramStart"/>
      <w:r w:rsidRPr="00493E2C">
        <w:rPr>
          <w:rFonts w:ascii="宋体" w:hAnsi="宋体" w:hint="eastAsia"/>
          <w:sz w:val="24"/>
        </w:rPr>
        <w:t>恒</w:t>
      </w:r>
      <w:proofErr w:type="gramEnd"/>
      <w:r w:rsidRPr="00493E2C">
        <w:rPr>
          <w:rFonts w:ascii="宋体" w:hAnsi="宋体" w:hint="eastAsia"/>
          <w:sz w:val="24"/>
        </w:rPr>
        <w:t>利</w:t>
      </w:r>
      <w:r w:rsidRPr="004D5CD1">
        <w:rPr>
          <w:rFonts w:ascii="宋体" w:hAnsi="宋体" w:hint="eastAsia"/>
          <w:sz w:val="24"/>
        </w:rPr>
        <w:t>达商誉计提减值准备的会计处理是否谨慎，是否存在前</w:t>
      </w:r>
      <w:r w:rsidRPr="00493E2C">
        <w:rPr>
          <w:rFonts w:ascii="宋体" w:hAnsi="宋体" w:hint="eastAsia"/>
          <w:sz w:val="24"/>
        </w:rPr>
        <w:t>期商誉减值计</w:t>
      </w:r>
      <w:r w:rsidRPr="004D5CD1">
        <w:rPr>
          <w:rFonts w:ascii="宋体" w:hAnsi="宋体" w:hint="eastAsia"/>
          <w:sz w:val="24"/>
        </w:rPr>
        <w:t>提不充分的情形，并提供相关数据和说明</w:t>
      </w:r>
      <w:r>
        <w:rPr>
          <w:rFonts w:ascii="宋体" w:hAnsi="宋体" w:hint="eastAsia"/>
          <w:sz w:val="24"/>
        </w:rPr>
        <w:t>？</w:t>
      </w:r>
    </w:p>
    <w:p w:rsidR="005824D9" w:rsidRPr="00BF4B3A" w:rsidRDefault="005824D9" w:rsidP="005824D9">
      <w:pPr>
        <w:spacing w:line="360" w:lineRule="auto"/>
        <w:ind w:firstLineChars="200" w:firstLine="480"/>
        <w:jc w:val="left"/>
        <w:rPr>
          <w:rFonts w:ascii="宋体" w:hAnsi="宋体"/>
          <w:sz w:val="24"/>
        </w:rPr>
      </w:pPr>
      <w:proofErr w:type="gramStart"/>
      <w:r w:rsidRPr="00597961">
        <w:rPr>
          <w:rFonts w:ascii="宋体" w:hAnsi="宋体" w:hint="eastAsia"/>
          <w:sz w:val="24"/>
        </w:rPr>
        <w:t>恒</w:t>
      </w:r>
      <w:proofErr w:type="gramEnd"/>
      <w:r w:rsidRPr="00597961">
        <w:rPr>
          <w:rFonts w:ascii="宋体" w:hAnsi="宋体" w:hint="eastAsia"/>
          <w:sz w:val="24"/>
        </w:rPr>
        <w:t>利达在行业内具有优势地位，在J酸、</w:t>
      </w:r>
      <w:proofErr w:type="gramStart"/>
      <w:r w:rsidRPr="00597961">
        <w:rPr>
          <w:rFonts w:ascii="宋体" w:hAnsi="宋体" w:hint="eastAsia"/>
          <w:sz w:val="24"/>
        </w:rPr>
        <w:t>吐氏酸</w:t>
      </w:r>
      <w:proofErr w:type="gramEnd"/>
      <w:r w:rsidRPr="00597961">
        <w:rPr>
          <w:rFonts w:ascii="宋体" w:hAnsi="宋体" w:hint="eastAsia"/>
          <w:sz w:val="24"/>
        </w:rPr>
        <w:t>等细分产品市场已建立较高的品牌知名度和市场影响力，与浙江龙盛、浙江闰土等多家知名染料、颜料企业建立了良好的业务合作关系，公司现已成为了</w:t>
      </w:r>
      <w:proofErr w:type="gramStart"/>
      <w:r w:rsidRPr="00597961">
        <w:rPr>
          <w:rFonts w:ascii="宋体" w:hAnsi="宋体" w:hint="eastAsia"/>
          <w:sz w:val="24"/>
        </w:rPr>
        <w:t>萘</w:t>
      </w:r>
      <w:proofErr w:type="gramEnd"/>
      <w:r w:rsidRPr="00597961">
        <w:rPr>
          <w:rFonts w:ascii="宋体" w:hAnsi="宋体" w:hint="eastAsia"/>
          <w:sz w:val="24"/>
        </w:rPr>
        <w:t>系染料中间体</w:t>
      </w:r>
      <w:r w:rsidRPr="00E47C0C">
        <w:rPr>
          <w:rFonts w:ascii="宋体" w:hAnsi="宋体" w:hint="eastAsia"/>
          <w:sz w:val="24"/>
        </w:rPr>
        <w:t>J酸（</w:t>
      </w:r>
      <w:r w:rsidRPr="00493E2C">
        <w:rPr>
          <w:rFonts w:ascii="宋体" w:hAnsi="宋体" w:hint="eastAsia"/>
          <w:sz w:val="24"/>
        </w:rPr>
        <w:t>2017年全球市场占有率超70%）、</w:t>
      </w:r>
      <w:proofErr w:type="gramStart"/>
      <w:r w:rsidRPr="004D5CD1">
        <w:rPr>
          <w:rFonts w:ascii="宋体" w:hAnsi="宋体" w:hint="eastAsia"/>
          <w:sz w:val="24"/>
        </w:rPr>
        <w:t>吐氏酸</w:t>
      </w:r>
      <w:proofErr w:type="gramEnd"/>
      <w:r w:rsidRPr="004D5CD1">
        <w:rPr>
          <w:rFonts w:ascii="宋体" w:hAnsi="宋体" w:hint="eastAsia"/>
          <w:sz w:val="24"/>
        </w:rPr>
        <w:t>的全国最大供应商，企业具备较强的产品应用推广能力，发展前景及盈利能力良好。故</w:t>
      </w:r>
      <w:r w:rsidRPr="005F4824">
        <w:rPr>
          <w:rFonts w:ascii="宋体" w:hAnsi="宋体" w:hint="eastAsia"/>
          <w:sz w:val="24"/>
        </w:rPr>
        <w:t>不存在因技术更替、产品质量低下无法满足市场需求而致盈利能力不足的问题</w:t>
      </w:r>
      <w:r w:rsidRPr="00BF4B3A">
        <w:rPr>
          <w:rFonts w:ascii="宋体" w:hAnsi="宋体" w:hint="eastAsia"/>
          <w:sz w:val="24"/>
        </w:rPr>
        <w:t>。</w:t>
      </w:r>
    </w:p>
    <w:p w:rsidR="00BA48EF" w:rsidRDefault="00BA48EF" w:rsidP="005824D9">
      <w:pPr>
        <w:spacing w:line="360" w:lineRule="auto"/>
        <w:ind w:firstLineChars="200" w:firstLine="480"/>
        <w:jc w:val="left"/>
        <w:rPr>
          <w:rFonts w:ascii="宋体" w:hAnsi="宋体"/>
          <w:sz w:val="24"/>
        </w:rPr>
      </w:pPr>
    </w:p>
    <w:p w:rsidR="005824D9" w:rsidRPr="00FC007F" w:rsidRDefault="005824D9" w:rsidP="005824D9">
      <w:pPr>
        <w:spacing w:line="360" w:lineRule="auto"/>
        <w:ind w:firstLineChars="200" w:firstLine="480"/>
        <w:jc w:val="left"/>
        <w:rPr>
          <w:rFonts w:ascii="宋体" w:hAnsi="宋体"/>
          <w:sz w:val="24"/>
        </w:rPr>
      </w:pPr>
      <w:r w:rsidRPr="00597961">
        <w:rPr>
          <w:rFonts w:ascii="宋体" w:hAnsi="宋体" w:hint="eastAsia"/>
          <w:sz w:val="24"/>
        </w:rPr>
        <w:lastRenderedPageBreak/>
        <w:t>2016-2017年度业绩承诺实现情况如下：</w:t>
      </w:r>
      <w:r w:rsidRPr="00E47C0C">
        <w:rPr>
          <w:rFonts w:ascii="宋体" w:hAnsi="宋体" w:hint="eastAsia"/>
          <w:sz w:val="24"/>
        </w:rPr>
        <w:t xml:space="preserve">                    单位：元</w:t>
      </w:r>
    </w:p>
    <w:tbl>
      <w:tblPr>
        <w:tblW w:w="9356" w:type="dxa"/>
        <w:tblInd w:w="-459" w:type="dxa"/>
        <w:tblBorders>
          <w:top w:val="single" w:sz="12" w:space="0" w:color="auto"/>
          <w:bottom w:val="single" w:sz="12" w:space="0" w:color="auto"/>
          <w:insideH w:val="dotted" w:sz="4" w:space="0" w:color="auto"/>
          <w:insideV w:val="dotted" w:sz="4" w:space="0" w:color="auto"/>
        </w:tblBorders>
        <w:tblLook w:val="0000" w:firstRow="0" w:lastRow="0" w:firstColumn="0" w:lastColumn="0" w:noHBand="0" w:noVBand="0"/>
      </w:tblPr>
      <w:tblGrid>
        <w:gridCol w:w="1843"/>
        <w:gridCol w:w="1516"/>
        <w:gridCol w:w="1616"/>
        <w:gridCol w:w="1723"/>
        <w:gridCol w:w="1652"/>
        <w:gridCol w:w="1006"/>
      </w:tblGrid>
      <w:tr w:rsidR="005824D9" w:rsidRPr="00493E2C" w:rsidTr="0085252D">
        <w:trPr>
          <w:trHeight w:val="330"/>
        </w:trPr>
        <w:tc>
          <w:tcPr>
            <w:tcW w:w="1843" w:type="dxa"/>
            <w:tcBorders>
              <w:top w:val="single" w:sz="12" w:space="0" w:color="auto"/>
            </w:tcBorders>
            <w:noWrap/>
            <w:vAlign w:val="center"/>
          </w:tcPr>
          <w:p w:rsidR="005824D9" w:rsidRPr="00426630" w:rsidRDefault="005824D9" w:rsidP="0085252D">
            <w:pPr>
              <w:widowControl/>
              <w:spacing w:line="400" w:lineRule="exact"/>
              <w:jc w:val="center"/>
              <w:rPr>
                <w:rFonts w:ascii="Arial" w:hAnsi="宋体" w:cs="Arial"/>
                <w:kern w:val="0"/>
                <w:sz w:val="20"/>
                <w:szCs w:val="20"/>
              </w:rPr>
            </w:pPr>
            <w:r w:rsidRPr="00426630">
              <w:rPr>
                <w:rFonts w:ascii="Arial" w:hAnsi="宋体" w:cs="Arial" w:hint="eastAsia"/>
                <w:kern w:val="0"/>
                <w:sz w:val="20"/>
                <w:szCs w:val="20"/>
              </w:rPr>
              <w:t>年度</w:t>
            </w:r>
          </w:p>
        </w:tc>
        <w:tc>
          <w:tcPr>
            <w:tcW w:w="1512" w:type="dxa"/>
            <w:tcBorders>
              <w:top w:val="single" w:sz="12" w:space="0" w:color="auto"/>
            </w:tcBorders>
            <w:noWrap/>
            <w:vAlign w:val="center"/>
          </w:tcPr>
          <w:p w:rsidR="005824D9" w:rsidRPr="00433C93" w:rsidRDefault="005824D9" w:rsidP="0085252D">
            <w:pPr>
              <w:widowControl/>
              <w:spacing w:line="400" w:lineRule="exact"/>
              <w:jc w:val="center"/>
              <w:rPr>
                <w:rFonts w:ascii="Arial" w:hAnsi="Arial" w:cs="Arial"/>
                <w:kern w:val="0"/>
                <w:sz w:val="20"/>
                <w:szCs w:val="20"/>
              </w:rPr>
            </w:pPr>
            <w:r w:rsidRPr="00433C93">
              <w:rPr>
                <w:rFonts w:ascii="Arial" w:hAnsi="Arial" w:cs="Arial" w:hint="eastAsia"/>
                <w:kern w:val="0"/>
                <w:sz w:val="20"/>
                <w:szCs w:val="20"/>
              </w:rPr>
              <w:t>业绩承诺数</w:t>
            </w:r>
          </w:p>
        </w:tc>
        <w:tc>
          <w:tcPr>
            <w:tcW w:w="1607" w:type="dxa"/>
            <w:tcBorders>
              <w:top w:val="single" w:sz="12" w:space="0" w:color="auto"/>
            </w:tcBorders>
            <w:vAlign w:val="center"/>
          </w:tcPr>
          <w:p w:rsidR="005824D9" w:rsidRPr="00134A43" w:rsidRDefault="005824D9" w:rsidP="0085252D">
            <w:pPr>
              <w:widowControl/>
              <w:spacing w:line="400" w:lineRule="exact"/>
              <w:jc w:val="center"/>
              <w:rPr>
                <w:rFonts w:ascii="Arial" w:hAnsi="宋体" w:cs="Arial"/>
                <w:kern w:val="0"/>
                <w:sz w:val="20"/>
                <w:szCs w:val="20"/>
              </w:rPr>
            </w:pPr>
            <w:r w:rsidRPr="00E25603">
              <w:rPr>
                <w:rFonts w:ascii="Arial" w:hAnsi="Arial" w:cs="Arial" w:hint="eastAsia"/>
                <w:kern w:val="0"/>
                <w:sz w:val="20"/>
                <w:szCs w:val="20"/>
              </w:rPr>
              <w:t>至年末累计业绩承诺数</w:t>
            </w:r>
          </w:p>
        </w:tc>
        <w:tc>
          <w:tcPr>
            <w:tcW w:w="1736" w:type="dxa"/>
            <w:tcBorders>
              <w:top w:val="single" w:sz="12" w:space="0" w:color="auto"/>
            </w:tcBorders>
            <w:vAlign w:val="center"/>
          </w:tcPr>
          <w:p w:rsidR="005824D9" w:rsidRPr="009351F3" w:rsidRDefault="005824D9" w:rsidP="0085252D">
            <w:pPr>
              <w:widowControl/>
              <w:spacing w:line="400" w:lineRule="exact"/>
              <w:jc w:val="center"/>
              <w:rPr>
                <w:rFonts w:ascii="Arial" w:hAnsi="宋体" w:cs="Arial"/>
                <w:kern w:val="0"/>
                <w:sz w:val="20"/>
                <w:szCs w:val="20"/>
              </w:rPr>
            </w:pPr>
            <w:r w:rsidRPr="009351F3">
              <w:rPr>
                <w:rFonts w:ascii="Arial" w:hAnsi="宋体" w:cs="Arial" w:hint="eastAsia"/>
                <w:kern w:val="0"/>
                <w:sz w:val="20"/>
                <w:szCs w:val="20"/>
              </w:rPr>
              <w:t>本期实际利润数</w:t>
            </w:r>
          </w:p>
          <w:p w:rsidR="005824D9" w:rsidRPr="009351F3" w:rsidRDefault="005824D9" w:rsidP="0085252D">
            <w:pPr>
              <w:widowControl/>
              <w:spacing w:line="400" w:lineRule="exact"/>
              <w:jc w:val="center"/>
              <w:rPr>
                <w:rFonts w:ascii="Arial" w:hAnsi="Arial" w:cs="Arial"/>
                <w:kern w:val="0"/>
                <w:sz w:val="20"/>
                <w:szCs w:val="20"/>
              </w:rPr>
            </w:pPr>
          </w:p>
        </w:tc>
        <w:tc>
          <w:tcPr>
            <w:tcW w:w="1652" w:type="dxa"/>
            <w:tcBorders>
              <w:top w:val="single" w:sz="12" w:space="0" w:color="auto"/>
            </w:tcBorders>
            <w:noWrap/>
            <w:vAlign w:val="center"/>
          </w:tcPr>
          <w:p w:rsidR="005824D9" w:rsidRPr="00493E2C" w:rsidRDefault="005824D9" w:rsidP="0085252D">
            <w:pPr>
              <w:widowControl/>
              <w:spacing w:line="400" w:lineRule="exact"/>
              <w:jc w:val="center"/>
              <w:rPr>
                <w:rFonts w:ascii="Arial" w:hAnsi="Arial" w:cs="Arial"/>
                <w:kern w:val="0"/>
                <w:sz w:val="20"/>
                <w:szCs w:val="20"/>
              </w:rPr>
            </w:pPr>
            <w:r w:rsidRPr="007B379A">
              <w:rPr>
                <w:rFonts w:ascii="Arial" w:hAnsi="Arial" w:cs="Arial" w:hint="eastAsia"/>
                <w:kern w:val="0"/>
                <w:sz w:val="20"/>
                <w:szCs w:val="20"/>
              </w:rPr>
              <w:t>至年末累计利润数</w:t>
            </w:r>
          </w:p>
        </w:tc>
        <w:tc>
          <w:tcPr>
            <w:tcW w:w="1006" w:type="dxa"/>
            <w:tcBorders>
              <w:top w:val="single" w:sz="12" w:space="0" w:color="auto"/>
            </w:tcBorders>
            <w:noWrap/>
            <w:vAlign w:val="center"/>
          </w:tcPr>
          <w:p w:rsidR="005824D9" w:rsidRPr="00493E2C" w:rsidRDefault="005824D9" w:rsidP="0085252D">
            <w:pPr>
              <w:widowControl/>
              <w:spacing w:line="400" w:lineRule="exact"/>
              <w:jc w:val="center"/>
              <w:rPr>
                <w:rFonts w:ascii="Arial" w:hAnsi="Arial" w:cs="Arial"/>
                <w:kern w:val="0"/>
                <w:sz w:val="20"/>
                <w:szCs w:val="20"/>
              </w:rPr>
            </w:pPr>
            <w:r w:rsidRPr="00493E2C">
              <w:rPr>
                <w:rFonts w:ascii="Arial" w:hAnsi="Arial" w:cs="Arial" w:hint="eastAsia"/>
                <w:kern w:val="0"/>
                <w:sz w:val="20"/>
                <w:szCs w:val="20"/>
              </w:rPr>
              <w:t>完成率</w:t>
            </w:r>
          </w:p>
        </w:tc>
      </w:tr>
      <w:tr w:rsidR="005824D9" w:rsidRPr="00493E2C" w:rsidTr="00544E57">
        <w:trPr>
          <w:trHeight w:val="330"/>
        </w:trPr>
        <w:tc>
          <w:tcPr>
            <w:tcW w:w="1843" w:type="dxa"/>
            <w:noWrap/>
          </w:tcPr>
          <w:p w:rsidR="005824D9" w:rsidRPr="000F5B59" w:rsidRDefault="005824D9" w:rsidP="00544E57">
            <w:pPr>
              <w:widowControl/>
              <w:spacing w:line="400" w:lineRule="exact"/>
              <w:jc w:val="center"/>
              <w:rPr>
                <w:rFonts w:ascii="宋体" w:hAnsi="宋体" w:cs="Arial"/>
                <w:kern w:val="0"/>
                <w:sz w:val="20"/>
                <w:szCs w:val="20"/>
              </w:rPr>
            </w:pPr>
            <w:r w:rsidRPr="000F5B59">
              <w:rPr>
                <w:rFonts w:ascii="宋体" w:hAnsi="宋体" w:cs="Arial"/>
                <w:kern w:val="0"/>
                <w:sz w:val="20"/>
                <w:szCs w:val="20"/>
              </w:rPr>
              <w:t>2016</w:t>
            </w:r>
            <w:r w:rsidRPr="000F5B59">
              <w:rPr>
                <w:rFonts w:ascii="宋体" w:hAnsi="宋体" w:cs="Arial" w:hint="eastAsia"/>
                <w:kern w:val="0"/>
                <w:sz w:val="20"/>
                <w:szCs w:val="20"/>
              </w:rPr>
              <w:t>年度</w:t>
            </w:r>
          </w:p>
        </w:tc>
        <w:tc>
          <w:tcPr>
            <w:tcW w:w="1512" w:type="dxa"/>
            <w:noWrap/>
            <w:vAlign w:val="center"/>
          </w:tcPr>
          <w:p w:rsidR="005824D9" w:rsidRPr="000F5B59" w:rsidRDefault="005824D9" w:rsidP="00544E57">
            <w:pPr>
              <w:widowControl/>
              <w:spacing w:line="400" w:lineRule="exact"/>
              <w:jc w:val="right"/>
              <w:rPr>
                <w:rFonts w:ascii="宋体" w:hAnsi="宋体" w:cs="Arial"/>
                <w:kern w:val="0"/>
                <w:sz w:val="20"/>
                <w:szCs w:val="20"/>
              </w:rPr>
            </w:pPr>
            <w:r w:rsidRPr="000F5B59">
              <w:rPr>
                <w:rFonts w:ascii="宋体" w:hAnsi="宋体" w:cs="Arial"/>
                <w:kern w:val="0"/>
                <w:sz w:val="20"/>
                <w:szCs w:val="20"/>
              </w:rPr>
              <w:t>78,000,000.00</w:t>
            </w:r>
          </w:p>
        </w:tc>
        <w:tc>
          <w:tcPr>
            <w:tcW w:w="1607" w:type="dxa"/>
            <w:vAlign w:val="center"/>
          </w:tcPr>
          <w:p w:rsidR="005824D9" w:rsidRPr="000F5B59" w:rsidRDefault="005824D9" w:rsidP="00544E57">
            <w:pPr>
              <w:widowControl/>
              <w:spacing w:line="400" w:lineRule="exact"/>
              <w:jc w:val="right"/>
              <w:rPr>
                <w:rFonts w:ascii="宋体" w:hAnsi="宋体" w:cs="Arial"/>
                <w:kern w:val="0"/>
                <w:sz w:val="20"/>
                <w:szCs w:val="20"/>
              </w:rPr>
            </w:pPr>
            <w:r w:rsidRPr="000F5B59">
              <w:rPr>
                <w:rFonts w:ascii="宋体" w:hAnsi="宋体" w:cs="Arial"/>
                <w:kern w:val="0"/>
                <w:sz w:val="20"/>
                <w:szCs w:val="20"/>
              </w:rPr>
              <w:t>78,000,000.00</w:t>
            </w:r>
          </w:p>
        </w:tc>
        <w:tc>
          <w:tcPr>
            <w:tcW w:w="1736" w:type="dxa"/>
            <w:vAlign w:val="center"/>
          </w:tcPr>
          <w:p w:rsidR="005824D9" w:rsidRPr="000F5B59" w:rsidRDefault="005824D9" w:rsidP="00544E57">
            <w:pPr>
              <w:widowControl/>
              <w:spacing w:line="400" w:lineRule="exact"/>
              <w:jc w:val="right"/>
              <w:rPr>
                <w:rFonts w:ascii="宋体" w:hAnsi="宋体" w:cs="Arial"/>
                <w:kern w:val="0"/>
                <w:sz w:val="20"/>
                <w:szCs w:val="20"/>
              </w:rPr>
            </w:pPr>
            <w:r w:rsidRPr="000F5B59">
              <w:rPr>
                <w:rFonts w:ascii="宋体" w:hAnsi="宋体" w:cs="Arial"/>
                <w:kern w:val="0"/>
                <w:sz w:val="20"/>
                <w:szCs w:val="20"/>
              </w:rPr>
              <w:t>83,114,863.81</w:t>
            </w:r>
          </w:p>
        </w:tc>
        <w:tc>
          <w:tcPr>
            <w:tcW w:w="1652" w:type="dxa"/>
            <w:noWrap/>
            <w:vAlign w:val="center"/>
          </w:tcPr>
          <w:p w:rsidR="005824D9" w:rsidRPr="000F5B59" w:rsidRDefault="005824D9" w:rsidP="00544E57">
            <w:pPr>
              <w:widowControl/>
              <w:spacing w:line="400" w:lineRule="exact"/>
              <w:jc w:val="right"/>
              <w:rPr>
                <w:rFonts w:ascii="宋体" w:hAnsi="宋体" w:cs="Arial"/>
                <w:kern w:val="0"/>
                <w:sz w:val="20"/>
                <w:szCs w:val="20"/>
              </w:rPr>
            </w:pPr>
            <w:r w:rsidRPr="000F5B59">
              <w:rPr>
                <w:rFonts w:ascii="宋体" w:hAnsi="宋体" w:cs="Arial"/>
                <w:kern w:val="0"/>
                <w:sz w:val="20"/>
                <w:szCs w:val="20"/>
              </w:rPr>
              <w:t>83,114,863.81</w:t>
            </w:r>
          </w:p>
        </w:tc>
        <w:tc>
          <w:tcPr>
            <w:tcW w:w="1006" w:type="dxa"/>
            <w:noWrap/>
            <w:vAlign w:val="center"/>
          </w:tcPr>
          <w:p w:rsidR="005824D9" w:rsidRPr="000F5B59" w:rsidRDefault="005824D9" w:rsidP="00544E57">
            <w:pPr>
              <w:widowControl/>
              <w:spacing w:line="400" w:lineRule="exact"/>
              <w:jc w:val="right"/>
              <w:rPr>
                <w:rFonts w:ascii="宋体" w:hAnsi="宋体" w:cs="Arial"/>
                <w:kern w:val="0"/>
                <w:sz w:val="20"/>
                <w:szCs w:val="20"/>
              </w:rPr>
            </w:pPr>
            <w:r w:rsidRPr="000F5B59">
              <w:rPr>
                <w:rFonts w:ascii="宋体" w:hAnsi="宋体" w:cs="Arial"/>
                <w:kern w:val="0"/>
                <w:sz w:val="20"/>
                <w:szCs w:val="20"/>
              </w:rPr>
              <w:t>106.56%</w:t>
            </w:r>
          </w:p>
        </w:tc>
      </w:tr>
      <w:tr w:rsidR="005824D9" w:rsidRPr="00493E2C" w:rsidTr="00544E57">
        <w:trPr>
          <w:trHeight w:val="330"/>
        </w:trPr>
        <w:tc>
          <w:tcPr>
            <w:tcW w:w="1843" w:type="dxa"/>
            <w:tcBorders>
              <w:bottom w:val="single" w:sz="12" w:space="0" w:color="auto"/>
            </w:tcBorders>
            <w:noWrap/>
          </w:tcPr>
          <w:p w:rsidR="005824D9" w:rsidRPr="000F5B59" w:rsidRDefault="005824D9" w:rsidP="00544E57">
            <w:pPr>
              <w:widowControl/>
              <w:spacing w:line="400" w:lineRule="exact"/>
              <w:jc w:val="center"/>
              <w:rPr>
                <w:rFonts w:ascii="宋体" w:hAnsi="宋体" w:cs="Arial"/>
                <w:kern w:val="0"/>
                <w:sz w:val="20"/>
                <w:szCs w:val="20"/>
              </w:rPr>
            </w:pPr>
            <w:r w:rsidRPr="000F5B59">
              <w:rPr>
                <w:rFonts w:ascii="宋体" w:hAnsi="宋体" w:cs="Arial"/>
                <w:kern w:val="0"/>
                <w:sz w:val="20"/>
                <w:szCs w:val="20"/>
              </w:rPr>
              <w:t>2017</w:t>
            </w:r>
            <w:r w:rsidRPr="000F5B59">
              <w:rPr>
                <w:rFonts w:ascii="宋体" w:hAnsi="宋体" w:cs="Arial" w:hint="eastAsia"/>
                <w:kern w:val="0"/>
                <w:sz w:val="20"/>
                <w:szCs w:val="20"/>
              </w:rPr>
              <w:t>年度</w:t>
            </w:r>
          </w:p>
        </w:tc>
        <w:tc>
          <w:tcPr>
            <w:tcW w:w="1512" w:type="dxa"/>
            <w:tcBorders>
              <w:bottom w:val="single" w:sz="12" w:space="0" w:color="auto"/>
            </w:tcBorders>
            <w:noWrap/>
            <w:vAlign w:val="center"/>
          </w:tcPr>
          <w:p w:rsidR="005824D9" w:rsidRPr="000F5B59" w:rsidRDefault="005824D9" w:rsidP="00544E57">
            <w:pPr>
              <w:widowControl/>
              <w:spacing w:line="400" w:lineRule="exact"/>
              <w:jc w:val="right"/>
              <w:rPr>
                <w:rFonts w:ascii="宋体" w:hAnsi="宋体" w:cs="Arial"/>
                <w:kern w:val="0"/>
                <w:sz w:val="20"/>
                <w:szCs w:val="20"/>
              </w:rPr>
            </w:pPr>
            <w:r w:rsidRPr="000F5B59">
              <w:rPr>
                <w:rFonts w:ascii="宋体" w:hAnsi="宋体" w:cs="Arial"/>
                <w:kern w:val="0"/>
                <w:sz w:val="20"/>
                <w:szCs w:val="20"/>
              </w:rPr>
              <w:t>89,700,000.00</w:t>
            </w:r>
          </w:p>
        </w:tc>
        <w:tc>
          <w:tcPr>
            <w:tcW w:w="1607" w:type="dxa"/>
            <w:tcBorders>
              <w:bottom w:val="single" w:sz="12" w:space="0" w:color="auto"/>
            </w:tcBorders>
            <w:vAlign w:val="center"/>
          </w:tcPr>
          <w:p w:rsidR="005824D9" w:rsidRPr="000F5B59" w:rsidRDefault="005824D9" w:rsidP="00544E57">
            <w:pPr>
              <w:widowControl/>
              <w:spacing w:line="400" w:lineRule="exact"/>
              <w:jc w:val="right"/>
              <w:rPr>
                <w:rFonts w:ascii="宋体" w:hAnsi="宋体" w:cs="Arial"/>
                <w:kern w:val="0"/>
                <w:sz w:val="20"/>
                <w:szCs w:val="20"/>
              </w:rPr>
            </w:pPr>
            <w:r w:rsidRPr="000F5B59">
              <w:rPr>
                <w:rFonts w:ascii="宋体" w:hAnsi="宋体" w:cs="Arial"/>
                <w:kern w:val="0"/>
                <w:sz w:val="20"/>
                <w:szCs w:val="20"/>
              </w:rPr>
              <w:t>167,700,000.00</w:t>
            </w:r>
          </w:p>
        </w:tc>
        <w:tc>
          <w:tcPr>
            <w:tcW w:w="1736" w:type="dxa"/>
            <w:tcBorders>
              <w:bottom w:val="single" w:sz="12" w:space="0" w:color="auto"/>
            </w:tcBorders>
            <w:vAlign w:val="center"/>
          </w:tcPr>
          <w:p w:rsidR="005824D9" w:rsidRPr="000F5B59" w:rsidRDefault="005824D9" w:rsidP="00544E57">
            <w:pPr>
              <w:widowControl/>
              <w:spacing w:line="400" w:lineRule="exact"/>
              <w:jc w:val="right"/>
              <w:rPr>
                <w:rFonts w:ascii="宋体" w:hAnsi="宋体" w:cs="Arial"/>
                <w:kern w:val="0"/>
                <w:sz w:val="20"/>
                <w:szCs w:val="20"/>
              </w:rPr>
            </w:pPr>
            <w:r w:rsidRPr="000F5B59">
              <w:rPr>
                <w:rFonts w:ascii="宋体" w:hAnsi="宋体" w:cs="Arial"/>
                <w:kern w:val="0"/>
                <w:sz w:val="20"/>
                <w:szCs w:val="20"/>
              </w:rPr>
              <w:t>88,967,642.65</w:t>
            </w:r>
          </w:p>
        </w:tc>
        <w:tc>
          <w:tcPr>
            <w:tcW w:w="1652" w:type="dxa"/>
            <w:tcBorders>
              <w:bottom w:val="single" w:sz="12" w:space="0" w:color="auto"/>
            </w:tcBorders>
            <w:noWrap/>
            <w:vAlign w:val="center"/>
          </w:tcPr>
          <w:p w:rsidR="005824D9" w:rsidRPr="000F5B59" w:rsidRDefault="005824D9" w:rsidP="00544E57">
            <w:pPr>
              <w:widowControl/>
              <w:spacing w:line="400" w:lineRule="exact"/>
              <w:jc w:val="right"/>
              <w:rPr>
                <w:rFonts w:ascii="宋体" w:hAnsi="宋体" w:cs="Arial"/>
                <w:kern w:val="0"/>
                <w:sz w:val="20"/>
                <w:szCs w:val="20"/>
              </w:rPr>
            </w:pPr>
            <w:r w:rsidRPr="000F5B59">
              <w:rPr>
                <w:rFonts w:ascii="宋体" w:hAnsi="宋体" w:cs="Arial"/>
                <w:kern w:val="0"/>
                <w:sz w:val="20"/>
                <w:szCs w:val="20"/>
              </w:rPr>
              <w:t>172,082,506.46</w:t>
            </w:r>
          </w:p>
        </w:tc>
        <w:tc>
          <w:tcPr>
            <w:tcW w:w="1006" w:type="dxa"/>
            <w:tcBorders>
              <w:bottom w:val="single" w:sz="12" w:space="0" w:color="auto"/>
            </w:tcBorders>
            <w:noWrap/>
            <w:vAlign w:val="center"/>
          </w:tcPr>
          <w:p w:rsidR="005824D9" w:rsidRPr="000F5B59" w:rsidRDefault="005824D9" w:rsidP="00544E57">
            <w:pPr>
              <w:widowControl/>
              <w:spacing w:line="400" w:lineRule="exact"/>
              <w:jc w:val="right"/>
              <w:rPr>
                <w:rFonts w:ascii="宋体" w:hAnsi="宋体" w:cs="Arial"/>
                <w:kern w:val="0"/>
                <w:sz w:val="20"/>
                <w:szCs w:val="20"/>
              </w:rPr>
            </w:pPr>
            <w:r w:rsidRPr="000F5B59">
              <w:rPr>
                <w:rFonts w:ascii="宋体" w:hAnsi="宋体" w:cs="Arial"/>
                <w:kern w:val="0"/>
                <w:sz w:val="20"/>
                <w:szCs w:val="20"/>
              </w:rPr>
              <w:t>102.61%</w:t>
            </w:r>
          </w:p>
        </w:tc>
      </w:tr>
    </w:tbl>
    <w:p w:rsidR="005824D9" w:rsidRPr="004D5CD1" w:rsidRDefault="005824D9" w:rsidP="005824D9">
      <w:pPr>
        <w:spacing w:line="360" w:lineRule="auto"/>
        <w:ind w:firstLineChars="200" w:firstLine="480"/>
        <w:rPr>
          <w:rFonts w:ascii="宋体" w:hAnsi="宋体"/>
          <w:sz w:val="24"/>
        </w:rPr>
      </w:pPr>
      <w:r w:rsidRPr="00493E2C">
        <w:rPr>
          <w:rFonts w:ascii="宋体" w:hAnsi="宋体" w:hint="eastAsia"/>
          <w:sz w:val="24"/>
        </w:rPr>
        <w:t>恒利达在2016及2017年正常经营年度中，均能按照约定完成业绩承诺，且当时并不存在可预见的将使公司生产经营内外部条件发生重大变化的因素，故公司认为不存在以前年度商誉减值计提不充分的情形。</w:t>
      </w:r>
    </w:p>
    <w:p w:rsidR="005824D9" w:rsidRPr="00E47C0C" w:rsidRDefault="005824D9" w:rsidP="005824D9">
      <w:pPr>
        <w:spacing w:line="360" w:lineRule="auto"/>
        <w:ind w:firstLineChars="200" w:firstLine="480"/>
        <w:jc w:val="left"/>
        <w:rPr>
          <w:rFonts w:ascii="宋体" w:hAnsi="宋体"/>
          <w:sz w:val="24"/>
        </w:rPr>
      </w:pPr>
      <w:r w:rsidRPr="005F4824">
        <w:rPr>
          <w:rFonts w:ascii="宋体" w:hAnsi="宋体" w:hint="eastAsia"/>
          <w:sz w:val="24"/>
        </w:rPr>
        <w:t>而</w:t>
      </w:r>
      <w:r w:rsidRPr="00BF4B3A">
        <w:rPr>
          <w:rFonts w:ascii="宋体" w:hAnsi="宋体" w:hint="eastAsia"/>
          <w:sz w:val="24"/>
        </w:rPr>
        <w:t>2018</w:t>
      </w:r>
      <w:r w:rsidRPr="00597961">
        <w:rPr>
          <w:rFonts w:ascii="宋体" w:hAnsi="宋体" w:hint="eastAsia"/>
          <w:sz w:val="24"/>
        </w:rPr>
        <w:t>年化工园区停产及2019年园区因发生爆炸事故而被关停，均属于非可预见因素，恒利达发生商誉减值的原因主要是由此产生。</w:t>
      </w:r>
    </w:p>
    <w:p w:rsidR="005824D9" w:rsidRPr="00022E1C" w:rsidRDefault="005824D9" w:rsidP="005824D9">
      <w:pPr>
        <w:spacing w:line="360" w:lineRule="auto"/>
        <w:ind w:firstLineChars="200" w:firstLine="482"/>
        <w:jc w:val="left"/>
        <w:rPr>
          <w:rFonts w:ascii="宋体" w:hAnsi="宋体"/>
          <w:b/>
          <w:sz w:val="24"/>
        </w:rPr>
      </w:pPr>
      <w:r w:rsidRPr="00022E1C">
        <w:rPr>
          <w:rFonts w:ascii="宋体" w:hAnsi="宋体" w:hint="eastAsia"/>
          <w:b/>
          <w:sz w:val="24"/>
        </w:rPr>
        <w:t>会计师核查程序及结论：</w:t>
      </w:r>
    </w:p>
    <w:p w:rsidR="005824D9" w:rsidRDefault="005824D9" w:rsidP="005824D9">
      <w:pPr>
        <w:spacing w:line="360" w:lineRule="auto"/>
        <w:ind w:firstLineChars="200" w:firstLine="480"/>
        <w:jc w:val="left"/>
        <w:rPr>
          <w:rFonts w:ascii="宋体" w:hAnsi="宋体"/>
          <w:sz w:val="24"/>
        </w:rPr>
      </w:pPr>
      <w:r w:rsidRPr="00433C93">
        <w:rPr>
          <w:rFonts w:ascii="宋体" w:hAnsi="宋体" w:hint="eastAsia"/>
          <w:sz w:val="24"/>
        </w:rPr>
        <w:t>我们在对江苏吴中2018年度财务报表的审计过程中已经充分关注商誉减值情况。</w:t>
      </w:r>
    </w:p>
    <w:p w:rsidR="005824D9" w:rsidRDefault="005824D9" w:rsidP="005824D9">
      <w:pPr>
        <w:spacing w:line="360" w:lineRule="auto"/>
        <w:ind w:firstLineChars="200" w:firstLine="480"/>
        <w:jc w:val="left"/>
        <w:rPr>
          <w:rFonts w:ascii="宋体" w:hAnsi="宋体"/>
          <w:sz w:val="24"/>
        </w:rPr>
      </w:pPr>
      <w:r>
        <w:rPr>
          <w:rFonts w:ascii="宋体" w:hAnsi="宋体" w:hint="eastAsia"/>
          <w:sz w:val="24"/>
        </w:rPr>
        <w:t>2016及2017年度</w:t>
      </w:r>
      <w:r w:rsidR="00544E57">
        <w:rPr>
          <w:rFonts w:ascii="宋体" w:hAnsi="宋体" w:hint="eastAsia"/>
          <w:sz w:val="24"/>
        </w:rPr>
        <w:t>江苏吴中</w:t>
      </w:r>
      <w:r>
        <w:rPr>
          <w:rFonts w:ascii="宋体" w:hAnsi="宋体" w:hint="eastAsia"/>
          <w:sz w:val="24"/>
        </w:rPr>
        <w:t>的财务报表系由立信会计师事务所（特殊普通合伙）审计，并分别</w:t>
      </w:r>
      <w:proofErr w:type="gramStart"/>
      <w:r>
        <w:rPr>
          <w:rFonts w:ascii="宋体" w:hAnsi="宋体" w:hint="eastAsia"/>
          <w:sz w:val="24"/>
        </w:rPr>
        <w:t>出具信</w:t>
      </w:r>
      <w:proofErr w:type="gramEnd"/>
      <w:r>
        <w:rPr>
          <w:rFonts w:ascii="宋体" w:hAnsi="宋体" w:hint="eastAsia"/>
          <w:sz w:val="24"/>
        </w:rPr>
        <w:t>会师报【2017】第ZA13919号及信会师报【2018】第ZA11156号审计报告，当年度商誉减值测试情况已在审计报告中</w:t>
      </w:r>
      <w:proofErr w:type="gramStart"/>
      <w:r>
        <w:rPr>
          <w:rFonts w:ascii="宋体" w:hAnsi="宋体" w:hint="eastAsia"/>
          <w:sz w:val="24"/>
        </w:rPr>
        <w:t>作出</w:t>
      </w:r>
      <w:proofErr w:type="gramEnd"/>
      <w:r>
        <w:rPr>
          <w:rFonts w:ascii="宋体" w:hAnsi="宋体" w:hint="eastAsia"/>
          <w:sz w:val="24"/>
        </w:rPr>
        <w:t>相关披露。</w:t>
      </w:r>
    </w:p>
    <w:p w:rsidR="005824D9" w:rsidRDefault="005824D9" w:rsidP="005824D9">
      <w:pPr>
        <w:spacing w:line="360" w:lineRule="auto"/>
        <w:ind w:firstLineChars="200" w:firstLine="480"/>
        <w:jc w:val="left"/>
        <w:rPr>
          <w:rFonts w:ascii="宋体" w:hAnsi="宋体"/>
          <w:sz w:val="24"/>
        </w:rPr>
      </w:pPr>
      <w:r>
        <w:rPr>
          <w:rFonts w:ascii="宋体" w:hAnsi="宋体" w:hint="eastAsia"/>
          <w:sz w:val="24"/>
        </w:rPr>
        <w:t>我们</w:t>
      </w:r>
      <w:r w:rsidRPr="00822C84">
        <w:rPr>
          <w:rFonts w:ascii="宋体" w:hAnsi="宋体" w:hint="eastAsia"/>
          <w:sz w:val="24"/>
        </w:rPr>
        <w:t>按照《中国注册会计师审计准则第 1153 号——前任注册会计师与后任注册会计师的沟通》的规定</w:t>
      </w:r>
      <w:r>
        <w:rPr>
          <w:rFonts w:ascii="宋体" w:hAnsi="宋体" w:hint="eastAsia"/>
          <w:sz w:val="24"/>
        </w:rPr>
        <w:t>，履行了与前任会计师的沟通程序，前任会计师回函中，并未提及对江苏吴中2016-2017年度商誉减值有需提请我们关注的事项。</w:t>
      </w:r>
    </w:p>
    <w:p w:rsidR="005824D9" w:rsidRPr="00E25603" w:rsidRDefault="005824D9" w:rsidP="005824D9">
      <w:pPr>
        <w:spacing w:line="360" w:lineRule="auto"/>
        <w:ind w:firstLineChars="200" w:firstLine="480"/>
        <w:jc w:val="left"/>
        <w:rPr>
          <w:rFonts w:ascii="宋体" w:hAnsi="宋体"/>
          <w:sz w:val="24"/>
        </w:rPr>
      </w:pPr>
      <w:r>
        <w:rPr>
          <w:rFonts w:ascii="宋体" w:hAnsi="宋体" w:hint="eastAsia"/>
          <w:sz w:val="24"/>
        </w:rPr>
        <w:t>我们复查了公司为进行减值测试而聘请评估机构出具的咨询报告和以前年度审计报告相关披露，未发现存在明显减值迹象，认同2016-2017年度减值测试结果。</w:t>
      </w:r>
    </w:p>
    <w:p w:rsidR="005824D9" w:rsidRPr="00134A43" w:rsidRDefault="005824D9" w:rsidP="005824D9">
      <w:pPr>
        <w:spacing w:line="360" w:lineRule="auto"/>
        <w:ind w:firstLineChars="200" w:firstLine="480"/>
        <w:jc w:val="left"/>
        <w:rPr>
          <w:rFonts w:ascii="宋体" w:hAnsi="宋体"/>
          <w:sz w:val="24"/>
        </w:rPr>
      </w:pPr>
      <w:r w:rsidRPr="00134A43">
        <w:rPr>
          <w:rFonts w:ascii="宋体" w:hAnsi="宋体" w:hint="eastAsia"/>
          <w:sz w:val="24"/>
        </w:rPr>
        <w:t>针对</w:t>
      </w:r>
      <w:r>
        <w:rPr>
          <w:rFonts w:ascii="宋体" w:hAnsi="宋体" w:hint="eastAsia"/>
          <w:sz w:val="24"/>
        </w:rPr>
        <w:t>2018年度</w:t>
      </w:r>
      <w:r w:rsidRPr="00134A43">
        <w:rPr>
          <w:rFonts w:ascii="宋体" w:hAnsi="宋体" w:hint="eastAsia"/>
          <w:sz w:val="24"/>
        </w:rPr>
        <w:t>商誉减值，我们执行的主要审计程</w:t>
      </w:r>
      <w:bookmarkStart w:id="0" w:name="_GoBack"/>
      <w:bookmarkEnd w:id="0"/>
      <w:r w:rsidRPr="00134A43">
        <w:rPr>
          <w:rFonts w:ascii="宋体" w:hAnsi="宋体" w:hint="eastAsia"/>
          <w:sz w:val="24"/>
        </w:rPr>
        <w:t>序包括：</w:t>
      </w:r>
    </w:p>
    <w:p w:rsidR="005824D9" w:rsidRPr="009351F3" w:rsidRDefault="005824D9" w:rsidP="005824D9">
      <w:pPr>
        <w:spacing w:line="360" w:lineRule="auto"/>
        <w:ind w:firstLineChars="200" w:firstLine="480"/>
        <w:jc w:val="left"/>
        <w:rPr>
          <w:rFonts w:ascii="宋体" w:hAnsi="宋体"/>
          <w:sz w:val="24"/>
        </w:rPr>
      </w:pPr>
      <w:r w:rsidRPr="009351F3">
        <w:rPr>
          <w:rFonts w:ascii="宋体" w:hAnsi="宋体" w:hint="eastAsia"/>
          <w:sz w:val="24"/>
        </w:rPr>
        <w:t>（1）评估管理层商誉减值测试方法的适当性；</w:t>
      </w:r>
    </w:p>
    <w:p w:rsidR="005824D9" w:rsidRPr="004D5CD1" w:rsidRDefault="005824D9" w:rsidP="005824D9">
      <w:pPr>
        <w:spacing w:line="360" w:lineRule="auto"/>
        <w:ind w:firstLineChars="200" w:firstLine="480"/>
        <w:jc w:val="left"/>
        <w:rPr>
          <w:rFonts w:ascii="宋体" w:hAnsi="宋体"/>
          <w:sz w:val="24"/>
        </w:rPr>
      </w:pPr>
      <w:r w:rsidRPr="009351F3">
        <w:rPr>
          <w:rFonts w:ascii="宋体" w:hAnsi="宋体" w:hint="eastAsia"/>
          <w:sz w:val="24"/>
        </w:rPr>
        <w:t>（2）检查资产组是否与购买日所确定的资产组</w:t>
      </w:r>
      <w:r w:rsidRPr="00493E2C">
        <w:rPr>
          <w:rFonts w:ascii="宋体" w:hAnsi="宋体" w:hint="eastAsia"/>
          <w:sz w:val="24"/>
        </w:rPr>
        <w:t>一致；</w:t>
      </w:r>
      <w:r w:rsidRPr="004D5CD1">
        <w:rPr>
          <w:rFonts w:ascii="宋体" w:hAnsi="宋体" w:hint="eastAsia"/>
          <w:sz w:val="24"/>
        </w:rPr>
        <w:t xml:space="preserve"> </w:t>
      </w:r>
    </w:p>
    <w:p w:rsidR="005824D9" w:rsidRPr="00597961" w:rsidRDefault="005824D9" w:rsidP="005824D9">
      <w:pPr>
        <w:spacing w:line="360" w:lineRule="auto"/>
        <w:ind w:firstLineChars="200" w:firstLine="480"/>
        <w:jc w:val="left"/>
        <w:rPr>
          <w:rFonts w:ascii="宋体" w:hAnsi="宋体"/>
          <w:sz w:val="24"/>
        </w:rPr>
      </w:pPr>
      <w:r w:rsidRPr="005F4824">
        <w:rPr>
          <w:rFonts w:ascii="宋体" w:hAnsi="宋体" w:hint="eastAsia"/>
          <w:sz w:val="24"/>
        </w:rPr>
        <w:t>（</w:t>
      </w:r>
      <w:r w:rsidRPr="00BF4B3A">
        <w:rPr>
          <w:rFonts w:ascii="宋体" w:hAnsi="宋体" w:hint="eastAsia"/>
          <w:sz w:val="24"/>
        </w:rPr>
        <w:t>3</w:t>
      </w:r>
      <w:r w:rsidRPr="00597961">
        <w:rPr>
          <w:rFonts w:ascii="宋体" w:hAnsi="宋体" w:hint="eastAsia"/>
          <w:sz w:val="24"/>
        </w:rPr>
        <w:t>）复核测试管理层减值测试所依据的基础数据，利用内部评估专家评估管理层减值测试中所采用关键假设及判断的合理性，以及了解和评价管理层利用其估值专家的工作；</w:t>
      </w:r>
    </w:p>
    <w:p w:rsidR="005824D9" w:rsidRPr="00FC007F" w:rsidRDefault="005824D9" w:rsidP="005824D9">
      <w:pPr>
        <w:spacing w:line="360" w:lineRule="auto"/>
        <w:ind w:firstLineChars="200" w:firstLine="480"/>
        <w:jc w:val="left"/>
        <w:rPr>
          <w:rFonts w:ascii="宋体" w:hAnsi="宋体"/>
          <w:sz w:val="24"/>
        </w:rPr>
      </w:pPr>
      <w:r w:rsidRPr="00E47C0C">
        <w:rPr>
          <w:rFonts w:ascii="宋体" w:hAnsi="宋体" w:hint="eastAsia"/>
          <w:sz w:val="24"/>
        </w:rPr>
        <w:t>（</w:t>
      </w:r>
      <w:r w:rsidRPr="00FC007F">
        <w:rPr>
          <w:rFonts w:ascii="宋体" w:hAnsi="宋体" w:hint="eastAsia"/>
          <w:sz w:val="24"/>
        </w:rPr>
        <w:t xml:space="preserve">4）验证商誉减值测试模型的计算准确性； </w:t>
      </w:r>
    </w:p>
    <w:p w:rsidR="005824D9" w:rsidRPr="004D5CD1" w:rsidRDefault="005824D9" w:rsidP="005824D9">
      <w:pPr>
        <w:spacing w:line="360" w:lineRule="auto"/>
        <w:ind w:firstLineChars="200" w:firstLine="480"/>
        <w:jc w:val="left"/>
        <w:rPr>
          <w:rFonts w:ascii="宋体" w:hAnsi="宋体"/>
          <w:sz w:val="24"/>
        </w:rPr>
      </w:pPr>
      <w:r w:rsidRPr="00FC007F">
        <w:rPr>
          <w:rFonts w:ascii="宋体" w:hAnsi="宋体" w:hint="eastAsia"/>
          <w:sz w:val="24"/>
        </w:rPr>
        <w:t>（</w:t>
      </w:r>
      <w:r w:rsidRPr="00426630">
        <w:rPr>
          <w:rFonts w:ascii="宋体" w:hAnsi="宋体" w:hint="eastAsia"/>
          <w:sz w:val="24"/>
        </w:rPr>
        <w:t>5）复核与商誉减值相关的</w:t>
      </w:r>
      <w:r w:rsidRPr="00493E2C">
        <w:rPr>
          <w:rFonts w:ascii="宋体" w:hAnsi="宋体" w:hint="eastAsia"/>
          <w:sz w:val="24"/>
        </w:rPr>
        <w:t>披露；</w:t>
      </w:r>
      <w:r w:rsidRPr="004D5CD1">
        <w:rPr>
          <w:rFonts w:ascii="宋体" w:hAnsi="宋体" w:hint="eastAsia"/>
          <w:sz w:val="24"/>
        </w:rPr>
        <w:t xml:space="preserve"> </w:t>
      </w:r>
    </w:p>
    <w:p w:rsidR="005824D9" w:rsidRDefault="005824D9" w:rsidP="005824D9">
      <w:pPr>
        <w:spacing w:line="360" w:lineRule="auto"/>
        <w:ind w:firstLineChars="200" w:firstLine="480"/>
        <w:jc w:val="left"/>
        <w:rPr>
          <w:rFonts w:ascii="宋体" w:hAnsi="宋体"/>
          <w:sz w:val="24"/>
        </w:rPr>
      </w:pPr>
      <w:r w:rsidRPr="005F4824">
        <w:rPr>
          <w:rFonts w:ascii="宋体" w:hAnsi="宋体" w:hint="eastAsia"/>
          <w:sz w:val="24"/>
        </w:rPr>
        <w:lastRenderedPageBreak/>
        <w:t>（</w:t>
      </w:r>
      <w:r w:rsidRPr="00BF4B3A">
        <w:rPr>
          <w:rFonts w:ascii="宋体" w:hAnsi="宋体" w:hint="eastAsia"/>
          <w:sz w:val="24"/>
        </w:rPr>
        <w:t>6</w:t>
      </w:r>
      <w:r w:rsidRPr="00597961">
        <w:rPr>
          <w:rFonts w:ascii="宋体" w:hAnsi="宋体" w:hint="eastAsia"/>
          <w:sz w:val="24"/>
        </w:rPr>
        <w:t>）关注业绩补偿完成情况及相关的披露。</w:t>
      </w:r>
    </w:p>
    <w:p w:rsidR="005824D9" w:rsidRPr="00FC007F" w:rsidRDefault="005824D9" w:rsidP="005824D9">
      <w:pPr>
        <w:spacing w:line="360" w:lineRule="auto"/>
        <w:ind w:firstLineChars="200" w:firstLine="480"/>
        <w:jc w:val="left"/>
        <w:rPr>
          <w:rFonts w:ascii="宋体" w:hAnsi="宋体"/>
          <w:sz w:val="24"/>
        </w:rPr>
      </w:pPr>
      <w:r w:rsidRPr="00597961">
        <w:rPr>
          <w:rFonts w:ascii="宋体" w:hAnsi="宋体" w:hint="eastAsia"/>
          <w:sz w:val="24"/>
        </w:rPr>
        <w:t>通过执行以上审计程序，我们没有发现上述说明中与财务报告相关的信息与我们在审计过程中获取的相关资料在所有重大方面存在不一致之处。公司基于资产负债表日及资产负债表日后重大事项对商誉减值的会计处理在重大方面符合企业会计准则的</w:t>
      </w:r>
      <w:r w:rsidRPr="00E47C0C">
        <w:rPr>
          <w:rFonts w:ascii="宋体" w:hAnsi="宋体" w:hint="eastAsia"/>
          <w:sz w:val="24"/>
        </w:rPr>
        <w:t>规定。</w:t>
      </w:r>
    </w:p>
    <w:p w:rsidR="00D0185C" w:rsidRDefault="00D0185C" w:rsidP="00010EAD">
      <w:pPr>
        <w:spacing w:line="360" w:lineRule="auto"/>
        <w:ind w:firstLineChars="200" w:firstLine="482"/>
        <w:rPr>
          <w:rFonts w:asciiTheme="minorEastAsia" w:eastAsiaTheme="minorEastAsia" w:hAnsiTheme="minorEastAsia"/>
          <w:b/>
          <w:sz w:val="24"/>
        </w:rPr>
      </w:pPr>
    </w:p>
    <w:p w:rsidR="0052077F" w:rsidRPr="00010EAD" w:rsidRDefault="00BC3268" w:rsidP="00010EAD">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四、</w:t>
      </w:r>
      <w:r w:rsidR="0052077F" w:rsidRPr="00010EAD">
        <w:rPr>
          <w:rFonts w:asciiTheme="minorEastAsia" w:eastAsiaTheme="minorEastAsia" w:hAnsiTheme="minorEastAsia" w:hint="eastAsia"/>
          <w:b/>
          <w:sz w:val="24"/>
        </w:rPr>
        <w:t>根据公司年报披露的业绩完成情况，以及公司与交易方所签订的关于响水恒利</w:t>
      </w:r>
      <w:proofErr w:type="gramStart"/>
      <w:r w:rsidR="0052077F" w:rsidRPr="00010EAD">
        <w:rPr>
          <w:rFonts w:asciiTheme="minorEastAsia" w:eastAsiaTheme="minorEastAsia" w:hAnsiTheme="minorEastAsia" w:hint="eastAsia"/>
          <w:b/>
          <w:sz w:val="24"/>
        </w:rPr>
        <w:t>达业绩</w:t>
      </w:r>
      <w:proofErr w:type="gramEnd"/>
      <w:r w:rsidR="0052077F" w:rsidRPr="00010EAD">
        <w:rPr>
          <w:rFonts w:asciiTheme="minorEastAsia" w:eastAsiaTheme="minorEastAsia" w:hAnsiTheme="minorEastAsia" w:hint="eastAsia"/>
          <w:b/>
          <w:sz w:val="24"/>
        </w:rPr>
        <w:t>承诺及补偿协议，响水恒利达一期项目及二期项目2018年度均未实现业绩承诺，触发相关业绩补偿条款的情形，请公司明确披露相应的业绩补偿实施方案及补偿进展情况。</w:t>
      </w:r>
    </w:p>
    <w:p w:rsidR="00EF4065" w:rsidRDefault="005824D9" w:rsidP="00EF4065">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公司</w:t>
      </w:r>
      <w:r w:rsidR="00EF4065">
        <w:rPr>
          <w:rFonts w:asciiTheme="minorEastAsia" w:eastAsiaTheme="minorEastAsia" w:hAnsiTheme="minorEastAsia" w:hint="eastAsia"/>
          <w:b/>
          <w:sz w:val="24"/>
        </w:rPr>
        <w:t>回复：</w:t>
      </w:r>
    </w:p>
    <w:p w:rsidR="00EF4065" w:rsidRPr="00EF4065" w:rsidRDefault="00EF4065" w:rsidP="00EF4065">
      <w:pPr>
        <w:spacing w:line="360" w:lineRule="auto"/>
        <w:ind w:firstLineChars="200" w:firstLine="480"/>
        <w:rPr>
          <w:rFonts w:asciiTheme="minorEastAsia" w:eastAsiaTheme="minorEastAsia" w:hAnsiTheme="minorEastAsia"/>
          <w:sz w:val="24"/>
        </w:rPr>
      </w:pPr>
      <w:r w:rsidRPr="00EF4065">
        <w:rPr>
          <w:rFonts w:asciiTheme="minorEastAsia" w:eastAsiaTheme="minorEastAsia" w:hAnsiTheme="minorEastAsia" w:hint="eastAsia"/>
          <w:sz w:val="24"/>
        </w:rPr>
        <w:t>根据瑞华会计师事务所（特殊普通合伙）出具的《关于响水恒利达科技化工有限公司2018年度业绩承诺实现情况专项审核报告》（瑞华核字[2019]33180010号），公司于2019年4月18日召开了第九届董事会第四次会议及第九届监事会第四次会议审议通过了《江苏吴中实业股份有限公司关于响水恒利达科技化工有限公司2018年度业绩承诺实现情况的议案》（具体见公司于2019年4月20日在《中国证券报》、《上海证券报》及上海证券交易所网站上披露的《江苏吴中实业股份有限公司关于响水恒利达科技化工有限公司2018年度业绩承诺实现情况的公告》）。</w:t>
      </w:r>
    </w:p>
    <w:p w:rsidR="00EF4065" w:rsidRPr="00EF4065" w:rsidRDefault="00EF4065" w:rsidP="00EF4065">
      <w:pPr>
        <w:spacing w:line="360" w:lineRule="auto"/>
        <w:ind w:firstLineChars="200" w:firstLine="480"/>
        <w:rPr>
          <w:rFonts w:asciiTheme="minorEastAsia" w:eastAsiaTheme="minorEastAsia" w:hAnsiTheme="minorEastAsia"/>
          <w:sz w:val="24"/>
        </w:rPr>
      </w:pPr>
      <w:r w:rsidRPr="00EF4065">
        <w:rPr>
          <w:rFonts w:asciiTheme="minorEastAsia" w:eastAsiaTheme="minorEastAsia" w:hAnsiTheme="minorEastAsia" w:hint="eastAsia"/>
          <w:sz w:val="24"/>
        </w:rPr>
        <w:t>为妥善处理响水恒</w:t>
      </w:r>
      <w:proofErr w:type="gramStart"/>
      <w:r w:rsidRPr="00EF4065">
        <w:rPr>
          <w:rFonts w:asciiTheme="minorEastAsia" w:eastAsiaTheme="minorEastAsia" w:hAnsiTheme="minorEastAsia" w:hint="eastAsia"/>
          <w:sz w:val="24"/>
        </w:rPr>
        <w:t>利达未实现</w:t>
      </w:r>
      <w:proofErr w:type="gramEnd"/>
      <w:r w:rsidRPr="00EF4065">
        <w:rPr>
          <w:rFonts w:asciiTheme="minorEastAsia" w:eastAsiaTheme="minorEastAsia" w:hAnsiTheme="minorEastAsia" w:hint="eastAsia"/>
          <w:sz w:val="24"/>
        </w:rPr>
        <w:t>业绩承诺的后续补偿各项工作，公司及时组织成立了“业绩对赌后续处理事项专项工作小组”。期间，工作小组积极主动与交易对方及独立财务顾问、法律顾问等中介机构沟通，并多次组织召开应对方案讨论会，依据交易双方签署的相关协议并结合响水化工园区实际进展情况制定补偿方案。公司已于2019年5月15日召开的第九届董事会2019年第二次临时会议（通讯表决）和第九届监事会2019年第一次临时会议（通讯表决），审议通过了《江苏吴中实业股份有限公司关于拟回购并注销响水恒利达科技化工有限公司未实现业绩承诺所应补偿股份的议案》（具体内容见公司于2019年5月16日在《中国证券报》、《上海证券报》及上海证券交易所网站上披露的《江苏吴中实业股份有限公司关于拟回购并注销响水恒利达科技化工有限公司未实现业绩承诺</w:t>
      </w:r>
      <w:r w:rsidRPr="00EF4065">
        <w:rPr>
          <w:rFonts w:asciiTheme="minorEastAsia" w:eastAsiaTheme="minorEastAsia" w:hAnsiTheme="minorEastAsia" w:hint="eastAsia"/>
          <w:sz w:val="24"/>
        </w:rPr>
        <w:lastRenderedPageBreak/>
        <w:t>所应补偿股份的公告》），上述事项尚需经公司股东大会审议通过。</w:t>
      </w:r>
    </w:p>
    <w:p w:rsidR="00D0185C" w:rsidRDefault="00EF4065" w:rsidP="00EF4065">
      <w:pPr>
        <w:spacing w:line="360" w:lineRule="auto"/>
        <w:ind w:firstLineChars="200" w:firstLine="480"/>
        <w:rPr>
          <w:rFonts w:asciiTheme="minorEastAsia" w:eastAsiaTheme="minorEastAsia" w:hAnsiTheme="minorEastAsia"/>
          <w:b/>
          <w:sz w:val="24"/>
        </w:rPr>
      </w:pPr>
      <w:r w:rsidRPr="00EF4065">
        <w:rPr>
          <w:rFonts w:asciiTheme="minorEastAsia" w:eastAsiaTheme="minorEastAsia" w:hAnsiTheme="minorEastAsia" w:hint="eastAsia"/>
          <w:sz w:val="24"/>
        </w:rPr>
        <w:t>公司拟定于2019年5月31日召开2019年第二次临时股东大会审议《江苏吴中实业股份有限公司关于拟回购并注销响水恒利达科技化工有限公司未实现业绩承诺所应补偿股份的议案》，待股东大会审议通过后，公司将严格按照相关法律法规，办理该等股份的回购注销及工商变更等相关事宜，并及时履行信息披露义务。</w:t>
      </w:r>
    </w:p>
    <w:p w:rsidR="00D0185C" w:rsidRDefault="00D0185C" w:rsidP="00010EAD">
      <w:pPr>
        <w:spacing w:line="360" w:lineRule="auto"/>
        <w:ind w:firstLineChars="200" w:firstLine="482"/>
        <w:rPr>
          <w:rFonts w:asciiTheme="minorEastAsia" w:eastAsiaTheme="minorEastAsia" w:hAnsiTheme="minorEastAsia"/>
          <w:b/>
          <w:sz w:val="24"/>
        </w:rPr>
      </w:pPr>
    </w:p>
    <w:p w:rsidR="0052077F" w:rsidRPr="00010EAD" w:rsidRDefault="00BC3268" w:rsidP="00010EAD">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五、</w:t>
      </w:r>
      <w:r w:rsidR="0052077F" w:rsidRPr="00010EAD">
        <w:rPr>
          <w:rFonts w:asciiTheme="minorEastAsia" w:eastAsiaTheme="minorEastAsia" w:hAnsiTheme="minorEastAsia" w:hint="eastAsia"/>
          <w:b/>
          <w:sz w:val="24"/>
        </w:rPr>
        <w:t>年报披露，公司报告期末货币资金5.9亿元，其中约1亿元存在因抵押、质押或冻结等对使用有限制的情况。请公司补充披露：（1）上述受限资金的形成原因，关于上述资金是否存在潜在的限制性用途及合同安排；（2）说明相关信息披露是否真实、准确、完整。</w:t>
      </w:r>
    </w:p>
    <w:p w:rsidR="00DD05FC" w:rsidRPr="00493E2C" w:rsidRDefault="00DD05FC" w:rsidP="00DD05FC">
      <w:pPr>
        <w:spacing w:line="360" w:lineRule="auto"/>
        <w:ind w:firstLineChars="200" w:firstLine="482"/>
        <w:jc w:val="left"/>
        <w:rPr>
          <w:rFonts w:ascii="宋体" w:hAnsi="宋体"/>
          <w:b/>
          <w:sz w:val="24"/>
        </w:rPr>
      </w:pPr>
      <w:r w:rsidRPr="00493E2C">
        <w:rPr>
          <w:rFonts w:ascii="宋体" w:hAnsi="宋体" w:hint="eastAsia"/>
          <w:b/>
          <w:sz w:val="24"/>
        </w:rPr>
        <w:t xml:space="preserve">公司回复： </w:t>
      </w:r>
    </w:p>
    <w:p w:rsidR="00DD05FC" w:rsidRPr="00493E2C" w:rsidRDefault="00DD05FC" w:rsidP="00DD05FC">
      <w:pPr>
        <w:spacing w:line="360" w:lineRule="auto"/>
        <w:ind w:firstLineChars="200" w:firstLine="480"/>
        <w:jc w:val="left"/>
        <w:rPr>
          <w:rFonts w:ascii="宋体" w:hAnsi="宋体"/>
          <w:sz w:val="24"/>
        </w:rPr>
      </w:pPr>
      <w:r w:rsidRPr="00493E2C">
        <w:rPr>
          <w:rFonts w:ascii="宋体" w:hAnsi="宋体" w:hint="eastAsia"/>
          <w:sz w:val="24"/>
        </w:rPr>
        <w:t>1、上述受限资金的形成原因，关于上述资金是否存在潜在的限制性用途及合同安排？</w:t>
      </w:r>
    </w:p>
    <w:p w:rsidR="00DD05FC" w:rsidRDefault="00DD05FC" w:rsidP="00DD05FC">
      <w:pPr>
        <w:spacing w:line="360" w:lineRule="auto"/>
        <w:ind w:firstLineChars="200" w:firstLine="480"/>
        <w:jc w:val="left"/>
        <w:rPr>
          <w:rFonts w:ascii="宋体" w:hAnsi="宋体"/>
          <w:sz w:val="24"/>
        </w:rPr>
      </w:pPr>
      <w:r w:rsidRPr="00493E2C">
        <w:rPr>
          <w:rFonts w:ascii="宋体" w:hAnsi="宋体" w:hint="eastAsia"/>
          <w:sz w:val="24"/>
        </w:rPr>
        <w:t>2018 年末，公司受限的货币资金</w:t>
      </w:r>
      <w:r>
        <w:rPr>
          <w:rFonts w:ascii="宋体" w:hAnsi="宋体" w:hint="eastAsia"/>
          <w:sz w:val="24"/>
        </w:rPr>
        <w:t>详情如下</w:t>
      </w:r>
      <w:r w:rsidRPr="00493E2C">
        <w:rPr>
          <w:rFonts w:ascii="宋体" w:hAnsi="宋体" w:hint="eastAsia"/>
          <w:sz w:val="24"/>
        </w:rPr>
        <w:t>：</w:t>
      </w:r>
    </w:p>
    <w:p w:rsidR="00DD05FC" w:rsidRDefault="00DD05FC" w:rsidP="00DD05FC">
      <w:pPr>
        <w:widowControl/>
        <w:jc w:val="center"/>
        <w:rPr>
          <w:rFonts w:ascii="宋体" w:hAnsi="宋体" w:cs="宋体"/>
          <w:color w:val="000000"/>
          <w:kern w:val="0"/>
          <w:sz w:val="22"/>
          <w:szCs w:val="22"/>
        </w:rPr>
        <w:sectPr w:rsidR="00DD05FC" w:rsidSect="00544E57">
          <w:footerReference w:type="even" r:id="rId9"/>
          <w:footerReference w:type="default" r:id="rId10"/>
          <w:pgSz w:w="11906" w:h="16838"/>
          <w:pgMar w:top="1440" w:right="1800" w:bottom="1440" w:left="1800" w:header="851" w:footer="992" w:gutter="0"/>
          <w:cols w:space="425"/>
          <w:docGrid w:type="lines" w:linePitch="312"/>
        </w:sectPr>
      </w:pPr>
    </w:p>
    <w:tbl>
      <w:tblPr>
        <w:tblW w:w="13755" w:type="dxa"/>
        <w:tblInd w:w="103" w:type="dxa"/>
        <w:tblLook w:val="04A0" w:firstRow="1" w:lastRow="0" w:firstColumn="1" w:lastColumn="0" w:noHBand="0" w:noVBand="1"/>
      </w:tblPr>
      <w:tblGrid>
        <w:gridCol w:w="2515"/>
        <w:gridCol w:w="3869"/>
        <w:gridCol w:w="2368"/>
        <w:gridCol w:w="851"/>
        <w:gridCol w:w="1984"/>
        <w:gridCol w:w="2168"/>
      </w:tblGrid>
      <w:tr w:rsidR="00DD05FC" w:rsidRPr="007B379A" w:rsidTr="00BA48EF">
        <w:trPr>
          <w:trHeight w:val="270"/>
        </w:trPr>
        <w:tc>
          <w:tcPr>
            <w:tcW w:w="2515"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lastRenderedPageBreak/>
              <w:t>开出单位</w:t>
            </w:r>
          </w:p>
        </w:tc>
        <w:tc>
          <w:tcPr>
            <w:tcW w:w="3869" w:type="dxa"/>
            <w:tcBorders>
              <w:top w:val="single" w:sz="4" w:space="0" w:color="auto"/>
              <w:left w:val="nil"/>
              <w:bottom w:val="single" w:sz="4" w:space="0" w:color="auto"/>
              <w:right w:val="single" w:sz="4" w:space="0" w:color="auto"/>
            </w:tcBorders>
            <w:shd w:val="clear" w:color="000000" w:fill="B7DEE8"/>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开户银行</w:t>
            </w:r>
          </w:p>
        </w:tc>
        <w:tc>
          <w:tcPr>
            <w:tcW w:w="2368" w:type="dxa"/>
            <w:tcBorders>
              <w:top w:val="single" w:sz="4" w:space="0" w:color="auto"/>
              <w:left w:val="nil"/>
              <w:bottom w:val="single" w:sz="4" w:space="0" w:color="auto"/>
              <w:right w:val="single" w:sz="4" w:space="0" w:color="auto"/>
            </w:tcBorders>
            <w:shd w:val="clear" w:color="000000" w:fill="B7DEE8"/>
            <w:noWrap/>
            <w:vAlign w:val="center"/>
            <w:hideMark/>
          </w:tcPr>
          <w:p w:rsidR="00DD05FC" w:rsidRPr="002E0159" w:rsidRDefault="00DD05FC" w:rsidP="00BA48EF">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银行账号</w:t>
            </w:r>
          </w:p>
        </w:tc>
        <w:tc>
          <w:tcPr>
            <w:tcW w:w="851" w:type="dxa"/>
            <w:tcBorders>
              <w:top w:val="single" w:sz="4" w:space="0" w:color="auto"/>
              <w:left w:val="nil"/>
              <w:bottom w:val="single" w:sz="4" w:space="0" w:color="auto"/>
              <w:right w:val="single" w:sz="4" w:space="0" w:color="auto"/>
            </w:tcBorders>
            <w:shd w:val="clear" w:color="000000" w:fill="B7DEE8"/>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币种</w:t>
            </w:r>
          </w:p>
        </w:tc>
        <w:tc>
          <w:tcPr>
            <w:tcW w:w="1984" w:type="dxa"/>
            <w:tcBorders>
              <w:top w:val="single" w:sz="4" w:space="0" w:color="auto"/>
              <w:left w:val="nil"/>
              <w:bottom w:val="single" w:sz="4" w:space="0" w:color="auto"/>
              <w:right w:val="single" w:sz="4" w:space="0" w:color="auto"/>
            </w:tcBorders>
            <w:shd w:val="clear" w:color="000000" w:fill="B7DEE8"/>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期末余额</w:t>
            </w:r>
            <w:r w:rsidR="008C71F5">
              <w:rPr>
                <w:rFonts w:ascii="宋体" w:hAnsi="宋体" w:cs="宋体" w:hint="eastAsia"/>
                <w:color w:val="000000"/>
                <w:kern w:val="0"/>
                <w:sz w:val="18"/>
                <w:szCs w:val="18"/>
              </w:rPr>
              <w:t>（元）</w:t>
            </w:r>
          </w:p>
        </w:tc>
        <w:tc>
          <w:tcPr>
            <w:tcW w:w="2168" w:type="dxa"/>
            <w:tcBorders>
              <w:top w:val="single" w:sz="4" w:space="0" w:color="auto"/>
              <w:left w:val="nil"/>
              <w:bottom w:val="single" w:sz="4" w:space="0" w:color="auto"/>
              <w:right w:val="single" w:sz="4" w:space="0" w:color="auto"/>
            </w:tcBorders>
            <w:shd w:val="clear" w:color="000000" w:fill="B7DEE8"/>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受限情况</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宿迁</w:t>
            </w:r>
            <w:proofErr w:type="gramStart"/>
            <w:r w:rsidRPr="002E0159">
              <w:rPr>
                <w:rFonts w:ascii="宋体" w:hAnsi="宋体" w:cs="宋体" w:hint="eastAsia"/>
                <w:color w:val="000000"/>
                <w:kern w:val="0"/>
                <w:sz w:val="18"/>
                <w:szCs w:val="18"/>
              </w:rPr>
              <w:t>市苏宿置业</w:t>
            </w:r>
            <w:proofErr w:type="gramEnd"/>
            <w:r w:rsidRPr="002E0159">
              <w:rPr>
                <w:rFonts w:ascii="宋体" w:hAnsi="宋体" w:cs="宋体" w:hint="eastAsia"/>
                <w:color w:val="000000"/>
                <w:kern w:val="0"/>
                <w:sz w:val="18"/>
                <w:szCs w:val="18"/>
              </w:rPr>
              <w:t>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中国农业银行股份有限公司宿迁宿城支行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10460662700000039</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10,320,000.00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银行承兑汇票保证金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江苏吴中进出口有限公司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proofErr w:type="gramStart"/>
            <w:r w:rsidRPr="002E0159">
              <w:rPr>
                <w:rFonts w:ascii="宋体" w:hAnsi="宋体" w:cs="宋体" w:hint="eastAsia"/>
                <w:color w:val="000000"/>
                <w:kern w:val="0"/>
                <w:sz w:val="18"/>
                <w:szCs w:val="18"/>
              </w:rPr>
              <w:t>浙商银行</w:t>
            </w:r>
            <w:proofErr w:type="gramEnd"/>
            <w:r w:rsidRPr="002E0159">
              <w:rPr>
                <w:rFonts w:ascii="宋体" w:hAnsi="宋体" w:cs="宋体" w:hint="eastAsia"/>
                <w:color w:val="000000"/>
                <w:kern w:val="0"/>
                <w:sz w:val="18"/>
                <w:szCs w:val="18"/>
              </w:rPr>
              <w:t>苏州分行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cs="Calibri"/>
                <w:color w:val="000000"/>
                <w:kern w:val="0"/>
                <w:sz w:val="18"/>
                <w:szCs w:val="18"/>
              </w:rPr>
            </w:pPr>
            <w:r w:rsidRPr="002E0159">
              <w:rPr>
                <w:rFonts w:ascii="宋体" w:hAnsi="宋体" w:cs="Calibri"/>
                <w:color w:val="000000"/>
                <w:kern w:val="0"/>
                <w:sz w:val="18"/>
                <w:szCs w:val="18"/>
              </w:rPr>
              <w:t>3050020010120100249255</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4,400,000.00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银行承兑汇票保证金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000000" w:fill="DAEEF3"/>
            <w:noWrap/>
            <w:vAlign w:val="center"/>
            <w:hideMark/>
          </w:tcPr>
          <w:p w:rsidR="00DD05FC" w:rsidRPr="002E0159" w:rsidRDefault="00DD05FC" w:rsidP="00544E57">
            <w:pPr>
              <w:widowControl/>
              <w:jc w:val="center"/>
              <w:rPr>
                <w:rFonts w:ascii="宋体" w:hAnsi="宋体" w:cs="宋体"/>
                <w:b/>
                <w:bCs/>
                <w:color w:val="000000"/>
                <w:kern w:val="0"/>
                <w:sz w:val="18"/>
                <w:szCs w:val="18"/>
              </w:rPr>
            </w:pPr>
            <w:r w:rsidRPr="002E0159">
              <w:rPr>
                <w:rFonts w:ascii="宋体" w:hAnsi="宋体" w:cs="宋体" w:hint="eastAsia"/>
                <w:b/>
                <w:bCs/>
                <w:color w:val="000000"/>
                <w:kern w:val="0"/>
                <w:sz w:val="18"/>
                <w:szCs w:val="18"/>
              </w:rPr>
              <w:t>小计</w:t>
            </w:r>
          </w:p>
        </w:tc>
        <w:tc>
          <w:tcPr>
            <w:tcW w:w="3869"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left"/>
              <w:rPr>
                <w:rFonts w:ascii="宋体" w:hAnsi="宋体" w:cs="宋体"/>
                <w:b/>
                <w:bCs/>
                <w:color w:val="000000"/>
                <w:kern w:val="0"/>
                <w:sz w:val="18"/>
                <w:szCs w:val="18"/>
              </w:rPr>
            </w:pPr>
            <w:r w:rsidRPr="002E0159">
              <w:rPr>
                <w:rFonts w:ascii="宋体" w:hAnsi="宋体" w:cs="宋体" w:hint="eastAsia"/>
                <w:b/>
                <w:bCs/>
                <w:color w:val="000000"/>
                <w:kern w:val="0"/>
                <w:sz w:val="18"/>
                <w:szCs w:val="18"/>
              </w:rPr>
              <w:t xml:space="preserve">　</w:t>
            </w:r>
          </w:p>
        </w:tc>
        <w:tc>
          <w:tcPr>
            <w:tcW w:w="2368"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C81048">
            <w:pPr>
              <w:widowControl/>
              <w:jc w:val="right"/>
              <w:rPr>
                <w:rFonts w:ascii="宋体" w:hAnsi="宋体" w:cs="Calibri"/>
                <w:b/>
                <w:bCs/>
                <w:color w:val="000000"/>
                <w:kern w:val="0"/>
                <w:sz w:val="18"/>
                <w:szCs w:val="18"/>
              </w:rPr>
            </w:pPr>
            <w:r w:rsidRPr="002E0159">
              <w:rPr>
                <w:rFonts w:ascii="宋体" w:hAnsi="宋体" w:cs="Calibri"/>
                <w:b/>
                <w:bCs/>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center"/>
              <w:rPr>
                <w:rFonts w:ascii="宋体" w:hAnsi="宋体" w:cs="宋体"/>
                <w:b/>
                <w:bCs/>
                <w:color w:val="000000"/>
                <w:kern w:val="0"/>
                <w:sz w:val="18"/>
                <w:szCs w:val="18"/>
              </w:rPr>
            </w:pPr>
            <w:r w:rsidRPr="002E0159">
              <w:rPr>
                <w:rFonts w:ascii="宋体" w:hAnsi="宋体" w:cs="宋体" w:hint="eastAsia"/>
                <w:b/>
                <w:bCs/>
                <w:color w:val="000000"/>
                <w:kern w:val="0"/>
                <w:sz w:val="18"/>
                <w:szCs w:val="18"/>
              </w:rPr>
              <w:t>CNY</w:t>
            </w:r>
          </w:p>
        </w:tc>
        <w:tc>
          <w:tcPr>
            <w:tcW w:w="1984"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right"/>
              <w:rPr>
                <w:rFonts w:ascii="宋体" w:hAnsi="宋体" w:cs="宋体"/>
                <w:b/>
                <w:bCs/>
                <w:color w:val="000000"/>
                <w:kern w:val="0"/>
                <w:sz w:val="18"/>
                <w:szCs w:val="18"/>
              </w:rPr>
            </w:pPr>
            <w:r w:rsidRPr="002E0159">
              <w:rPr>
                <w:rFonts w:ascii="宋体" w:hAnsi="宋体" w:cs="宋体" w:hint="eastAsia"/>
                <w:b/>
                <w:bCs/>
                <w:color w:val="000000"/>
                <w:kern w:val="0"/>
                <w:sz w:val="18"/>
                <w:szCs w:val="18"/>
              </w:rPr>
              <w:t xml:space="preserve">  14,720,000.00 </w:t>
            </w:r>
          </w:p>
        </w:tc>
        <w:tc>
          <w:tcPr>
            <w:tcW w:w="2168"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center"/>
              <w:rPr>
                <w:rFonts w:ascii="宋体" w:hAnsi="宋体" w:cs="宋体"/>
                <w:b/>
                <w:bCs/>
                <w:color w:val="000000"/>
                <w:kern w:val="0"/>
                <w:sz w:val="18"/>
                <w:szCs w:val="18"/>
              </w:rPr>
            </w:pP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江苏吴中进出口有限公司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中国银行苏州吴中支行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493658193166</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8,000,000.00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信用证保证金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江苏吴中进出口有限公司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proofErr w:type="gramStart"/>
            <w:r w:rsidRPr="002E0159">
              <w:rPr>
                <w:rFonts w:ascii="宋体" w:hAnsi="宋体" w:cs="宋体" w:hint="eastAsia"/>
                <w:color w:val="000000"/>
                <w:kern w:val="0"/>
                <w:sz w:val="18"/>
                <w:szCs w:val="18"/>
              </w:rPr>
              <w:t>浙商银行</w:t>
            </w:r>
            <w:proofErr w:type="gramEnd"/>
            <w:r w:rsidRPr="002E0159">
              <w:rPr>
                <w:rFonts w:ascii="宋体" w:hAnsi="宋体" w:cs="宋体" w:hint="eastAsia"/>
                <w:color w:val="000000"/>
                <w:kern w:val="0"/>
                <w:sz w:val="18"/>
                <w:szCs w:val="18"/>
              </w:rPr>
              <w:t>苏州分行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3050020010120100249255</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18,110,000.00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信用证保证金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江苏吴中进出口有限公司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广发银行苏州分行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9550880211891800170</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8,400,000.00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信用证保证金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江苏吴中进出口有限公司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宁波银行苏州吴中支行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75080122000229259</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700,000.00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信用证保证金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江苏吴中进出口有限公司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中国银行苏州吴中支行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500158214871</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1,500,000.00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信用证保证金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000000" w:fill="DAEEF3"/>
            <w:noWrap/>
            <w:vAlign w:val="center"/>
            <w:hideMark/>
          </w:tcPr>
          <w:p w:rsidR="00DD05FC" w:rsidRPr="002E0159" w:rsidRDefault="00DD05FC" w:rsidP="00544E57">
            <w:pPr>
              <w:widowControl/>
              <w:jc w:val="center"/>
              <w:rPr>
                <w:rFonts w:ascii="宋体" w:hAnsi="宋体" w:cs="宋体"/>
                <w:b/>
                <w:bCs/>
                <w:color w:val="000000"/>
                <w:kern w:val="0"/>
                <w:sz w:val="18"/>
                <w:szCs w:val="18"/>
              </w:rPr>
            </w:pPr>
            <w:r w:rsidRPr="002E0159">
              <w:rPr>
                <w:rFonts w:ascii="宋体" w:hAnsi="宋体" w:cs="宋体" w:hint="eastAsia"/>
                <w:b/>
                <w:bCs/>
                <w:color w:val="000000"/>
                <w:kern w:val="0"/>
                <w:sz w:val="18"/>
                <w:szCs w:val="18"/>
              </w:rPr>
              <w:t>小计</w:t>
            </w:r>
          </w:p>
        </w:tc>
        <w:tc>
          <w:tcPr>
            <w:tcW w:w="3869"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 xml:space="preserve">　</w:t>
            </w:r>
          </w:p>
        </w:tc>
        <w:tc>
          <w:tcPr>
            <w:tcW w:w="2368"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center"/>
              <w:rPr>
                <w:rFonts w:ascii="宋体" w:hAnsi="宋体" w:cs="宋体"/>
                <w:b/>
                <w:bCs/>
                <w:color w:val="000000"/>
                <w:kern w:val="0"/>
                <w:sz w:val="18"/>
                <w:szCs w:val="18"/>
              </w:rPr>
            </w:pPr>
            <w:r w:rsidRPr="002E0159">
              <w:rPr>
                <w:rFonts w:ascii="宋体" w:hAnsi="宋体" w:cs="宋体" w:hint="eastAsia"/>
                <w:b/>
                <w:bCs/>
                <w:color w:val="000000"/>
                <w:kern w:val="0"/>
                <w:sz w:val="18"/>
                <w:szCs w:val="18"/>
              </w:rPr>
              <w:t>CNY</w:t>
            </w:r>
          </w:p>
        </w:tc>
        <w:tc>
          <w:tcPr>
            <w:tcW w:w="1984"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right"/>
              <w:rPr>
                <w:rFonts w:ascii="宋体" w:hAnsi="宋体" w:cs="宋体"/>
                <w:b/>
                <w:bCs/>
                <w:color w:val="000000"/>
                <w:kern w:val="0"/>
                <w:sz w:val="18"/>
                <w:szCs w:val="18"/>
              </w:rPr>
            </w:pPr>
            <w:r w:rsidRPr="002E0159">
              <w:rPr>
                <w:rFonts w:ascii="宋体" w:hAnsi="宋体" w:cs="宋体" w:hint="eastAsia"/>
                <w:b/>
                <w:bCs/>
                <w:color w:val="000000"/>
                <w:kern w:val="0"/>
                <w:sz w:val="18"/>
                <w:szCs w:val="18"/>
              </w:rPr>
              <w:t xml:space="preserve">  36,710,000.00 </w:t>
            </w:r>
          </w:p>
        </w:tc>
        <w:tc>
          <w:tcPr>
            <w:tcW w:w="2168"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center"/>
              <w:rPr>
                <w:rFonts w:ascii="宋体" w:hAnsi="宋体" w:cs="宋体"/>
                <w:color w:val="000000"/>
                <w:kern w:val="0"/>
                <w:sz w:val="18"/>
                <w:szCs w:val="18"/>
              </w:rPr>
            </w:pP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BA48EF">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江苏中吴置业有限公司</w:t>
            </w:r>
          </w:p>
        </w:tc>
        <w:tc>
          <w:tcPr>
            <w:tcW w:w="3869" w:type="dxa"/>
            <w:tcBorders>
              <w:top w:val="nil"/>
              <w:left w:val="nil"/>
              <w:bottom w:val="single" w:sz="4" w:space="0" w:color="auto"/>
              <w:right w:val="single" w:sz="4" w:space="0" w:color="auto"/>
            </w:tcBorders>
            <w:shd w:val="clear" w:color="auto" w:fill="auto"/>
            <w:noWrap/>
            <w:vAlign w:val="bottom"/>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中国建设银行股份有限公司苏州东苑支行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32201997593051512629</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32,439.43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BA48EF">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江苏中吴置业有限公司</w:t>
            </w:r>
          </w:p>
        </w:tc>
        <w:tc>
          <w:tcPr>
            <w:tcW w:w="3869" w:type="dxa"/>
            <w:tcBorders>
              <w:top w:val="nil"/>
              <w:left w:val="nil"/>
              <w:bottom w:val="single" w:sz="4" w:space="0" w:color="auto"/>
              <w:right w:val="single" w:sz="4" w:space="0" w:color="auto"/>
            </w:tcBorders>
            <w:shd w:val="clear" w:color="auto" w:fill="auto"/>
            <w:noWrap/>
            <w:vAlign w:val="bottom"/>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中国工商银行股份有限公司苏州高新技术产业开发区支行</w:t>
            </w:r>
          </w:p>
        </w:tc>
        <w:tc>
          <w:tcPr>
            <w:tcW w:w="2368" w:type="dxa"/>
            <w:tcBorders>
              <w:top w:val="nil"/>
              <w:left w:val="nil"/>
              <w:bottom w:val="single" w:sz="4" w:space="0" w:color="auto"/>
              <w:right w:val="single" w:sz="4" w:space="0" w:color="auto"/>
            </w:tcBorders>
            <w:shd w:val="clear" w:color="000000" w:fill="FFFFFF"/>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1102021141000050844</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000000" w:fill="FFFFFF"/>
            <w:noWrap/>
            <w:vAlign w:val="bottom"/>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4,211,000.00</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BA48EF">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江苏中吴置业有限公司</w:t>
            </w:r>
          </w:p>
        </w:tc>
        <w:tc>
          <w:tcPr>
            <w:tcW w:w="3869" w:type="dxa"/>
            <w:tcBorders>
              <w:top w:val="nil"/>
              <w:left w:val="nil"/>
              <w:bottom w:val="single" w:sz="4" w:space="0" w:color="auto"/>
              <w:right w:val="single" w:sz="4" w:space="0" w:color="auto"/>
            </w:tcBorders>
            <w:shd w:val="clear" w:color="auto" w:fill="auto"/>
            <w:noWrap/>
            <w:vAlign w:val="bottom"/>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中国光大银行股份有限公司苏州吴中支行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37060188000142052</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bottom"/>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150.12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BA48EF">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江苏中吴置业有限公司</w:t>
            </w:r>
          </w:p>
        </w:tc>
        <w:tc>
          <w:tcPr>
            <w:tcW w:w="3869" w:type="dxa"/>
            <w:tcBorders>
              <w:top w:val="nil"/>
              <w:left w:val="nil"/>
              <w:bottom w:val="single" w:sz="4" w:space="0" w:color="auto"/>
              <w:right w:val="single" w:sz="4" w:space="0" w:color="auto"/>
            </w:tcBorders>
            <w:shd w:val="clear" w:color="auto" w:fill="auto"/>
            <w:noWrap/>
            <w:vAlign w:val="bottom"/>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中国银行股份有限公司苏州浒墅关支行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543062529914</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bottom"/>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54,603.01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BA48EF">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江苏中吴置业有限公司</w:t>
            </w:r>
          </w:p>
        </w:tc>
        <w:tc>
          <w:tcPr>
            <w:tcW w:w="3869" w:type="dxa"/>
            <w:tcBorders>
              <w:top w:val="nil"/>
              <w:left w:val="nil"/>
              <w:bottom w:val="single" w:sz="4" w:space="0" w:color="auto"/>
              <w:right w:val="single" w:sz="4" w:space="0" w:color="auto"/>
            </w:tcBorders>
            <w:shd w:val="clear" w:color="auto" w:fill="auto"/>
            <w:noWrap/>
            <w:vAlign w:val="bottom"/>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中国民生银行股份有限公司苏州分行营业部</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691981251</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bottom"/>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28,747.46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宿迁</w:t>
            </w:r>
            <w:proofErr w:type="gramStart"/>
            <w:r w:rsidRPr="002E0159">
              <w:rPr>
                <w:rFonts w:ascii="宋体" w:hAnsi="宋体" w:cs="宋体" w:hint="eastAsia"/>
                <w:color w:val="000000"/>
                <w:kern w:val="0"/>
                <w:sz w:val="18"/>
                <w:szCs w:val="18"/>
              </w:rPr>
              <w:t>市苏宿置业</w:t>
            </w:r>
            <w:proofErr w:type="gramEnd"/>
            <w:r w:rsidRPr="002E0159">
              <w:rPr>
                <w:rFonts w:ascii="宋体" w:hAnsi="宋体" w:cs="宋体" w:hint="eastAsia"/>
                <w:color w:val="000000"/>
                <w:kern w:val="0"/>
                <w:sz w:val="18"/>
                <w:szCs w:val="18"/>
              </w:rPr>
              <w:t>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江苏银行股份有限公司宿迁分行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kern w:val="0"/>
                <w:sz w:val="18"/>
                <w:szCs w:val="18"/>
              </w:rPr>
            </w:pPr>
            <w:r w:rsidRPr="002E0159">
              <w:rPr>
                <w:rFonts w:ascii="宋体" w:hAnsi="宋体"/>
                <w:kern w:val="0"/>
                <w:sz w:val="18"/>
                <w:szCs w:val="18"/>
              </w:rPr>
              <w:t>15200188000088808</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27,600.00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宿迁</w:t>
            </w:r>
            <w:proofErr w:type="gramStart"/>
            <w:r w:rsidRPr="002E0159">
              <w:rPr>
                <w:rFonts w:ascii="宋体" w:hAnsi="宋体" w:cs="宋体" w:hint="eastAsia"/>
                <w:color w:val="000000"/>
                <w:kern w:val="0"/>
                <w:sz w:val="18"/>
                <w:szCs w:val="18"/>
              </w:rPr>
              <w:t>市苏宿置业</w:t>
            </w:r>
            <w:proofErr w:type="gramEnd"/>
            <w:r w:rsidRPr="002E0159">
              <w:rPr>
                <w:rFonts w:ascii="宋体" w:hAnsi="宋体" w:cs="宋体" w:hint="eastAsia"/>
                <w:color w:val="000000"/>
                <w:kern w:val="0"/>
                <w:sz w:val="18"/>
                <w:szCs w:val="18"/>
              </w:rPr>
              <w:t>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中国工商银行股份有限公司宿迁分行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kern w:val="0"/>
                <w:sz w:val="18"/>
                <w:szCs w:val="18"/>
              </w:rPr>
            </w:pPr>
            <w:r w:rsidRPr="002E0159">
              <w:rPr>
                <w:rFonts w:ascii="宋体" w:hAnsi="宋体"/>
                <w:kern w:val="0"/>
                <w:sz w:val="18"/>
                <w:szCs w:val="18"/>
              </w:rPr>
              <w:t>1116020041000007204</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154,135.56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宿迁</w:t>
            </w:r>
            <w:proofErr w:type="gramStart"/>
            <w:r w:rsidRPr="002E0159">
              <w:rPr>
                <w:rFonts w:ascii="宋体" w:hAnsi="宋体" w:cs="宋体" w:hint="eastAsia"/>
                <w:color w:val="000000"/>
                <w:kern w:val="0"/>
                <w:sz w:val="18"/>
                <w:szCs w:val="18"/>
              </w:rPr>
              <w:t>市苏宿置业</w:t>
            </w:r>
            <w:proofErr w:type="gramEnd"/>
            <w:r w:rsidRPr="002E0159">
              <w:rPr>
                <w:rFonts w:ascii="宋体" w:hAnsi="宋体" w:cs="宋体" w:hint="eastAsia"/>
                <w:color w:val="000000"/>
                <w:kern w:val="0"/>
                <w:sz w:val="18"/>
                <w:szCs w:val="18"/>
              </w:rPr>
              <w:t>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中国银行股份有限公司宿迁宿城新区支行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kern w:val="0"/>
                <w:sz w:val="18"/>
                <w:szCs w:val="18"/>
              </w:rPr>
            </w:pPr>
            <w:r w:rsidRPr="002E0159">
              <w:rPr>
                <w:rFonts w:ascii="宋体" w:hAnsi="宋体"/>
                <w:kern w:val="0"/>
                <w:sz w:val="18"/>
                <w:szCs w:val="18"/>
              </w:rPr>
              <w:t>476760683682</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34,599.04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宿迁</w:t>
            </w:r>
            <w:proofErr w:type="gramStart"/>
            <w:r w:rsidRPr="002E0159">
              <w:rPr>
                <w:rFonts w:ascii="宋体" w:hAnsi="宋体" w:cs="宋体" w:hint="eastAsia"/>
                <w:color w:val="000000"/>
                <w:kern w:val="0"/>
                <w:sz w:val="18"/>
                <w:szCs w:val="18"/>
              </w:rPr>
              <w:t>市苏宿置业</w:t>
            </w:r>
            <w:proofErr w:type="gramEnd"/>
            <w:r w:rsidRPr="002E0159">
              <w:rPr>
                <w:rFonts w:ascii="宋体" w:hAnsi="宋体" w:cs="宋体" w:hint="eastAsia"/>
                <w:color w:val="000000"/>
                <w:kern w:val="0"/>
                <w:sz w:val="18"/>
                <w:szCs w:val="18"/>
              </w:rPr>
              <w:t>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江苏银行股份有限公司宿迁宿城支行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kern w:val="0"/>
                <w:sz w:val="18"/>
                <w:szCs w:val="18"/>
              </w:rPr>
            </w:pPr>
            <w:r w:rsidRPr="002E0159">
              <w:rPr>
                <w:rFonts w:ascii="宋体" w:hAnsi="宋体"/>
                <w:kern w:val="0"/>
                <w:sz w:val="18"/>
                <w:szCs w:val="18"/>
              </w:rPr>
              <w:t>15270188000027725</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218,220.00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宿迁</w:t>
            </w:r>
            <w:proofErr w:type="gramStart"/>
            <w:r w:rsidRPr="002E0159">
              <w:rPr>
                <w:rFonts w:ascii="宋体" w:hAnsi="宋体" w:cs="宋体" w:hint="eastAsia"/>
                <w:color w:val="000000"/>
                <w:kern w:val="0"/>
                <w:sz w:val="18"/>
                <w:szCs w:val="18"/>
              </w:rPr>
              <w:t>市苏宿置业</w:t>
            </w:r>
            <w:proofErr w:type="gramEnd"/>
            <w:r w:rsidRPr="002E0159">
              <w:rPr>
                <w:rFonts w:ascii="宋体" w:hAnsi="宋体" w:cs="宋体" w:hint="eastAsia"/>
                <w:color w:val="000000"/>
                <w:kern w:val="0"/>
                <w:sz w:val="18"/>
                <w:szCs w:val="18"/>
              </w:rPr>
              <w:t>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中国银行股份有限公司宿迁宿城新区支行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kern w:val="0"/>
                <w:sz w:val="18"/>
                <w:szCs w:val="18"/>
              </w:rPr>
            </w:pPr>
            <w:r w:rsidRPr="002E0159">
              <w:rPr>
                <w:rFonts w:ascii="宋体" w:hAnsi="宋体"/>
                <w:kern w:val="0"/>
                <w:sz w:val="18"/>
                <w:szCs w:val="18"/>
              </w:rPr>
              <w:t>527461167483</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2,110.25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宿迁</w:t>
            </w:r>
            <w:proofErr w:type="gramStart"/>
            <w:r w:rsidRPr="002E0159">
              <w:rPr>
                <w:rFonts w:ascii="宋体" w:hAnsi="宋体" w:cs="宋体" w:hint="eastAsia"/>
                <w:color w:val="000000"/>
                <w:kern w:val="0"/>
                <w:sz w:val="18"/>
                <w:szCs w:val="18"/>
              </w:rPr>
              <w:t>市苏宿置业</w:t>
            </w:r>
            <w:proofErr w:type="gramEnd"/>
            <w:r w:rsidRPr="002E0159">
              <w:rPr>
                <w:rFonts w:ascii="宋体" w:hAnsi="宋体" w:cs="宋体" w:hint="eastAsia"/>
                <w:color w:val="000000"/>
                <w:kern w:val="0"/>
                <w:sz w:val="18"/>
                <w:szCs w:val="18"/>
              </w:rPr>
              <w:t>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中国农业银行股份有限公司宿迁分行</w:t>
            </w:r>
          </w:p>
        </w:tc>
        <w:tc>
          <w:tcPr>
            <w:tcW w:w="2368" w:type="dxa"/>
            <w:tcBorders>
              <w:top w:val="nil"/>
              <w:left w:val="nil"/>
              <w:bottom w:val="nil"/>
              <w:right w:val="nil"/>
            </w:tcBorders>
            <w:shd w:val="clear" w:color="auto" w:fill="auto"/>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10460662700000039</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4,242,189.04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宿迁</w:t>
            </w:r>
            <w:proofErr w:type="gramStart"/>
            <w:r w:rsidRPr="002E0159">
              <w:rPr>
                <w:rFonts w:ascii="宋体" w:hAnsi="宋体" w:cs="宋体" w:hint="eastAsia"/>
                <w:color w:val="000000"/>
                <w:kern w:val="0"/>
                <w:sz w:val="18"/>
                <w:szCs w:val="18"/>
              </w:rPr>
              <w:t>市苏宿置业</w:t>
            </w:r>
            <w:proofErr w:type="gramEnd"/>
            <w:r w:rsidRPr="002E0159">
              <w:rPr>
                <w:rFonts w:ascii="宋体" w:hAnsi="宋体" w:cs="宋体" w:hint="eastAsia"/>
                <w:color w:val="000000"/>
                <w:kern w:val="0"/>
                <w:sz w:val="18"/>
                <w:szCs w:val="18"/>
              </w:rPr>
              <w:t>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中国银行股份有限公司宿迁宿城支行</w:t>
            </w:r>
          </w:p>
        </w:tc>
        <w:tc>
          <w:tcPr>
            <w:tcW w:w="2368" w:type="dxa"/>
            <w:tcBorders>
              <w:top w:val="single" w:sz="4" w:space="0" w:color="auto"/>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kern w:val="0"/>
                <w:sz w:val="18"/>
                <w:szCs w:val="18"/>
              </w:rPr>
            </w:pPr>
            <w:r w:rsidRPr="002E0159">
              <w:rPr>
                <w:rFonts w:ascii="宋体" w:hAnsi="宋体"/>
                <w:kern w:val="0"/>
                <w:sz w:val="18"/>
                <w:szCs w:val="18"/>
              </w:rPr>
              <w:t>537866055491</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120.79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宿迁</w:t>
            </w:r>
            <w:proofErr w:type="gramStart"/>
            <w:r w:rsidRPr="002E0159">
              <w:rPr>
                <w:rFonts w:ascii="宋体" w:hAnsi="宋体" w:cs="宋体" w:hint="eastAsia"/>
                <w:color w:val="000000"/>
                <w:kern w:val="0"/>
                <w:sz w:val="18"/>
                <w:szCs w:val="18"/>
              </w:rPr>
              <w:t>市苏宿置业</w:t>
            </w:r>
            <w:proofErr w:type="gramEnd"/>
            <w:r w:rsidRPr="002E0159">
              <w:rPr>
                <w:rFonts w:ascii="宋体" w:hAnsi="宋体" w:cs="宋体" w:hint="eastAsia"/>
                <w:color w:val="000000"/>
                <w:kern w:val="0"/>
                <w:sz w:val="18"/>
                <w:szCs w:val="18"/>
              </w:rPr>
              <w:t>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江苏民丰农村商业银行股份有限公司宿城支行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kern w:val="0"/>
                <w:sz w:val="18"/>
                <w:szCs w:val="18"/>
              </w:rPr>
            </w:pPr>
            <w:r w:rsidRPr="002E0159">
              <w:rPr>
                <w:rFonts w:ascii="宋体" w:hAnsi="宋体"/>
                <w:kern w:val="0"/>
                <w:sz w:val="18"/>
                <w:szCs w:val="18"/>
              </w:rPr>
              <w:t>3213020331010000260264</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24,450.11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宿迁</w:t>
            </w:r>
            <w:proofErr w:type="gramStart"/>
            <w:r w:rsidRPr="002E0159">
              <w:rPr>
                <w:rFonts w:ascii="宋体" w:hAnsi="宋体" w:cs="宋体" w:hint="eastAsia"/>
                <w:color w:val="000000"/>
                <w:kern w:val="0"/>
                <w:sz w:val="18"/>
                <w:szCs w:val="18"/>
              </w:rPr>
              <w:t>市苏宿置业</w:t>
            </w:r>
            <w:proofErr w:type="gramEnd"/>
            <w:r w:rsidRPr="002E0159">
              <w:rPr>
                <w:rFonts w:ascii="宋体" w:hAnsi="宋体" w:cs="宋体" w:hint="eastAsia"/>
                <w:color w:val="000000"/>
                <w:kern w:val="0"/>
                <w:sz w:val="18"/>
                <w:szCs w:val="18"/>
              </w:rPr>
              <w:t>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江苏民丰农村商业银行股份有限公司宿城支行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kern w:val="0"/>
                <w:sz w:val="18"/>
                <w:szCs w:val="18"/>
              </w:rPr>
            </w:pPr>
            <w:r w:rsidRPr="002E0159">
              <w:rPr>
                <w:rFonts w:ascii="宋体" w:hAnsi="宋体"/>
                <w:kern w:val="0"/>
                <w:sz w:val="18"/>
                <w:szCs w:val="18"/>
              </w:rPr>
              <w:t>3213020331010000260273</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218,680.02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2E0159" w:rsidTr="00BA48EF">
        <w:trPr>
          <w:trHeight w:val="270"/>
        </w:trPr>
        <w:tc>
          <w:tcPr>
            <w:tcW w:w="2515"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lastRenderedPageBreak/>
              <w:t>开出单位</w:t>
            </w:r>
          </w:p>
        </w:tc>
        <w:tc>
          <w:tcPr>
            <w:tcW w:w="3869" w:type="dxa"/>
            <w:tcBorders>
              <w:top w:val="single" w:sz="4" w:space="0" w:color="auto"/>
              <w:left w:val="nil"/>
              <w:bottom w:val="single" w:sz="4" w:space="0" w:color="auto"/>
              <w:right w:val="single" w:sz="4" w:space="0" w:color="auto"/>
            </w:tcBorders>
            <w:shd w:val="clear" w:color="000000" w:fill="B7DEE8"/>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开户银行</w:t>
            </w:r>
          </w:p>
        </w:tc>
        <w:tc>
          <w:tcPr>
            <w:tcW w:w="2368" w:type="dxa"/>
            <w:tcBorders>
              <w:top w:val="single" w:sz="4" w:space="0" w:color="auto"/>
              <w:left w:val="nil"/>
              <w:bottom w:val="single" w:sz="4" w:space="0" w:color="auto"/>
              <w:right w:val="single" w:sz="4" w:space="0" w:color="auto"/>
            </w:tcBorders>
            <w:shd w:val="clear" w:color="000000" w:fill="B7DEE8"/>
            <w:noWrap/>
            <w:vAlign w:val="center"/>
            <w:hideMark/>
          </w:tcPr>
          <w:p w:rsidR="00DD05FC" w:rsidRPr="002E0159" w:rsidRDefault="00DD05FC" w:rsidP="00BA48EF">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银行账号</w:t>
            </w:r>
          </w:p>
        </w:tc>
        <w:tc>
          <w:tcPr>
            <w:tcW w:w="851" w:type="dxa"/>
            <w:tcBorders>
              <w:top w:val="single" w:sz="4" w:space="0" w:color="auto"/>
              <w:left w:val="nil"/>
              <w:bottom w:val="single" w:sz="4" w:space="0" w:color="auto"/>
              <w:right w:val="single" w:sz="4" w:space="0" w:color="auto"/>
            </w:tcBorders>
            <w:shd w:val="clear" w:color="000000" w:fill="B7DEE8"/>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币种</w:t>
            </w:r>
          </w:p>
        </w:tc>
        <w:tc>
          <w:tcPr>
            <w:tcW w:w="1984" w:type="dxa"/>
            <w:tcBorders>
              <w:top w:val="single" w:sz="4" w:space="0" w:color="auto"/>
              <w:left w:val="nil"/>
              <w:bottom w:val="single" w:sz="4" w:space="0" w:color="auto"/>
              <w:right w:val="single" w:sz="4" w:space="0" w:color="auto"/>
            </w:tcBorders>
            <w:shd w:val="clear" w:color="000000" w:fill="B7DEE8"/>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期末余额</w:t>
            </w:r>
          </w:p>
        </w:tc>
        <w:tc>
          <w:tcPr>
            <w:tcW w:w="2168" w:type="dxa"/>
            <w:tcBorders>
              <w:top w:val="single" w:sz="4" w:space="0" w:color="auto"/>
              <w:left w:val="nil"/>
              <w:bottom w:val="single" w:sz="4" w:space="0" w:color="auto"/>
              <w:right w:val="single" w:sz="4" w:space="0" w:color="auto"/>
            </w:tcBorders>
            <w:shd w:val="clear" w:color="000000" w:fill="B7DEE8"/>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受限情况</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宿迁</w:t>
            </w:r>
            <w:proofErr w:type="gramStart"/>
            <w:r w:rsidRPr="002E0159">
              <w:rPr>
                <w:rFonts w:ascii="宋体" w:hAnsi="宋体" w:cs="宋体" w:hint="eastAsia"/>
                <w:color w:val="000000"/>
                <w:kern w:val="0"/>
                <w:sz w:val="18"/>
                <w:szCs w:val="18"/>
              </w:rPr>
              <w:t>市苏宿置业</w:t>
            </w:r>
            <w:proofErr w:type="gramEnd"/>
            <w:r w:rsidRPr="002E0159">
              <w:rPr>
                <w:rFonts w:ascii="宋体" w:hAnsi="宋体" w:cs="宋体" w:hint="eastAsia"/>
                <w:color w:val="000000"/>
                <w:kern w:val="0"/>
                <w:sz w:val="18"/>
                <w:szCs w:val="18"/>
              </w:rPr>
              <w:t>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交通银行股份有限公司宿迁分行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kern w:val="0"/>
                <w:sz w:val="18"/>
                <w:szCs w:val="18"/>
              </w:rPr>
            </w:pPr>
            <w:r w:rsidRPr="002E0159">
              <w:rPr>
                <w:rFonts w:ascii="宋体" w:hAnsi="宋体"/>
                <w:kern w:val="0"/>
                <w:sz w:val="18"/>
                <w:szCs w:val="18"/>
              </w:rPr>
              <w:t>398899999700003001415</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65,336.15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宿迁</w:t>
            </w:r>
            <w:proofErr w:type="gramStart"/>
            <w:r w:rsidRPr="002E0159">
              <w:rPr>
                <w:rFonts w:ascii="宋体" w:hAnsi="宋体" w:cs="宋体" w:hint="eastAsia"/>
                <w:color w:val="000000"/>
                <w:kern w:val="0"/>
                <w:sz w:val="18"/>
                <w:szCs w:val="18"/>
              </w:rPr>
              <w:t>市苏宿置业</w:t>
            </w:r>
            <w:proofErr w:type="gramEnd"/>
            <w:r w:rsidRPr="002E0159">
              <w:rPr>
                <w:rFonts w:ascii="宋体" w:hAnsi="宋体" w:cs="宋体" w:hint="eastAsia"/>
                <w:color w:val="000000"/>
                <w:kern w:val="0"/>
                <w:sz w:val="18"/>
                <w:szCs w:val="18"/>
              </w:rPr>
              <w:t>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中国银行股份有限公司宿迁城中支行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kern w:val="0"/>
                <w:sz w:val="18"/>
                <w:szCs w:val="18"/>
              </w:rPr>
            </w:pPr>
            <w:r w:rsidRPr="002E0159">
              <w:rPr>
                <w:rFonts w:ascii="宋体" w:hAnsi="宋体"/>
                <w:kern w:val="0"/>
                <w:sz w:val="18"/>
                <w:szCs w:val="18"/>
              </w:rPr>
              <w:t>5187255666</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646,091.31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宿迁</w:t>
            </w:r>
            <w:proofErr w:type="gramStart"/>
            <w:r w:rsidRPr="002E0159">
              <w:rPr>
                <w:rFonts w:ascii="宋体" w:hAnsi="宋体" w:cs="宋体" w:hint="eastAsia"/>
                <w:color w:val="000000"/>
                <w:kern w:val="0"/>
                <w:sz w:val="18"/>
                <w:szCs w:val="18"/>
              </w:rPr>
              <w:t>市苏宿置业</w:t>
            </w:r>
            <w:proofErr w:type="gramEnd"/>
            <w:r w:rsidRPr="002E0159">
              <w:rPr>
                <w:rFonts w:ascii="宋体" w:hAnsi="宋体" w:cs="宋体" w:hint="eastAsia"/>
                <w:color w:val="000000"/>
                <w:kern w:val="0"/>
                <w:sz w:val="18"/>
                <w:szCs w:val="18"/>
              </w:rPr>
              <w:t>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中国邮政储蓄银行宿迁市洪泽湖路支行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kern w:val="0"/>
                <w:sz w:val="18"/>
                <w:szCs w:val="18"/>
              </w:rPr>
            </w:pPr>
            <w:r w:rsidRPr="002E0159">
              <w:rPr>
                <w:rFonts w:ascii="宋体" w:hAnsi="宋体"/>
                <w:kern w:val="0"/>
                <w:sz w:val="18"/>
                <w:szCs w:val="18"/>
              </w:rPr>
              <w:t>932008031000001115</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5,550,000.00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银行按揭保证金</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000000" w:fill="DAEEF3"/>
            <w:noWrap/>
            <w:vAlign w:val="center"/>
            <w:hideMark/>
          </w:tcPr>
          <w:p w:rsidR="00DD05FC" w:rsidRPr="002E0159" w:rsidRDefault="00DD05FC" w:rsidP="00544E57">
            <w:pPr>
              <w:widowControl/>
              <w:jc w:val="center"/>
              <w:rPr>
                <w:rFonts w:ascii="宋体" w:hAnsi="宋体" w:cs="宋体"/>
                <w:b/>
                <w:bCs/>
                <w:color w:val="000000"/>
                <w:kern w:val="0"/>
                <w:sz w:val="18"/>
                <w:szCs w:val="18"/>
              </w:rPr>
            </w:pPr>
            <w:r w:rsidRPr="002E0159">
              <w:rPr>
                <w:rFonts w:ascii="宋体" w:hAnsi="宋体" w:cs="宋体" w:hint="eastAsia"/>
                <w:b/>
                <w:bCs/>
                <w:color w:val="000000"/>
                <w:kern w:val="0"/>
                <w:sz w:val="18"/>
                <w:szCs w:val="18"/>
              </w:rPr>
              <w:t>小计</w:t>
            </w:r>
          </w:p>
        </w:tc>
        <w:tc>
          <w:tcPr>
            <w:tcW w:w="3869"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left"/>
              <w:rPr>
                <w:rFonts w:ascii="宋体" w:hAnsi="宋体" w:cs="宋体"/>
                <w:b/>
                <w:bCs/>
                <w:color w:val="000000"/>
                <w:kern w:val="0"/>
                <w:sz w:val="18"/>
                <w:szCs w:val="18"/>
              </w:rPr>
            </w:pPr>
            <w:r w:rsidRPr="002E0159">
              <w:rPr>
                <w:rFonts w:ascii="宋体" w:hAnsi="宋体" w:cs="宋体" w:hint="eastAsia"/>
                <w:b/>
                <w:bCs/>
                <w:color w:val="000000"/>
                <w:kern w:val="0"/>
                <w:sz w:val="18"/>
                <w:szCs w:val="18"/>
              </w:rPr>
              <w:t xml:space="preserve">　</w:t>
            </w:r>
          </w:p>
        </w:tc>
        <w:tc>
          <w:tcPr>
            <w:tcW w:w="2368"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C81048">
            <w:pPr>
              <w:widowControl/>
              <w:jc w:val="right"/>
              <w:rPr>
                <w:rFonts w:ascii="宋体" w:hAnsi="宋体"/>
                <w:b/>
                <w:bCs/>
                <w:kern w:val="0"/>
                <w:sz w:val="18"/>
                <w:szCs w:val="18"/>
              </w:rPr>
            </w:pPr>
            <w:r w:rsidRPr="002E0159">
              <w:rPr>
                <w:rFonts w:ascii="宋体" w:hAnsi="宋体"/>
                <w:b/>
                <w:bCs/>
                <w:kern w:val="0"/>
                <w:sz w:val="18"/>
                <w:szCs w:val="18"/>
              </w:rPr>
              <w:t xml:space="preserve">　</w:t>
            </w:r>
          </w:p>
        </w:tc>
        <w:tc>
          <w:tcPr>
            <w:tcW w:w="851"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center"/>
              <w:rPr>
                <w:rFonts w:ascii="宋体" w:hAnsi="宋体" w:cs="宋体"/>
                <w:b/>
                <w:bCs/>
                <w:color w:val="000000"/>
                <w:kern w:val="0"/>
                <w:sz w:val="18"/>
                <w:szCs w:val="18"/>
              </w:rPr>
            </w:pPr>
            <w:r w:rsidRPr="002E0159">
              <w:rPr>
                <w:rFonts w:ascii="宋体" w:hAnsi="宋体" w:cs="宋体" w:hint="eastAsia"/>
                <w:b/>
                <w:bCs/>
                <w:color w:val="000000"/>
                <w:kern w:val="0"/>
                <w:sz w:val="18"/>
                <w:szCs w:val="18"/>
              </w:rPr>
              <w:t>CNY</w:t>
            </w:r>
          </w:p>
        </w:tc>
        <w:tc>
          <w:tcPr>
            <w:tcW w:w="1984"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right"/>
              <w:rPr>
                <w:rFonts w:ascii="宋体" w:hAnsi="宋体" w:cs="宋体"/>
                <w:b/>
                <w:bCs/>
                <w:color w:val="000000"/>
                <w:kern w:val="0"/>
                <w:sz w:val="18"/>
                <w:szCs w:val="18"/>
              </w:rPr>
            </w:pPr>
            <w:r w:rsidRPr="002E0159">
              <w:rPr>
                <w:rFonts w:ascii="宋体" w:hAnsi="宋体" w:cs="宋体" w:hint="eastAsia"/>
                <w:b/>
                <w:bCs/>
                <w:color w:val="000000"/>
                <w:kern w:val="0"/>
                <w:sz w:val="18"/>
                <w:szCs w:val="18"/>
              </w:rPr>
              <w:t xml:space="preserve">  15,510,472.29 </w:t>
            </w:r>
          </w:p>
        </w:tc>
        <w:tc>
          <w:tcPr>
            <w:tcW w:w="2168"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center"/>
              <w:rPr>
                <w:rFonts w:ascii="宋体" w:hAnsi="宋体" w:cs="宋体"/>
                <w:b/>
                <w:bCs/>
                <w:color w:val="000000"/>
                <w:kern w:val="0"/>
                <w:sz w:val="18"/>
                <w:szCs w:val="18"/>
              </w:rPr>
            </w:pP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江苏吴中进出口有限公司</w:t>
            </w:r>
          </w:p>
        </w:tc>
        <w:tc>
          <w:tcPr>
            <w:tcW w:w="3869"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张家港农村商业银行</w:t>
            </w:r>
          </w:p>
        </w:tc>
        <w:tc>
          <w:tcPr>
            <w:tcW w:w="23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C81048">
            <w:pPr>
              <w:widowControl/>
              <w:jc w:val="right"/>
              <w:rPr>
                <w:rFonts w:ascii="宋体" w:hAnsi="宋体" w:cs="Calibri"/>
                <w:color w:val="000000"/>
                <w:kern w:val="0"/>
                <w:sz w:val="18"/>
                <w:szCs w:val="18"/>
              </w:rPr>
            </w:pPr>
            <w:r w:rsidRPr="002E0159">
              <w:rPr>
                <w:rFonts w:ascii="宋体" w:hAnsi="宋体" w:cs="Calibri"/>
                <w:color w:val="000000"/>
                <w:kern w:val="0"/>
                <w:sz w:val="18"/>
                <w:szCs w:val="18"/>
              </w:rPr>
              <w:t>802000067321788</w:t>
            </w:r>
          </w:p>
        </w:tc>
        <w:tc>
          <w:tcPr>
            <w:tcW w:w="851"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CNY</w:t>
            </w:r>
          </w:p>
        </w:tc>
        <w:tc>
          <w:tcPr>
            <w:tcW w:w="1984"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30,000,000.00 </w:t>
            </w:r>
          </w:p>
        </w:tc>
        <w:tc>
          <w:tcPr>
            <w:tcW w:w="2168" w:type="dxa"/>
            <w:tcBorders>
              <w:top w:val="nil"/>
              <w:left w:val="nil"/>
              <w:bottom w:val="single" w:sz="4" w:space="0" w:color="auto"/>
              <w:right w:val="single" w:sz="4" w:space="0" w:color="auto"/>
            </w:tcBorders>
            <w:shd w:val="clear" w:color="auto" w:fill="auto"/>
            <w:noWrap/>
            <w:vAlign w:val="center"/>
            <w:hideMark/>
          </w:tcPr>
          <w:p w:rsidR="00DD05FC" w:rsidRPr="002E0159" w:rsidRDefault="00DD05FC" w:rsidP="00544E57">
            <w:pPr>
              <w:widowControl/>
              <w:jc w:val="center"/>
              <w:rPr>
                <w:rFonts w:ascii="宋体" w:hAnsi="宋体" w:cs="宋体"/>
                <w:color w:val="000000"/>
                <w:kern w:val="0"/>
                <w:sz w:val="18"/>
                <w:szCs w:val="18"/>
              </w:rPr>
            </w:pPr>
            <w:r w:rsidRPr="002E0159">
              <w:rPr>
                <w:rFonts w:ascii="宋体" w:hAnsi="宋体" w:cs="宋体" w:hint="eastAsia"/>
                <w:color w:val="000000"/>
                <w:kern w:val="0"/>
                <w:sz w:val="18"/>
                <w:szCs w:val="18"/>
              </w:rPr>
              <w:t>定期存单</w:t>
            </w: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000000" w:fill="DAEEF3"/>
            <w:noWrap/>
            <w:vAlign w:val="center"/>
            <w:hideMark/>
          </w:tcPr>
          <w:p w:rsidR="00DD05FC" w:rsidRPr="002E0159" w:rsidRDefault="00DD05FC" w:rsidP="00544E57">
            <w:pPr>
              <w:widowControl/>
              <w:jc w:val="center"/>
              <w:rPr>
                <w:rFonts w:ascii="宋体" w:hAnsi="宋体" w:cs="宋体"/>
                <w:b/>
                <w:bCs/>
                <w:color w:val="000000"/>
                <w:kern w:val="0"/>
                <w:sz w:val="18"/>
                <w:szCs w:val="18"/>
              </w:rPr>
            </w:pPr>
            <w:r w:rsidRPr="002E0159">
              <w:rPr>
                <w:rFonts w:ascii="宋体" w:hAnsi="宋体" w:cs="宋体" w:hint="eastAsia"/>
                <w:b/>
                <w:bCs/>
                <w:color w:val="000000"/>
                <w:kern w:val="0"/>
                <w:sz w:val="18"/>
                <w:szCs w:val="18"/>
              </w:rPr>
              <w:t>小计</w:t>
            </w:r>
          </w:p>
        </w:tc>
        <w:tc>
          <w:tcPr>
            <w:tcW w:w="3869"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left"/>
              <w:rPr>
                <w:rFonts w:ascii="宋体" w:hAnsi="宋体" w:cs="宋体"/>
                <w:color w:val="000000"/>
                <w:kern w:val="0"/>
                <w:sz w:val="18"/>
                <w:szCs w:val="18"/>
              </w:rPr>
            </w:pPr>
            <w:r w:rsidRPr="002E0159">
              <w:rPr>
                <w:rFonts w:ascii="宋体" w:hAnsi="宋体" w:cs="宋体" w:hint="eastAsia"/>
                <w:color w:val="000000"/>
                <w:kern w:val="0"/>
                <w:sz w:val="18"/>
                <w:szCs w:val="18"/>
              </w:rPr>
              <w:t xml:space="preserve">　</w:t>
            </w:r>
          </w:p>
        </w:tc>
        <w:tc>
          <w:tcPr>
            <w:tcW w:w="2368"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C81048">
            <w:pPr>
              <w:widowControl/>
              <w:jc w:val="right"/>
              <w:rPr>
                <w:rFonts w:ascii="宋体" w:hAnsi="宋体" w:cs="宋体"/>
                <w:color w:val="000000"/>
                <w:kern w:val="0"/>
                <w:sz w:val="18"/>
                <w:szCs w:val="18"/>
              </w:rPr>
            </w:pPr>
            <w:r w:rsidRPr="002E015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center"/>
              <w:rPr>
                <w:rFonts w:ascii="宋体" w:hAnsi="宋体" w:cs="宋体"/>
                <w:b/>
                <w:bCs/>
                <w:color w:val="000000"/>
                <w:kern w:val="0"/>
                <w:sz w:val="18"/>
                <w:szCs w:val="18"/>
              </w:rPr>
            </w:pPr>
            <w:r w:rsidRPr="002E0159">
              <w:rPr>
                <w:rFonts w:ascii="宋体" w:hAnsi="宋体" w:cs="宋体" w:hint="eastAsia"/>
                <w:b/>
                <w:bCs/>
                <w:color w:val="000000"/>
                <w:kern w:val="0"/>
                <w:sz w:val="18"/>
                <w:szCs w:val="18"/>
              </w:rPr>
              <w:t>CNY</w:t>
            </w:r>
          </w:p>
        </w:tc>
        <w:tc>
          <w:tcPr>
            <w:tcW w:w="1984"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right"/>
              <w:rPr>
                <w:rFonts w:ascii="宋体" w:hAnsi="宋体" w:cs="宋体"/>
                <w:b/>
                <w:bCs/>
                <w:color w:val="000000"/>
                <w:kern w:val="0"/>
                <w:sz w:val="18"/>
                <w:szCs w:val="18"/>
              </w:rPr>
            </w:pPr>
            <w:r w:rsidRPr="002E0159">
              <w:rPr>
                <w:rFonts w:ascii="宋体" w:hAnsi="宋体" w:cs="宋体" w:hint="eastAsia"/>
                <w:b/>
                <w:bCs/>
                <w:color w:val="000000"/>
                <w:kern w:val="0"/>
                <w:sz w:val="18"/>
                <w:szCs w:val="18"/>
              </w:rPr>
              <w:t xml:space="preserve">  30,000,000.00 </w:t>
            </w:r>
          </w:p>
        </w:tc>
        <w:tc>
          <w:tcPr>
            <w:tcW w:w="2168" w:type="dxa"/>
            <w:tcBorders>
              <w:top w:val="nil"/>
              <w:left w:val="nil"/>
              <w:bottom w:val="single" w:sz="4" w:space="0" w:color="auto"/>
              <w:right w:val="single" w:sz="4" w:space="0" w:color="auto"/>
            </w:tcBorders>
            <w:shd w:val="clear" w:color="000000" w:fill="DAEEF3"/>
            <w:noWrap/>
            <w:vAlign w:val="center"/>
            <w:hideMark/>
          </w:tcPr>
          <w:p w:rsidR="00DD05FC" w:rsidRPr="002E0159" w:rsidRDefault="00DD05FC" w:rsidP="00544E57">
            <w:pPr>
              <w:widowControl/>
              <w:jc w:val="center"/>
              <w:rPr>
                <w:rFonts w:ascii="宋体" w:hAnsi="宋体" w:cs="宋体"/>
                <w:color w:val="000000"/>
                <w:kern w:val="0"/>
                <w:sz w:val="18"/>
                <w:szCs w:val="18"/>
              </w:rPr>
            </w:pPr>
          </w:p>
        </w:tc>
      </w:tr>
      <w:tr w:rsidR="00DD05FC" w:rsidRPr="007B379A" w:rsidTr="00BA48EF">
        <w:trPr>
          <w:trHeight w:val="270"/>
        </w:trPr>
        <w:tc>
          <w:tcPr>
            <w:tcW w:w="2515" w:type="dxa"/>
            <w:tcBorders>
              <w:top w:val="nil"/>
              <w:left w:val="single" w:sz="4" w:space="0" w:color="auto"/>
              <w:bottom w:val="single" w:sz="4" w:space="0" w:color="auto"/>
              <w:right w:val="single" w:sz="4" w:space="0" w:color="auto"/>
            </w:tcBorders>
            <w:shd w:val="clear" w:color="000000" w:fill="B7DEE8"/>
            <w:noWrap/>
            <w:vAlign w:val="center"/>
            <w:hideMark/>
          </w:tcPr>
          <w:p w:rsidR="00DD05FC" w:rsidRPr="002E0159" w:rsidRDefault="00DD05FC" w:rsidP="00544E57">
            <w:pPr>
              <w:widowControl/>
              <w:jc w:val="center"/>
              <w:rPr>
                <w:rFonts w:ascii="宋体" w:hAnsi="宋体" w:cs="宋体"/>
                <w:b/>
                <w:bCs/>
                <w:color w:val="000000"/>
                <w:kern w:val="0"/>
                <w:sz w:val="18"/>
                <w:szCs w:val="18"/>
              </w:rPr>
            </w:pPr>
            <w:r w:rsidRPr="002E0159">
              <w:rPr>
                <w:rFonts w:ascii="宋体" w:hAnsi="宋体" w:cs="宋体" w:hint="eastAsia"/>
                <w:b/>
                <w:bCs/>
                <w:color w:val="000000"/>
                <w:kern w:val="0"/>
                <w:sz w:val="18"/>
                <w:szCs w:val="18"/>
              </w:rPr>
              <w:t>合计</w:t>
            </w:r>
          </w:p>
        </w:tc>
        <w:tc>
          <w:tcPr>
            <w:tcW w:w="3869" w:type="dxa"/>
            <w:tcBorders>
              <w:top w:val="nil"/>
              <w:left w:val="nil"/>
              <w:bottom w:val="single" w:sz="4" w:space="0" w:color="auto"/>
              <w:right w:val="single" w:sz="4" w:space="0" w:color="auto"/>
            </w:tcBorders>
            <w:shd w:val="clear" w:color="000000" w:fill="B7DEE8"/>
            <w:noWrap/>
            <w:vAlign w:val="center"/>
            <w:hideMark/>
          </w:tcPr>
          <w:p w:rsidR="00DD05FC" w:rsidRPr="002E0159" w:rsidRDefault="00DD05FC" w:rsidP="00544E57">
            <w:pPr>
              <w:widowControl/>
              <w:jc w:val="left"/>
              <w:rPr>
                <w:rFonts w:ascii="宋体" w:hAnsi="宋体" w:cs="宋体"/>
                <w:b/>
                <w:bCs/>
                <w:color w:val="000000"/>
                <w:kern w:val="0"/>
                <w:sz w:val="18"/>
                <w:szCs w:val="18"/>
              </w:rPr>
            </w:pPr>
            <w:r w:rsidRPr="002E0159">
              <w:rPr>
                <w:rFonts w:ascii="宋体" w:hAnsi="宋体" w:cs="宋体" w:hint="eastAsia"/>
                <w:b/>
                <w:bCs/>
                <w:color w:val="000000"/>
                <w:kern w:val="0"/>
                <w:sz w:val="18"/>
                <w:szCs w:val="18"/>
              </w:rPr>
              <w:t xml:space="preserve">　</w:t>
            </w:r>
          </w:p>
        </w:tc>
        <w:tc>
          <w:tcPr>
            <w:tcW w:w="2368" w:type="dxa"/>
            <w:tcBorders>
              <w:top w:val="nil"/>
              <w:left w:val="nil"/>
              <w:bottom w:val="single" w:sz="4" w:space="0" w:color="auto"/>
              <w:right w:val="single" w:sz="4" w:space="0" w:color="auto"/>
            </w:tcBorders>
            <w:shd w:val="clear" w:color="000000" w:fill="B7DEE8"/>
            <w:noWrap/>
            <w:vAlign w:val="center"/>
            <w:hideMark/>
          </w:tcPr>
          <w:p w:rsidR="00DD05FC" w:rsidRPr="002E0159" w:rsidRDefault="00DD05FC" w:rsidP="00C81048">
            <w:pPr>
              <w:widowControl/>
              <w:jc w:val="right"/>
              <w:rPr>
                <w:rFonts w:ascii="宋体" w:hAnsi="宋体" w:cs="宋体"/>
                <w:b/>
                <w:bCs/>
                <w:color w:val="000000"/>
                <w:kern w:val="0"/>
                <w:sz w:val="18"/>
                <w:szCs w:val="18"/>
              </w:rPr>
            </w:pPr>
            <w:r w:rsidRPr="002E0159">
              <w:rPr>
                <w:rFonts w:ascii="宋体" w:hAnsi="宋体" w:cs="宋体" w:hint="eastAsia"/>
                <w:b/>
                <w:bCs/>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B7DEE8"/>
            <w:noWrap/>
            <w:vAlign w:val="center"/>
            <w:hideMark/>
          </w:tcPr>
          <w:p w:rsidR="00DD05FC" w:rsidRPr="002E0159" w:rsidRDefault="00DD05FC" w:rsidP="00544E57">
            <w:pPr>
              <w:widowControl/>
              <w:jc w:val="center"/>
              <w:rPr>
                <w:rFonts w:ascii="宋体" w:hAnsi="宋体" w:cs="宋体"/>
                <w:b/>
                <w:bCs/>
                <w:color w:val="000000"/>
                <w:kern w:val="0"/>
                <w:sz w:val="18"/>
                <w:szCs w:val="18"/>
              </w:rPr>
            </w:pPr>
          </w:p>
        </w:tc>
        <w:tc>
          <w:tcPr>
            <w:tcW w:w="1984" w:type="dxa"/>
            <w:tcBorders>
              <w:top w:val="nil"/>
              <w:left w:val="nil"/>
              <w:bottom w:val="single" w:sz="4" w:space="0" w:color="auto"/>
              <w:right w:val="single" w:sz="4" w:space="0" w:color="auto"/>
            </w:tcBorders>
            <w:shd w:val="clear" w:color="000000" w:fill="B7DEE8"/>
            <w:noWrap/>
            <w:vAlign w:val="center"/>
            <w:hideMark/>
          </w:tcPr>
          <w:p w:rsidR="00DD05FC" w:rsidRPr="002E0159" w:rsidRDefault="00DD05FC" w:rsidP="00544E57">
            <w:pPr>
              <w:widowControl/>
              <w:jc w:val="right"/>
              <w:rPr>
                <w:rFonts w:ascii="宋体" w:hAnsi="宋体" w:cs="宋体"/>
                <w:b/>
                <w:bCs/>
                <w:color w:val="000000"/>
                <w:kern w:val="0"/>
                <w:sz w:val="18"/>
                <w:szCs w:val="18"/>
              </w:rPr>
            </w:pPr>
            <w:r w:rsidRPr="002E0159">
              <w:rPr>
                <w:rFonts w:ascii="宋体" w:hAnsi="宋体" w:cs="宋体" w:hint="eastAsia"/>
                <w:b/>
                <w:bCs/>
                <w:color w:val="000000"/>
                <w:kern w:val="0"/>
                <w:sz w:val="18"/>
                <w:szCs w:val="18"/>
              </w:rPr>
              <w:t xml:space="preserve">  96,940,472.29 </w:t>
            </w:r>
          </w:p>
        </w:tc>
        <w:tc>
          <w:tcPr>
            <w:tcW w:w="2168" w:type="dxa"/>
            <w:tcBorders>
              <w:top w:val="nil"/>
              <w:left w:val="nil"/>
              <w:bottom w:val="single" w:sz="4" w:space="0" w:color="auto"/>
              <w:right w:val="single" w:sz="4" w:space="0" w:color="auto"/>
            </w:tcBorders>
            <w:shd w:val="clear" w:color="000000" w:fill="B7DEE8"/>
            <w:noWrap/>
            <w:vAlign w:val="center"/>
            <w:hideMark/>
          </w:tcPr>
          <w:p w:rsidR="00DD05FC" w:rsidRPr="002E0159" w:rsidRDefault="00DD05FC" w:rsidP="00544E57">
            <w:pPr>
              <w:widowControl/>
              <w:jc w:val="center"/>
              <w:rPr>
                <w:rFonts w:ascii="宋体" w:hAnsi="宋体" w:cs="宋体"/>
                <w:b/>
                <w:bCs/>
                <w:color w:val="000000"/>
                <w:kern w:val="0"/>
                <w:sz w:val="18"/>
                <w:szCs w:val="18"/>
              </w:rPr>
            </w:pPr>
          </w:p>
        </w:tc>
      </w:tr>
    </w:tbl>
    <w:p w:rsidR="00DD05FC" w:rsidRDefault="00DD05FC" w:rsidP="00DD05FC">
      <w:pPr>
        <w:spacing w:line="360" w:lineRule="auto"/>
        <w:ind w:firstLineChars="200" w:firstLine="480"/>
        <w:jc w:val="left"/>
        <w:rPr>
          <w:rFonts w:ascii="宋体" w:hAnsi="宋体"/>
          <w:sz w:val="24"/>
        </w:rPr>
        <w:sectPr w:rsidR="00DD05FC" w:rsidSect="00544E57">
          <w:pgSz w:w="16838" w:h="11906" w:orient="landscape"/>
          <w:pgMar w:top="1797" w:right="1440" w:bottom="1797" w:left="1440" w:header="851" w:footer="992" w:gutter="0"/>
          <w:cols w:space="425"/>
          <w:docGrid w:type="linesAndChars" w:linePitch="312"/>
        </w:sectPr>
      </w:pPr>
    </w:p>
    <w:p w:rsidR="00DD05FC" w:rsidRPr="00493E2C" w:rsidRDefault="00DD05FC" w:rsidP="00DD05FC">
      <w:pPr>
        <w:spacing w:line="360" w:lineRule="auto"/>
        <w:ind w:firstLineChars="200" w:firstLine="480"/>
        <w:jc w:val="left"/>
        <w:rPr>
          <w:rFonts w:ascii="宋体" w:hAnsi="宋体"/>
          <w:sz w:val="24"/>
        </w:rPr>
      </w:pPr>
      <w:r w:rsidRPr="00493E2C">
        <w:rPr>
          <w:rFonts w:ascii="宋体" w:hAnsi="宋体" w:hint="eastAsia"/>
          <w:sz w:val="24"/>
        </w:rPr>
        <w:lastRenderedPageBreak/>
        <w:t>形成原因如下：</w:t>
      </w:r>
    </w:p>
    <w:p w:rsidR="00DD05FC" w:rsidRPr="00493E2C" w:rsidRDefault="00DD05FC" w:rsidP="00DD05FC">
      <w:pPr>
        <w:spacing w:line="360" w:lineRule="auto"/>
        <w:ind w:firstLineChars="200" w:firstLine="480"/>
        <w:jc w:val="left"/>
        <w:rPr>
          <w:rFonts w:ascii="宋体" w:hAnsi="宋体"/>
          <w:sz w:val="24"/>
        </w:rPr>
      </w:pPr>
      <w:r w:rsidRPr="00493E2C">
        <w:rPr>
          <w:rFonts w:ascii="宋体" w:hAnsi="宋体" w:hint="eastAsia"/>
          <w:sz w:val="24"/>
        </w:rPr>
        <w:t>（1）公司下属子公司宿迁</w:t>
      </w:r>
      <w:proofErr w:type="gramStart"/>
      <w:r w:rsidRPr="00493E2C">
        <w:rPr>
          <w:rFonts w:ascii="宋体" w:hAnsi="宋体" w:hint="eastAsia"/>
          <w:sz w:val="24"/>
        </w:rPr>
        <w:t>市苏宿置业</w:t>
      </w:r>
      <w:proofErr w:type="gramEnd"/>
      <w:r w:rsidRPr="00493E2C">
        <w:rPr>
          <w:rFonts w:ascii="宋体" w:hAnsi="宋体" w:hint="eastAsia"/>
          <w:sz w:val="24"/>
        </w:rPr>
        <w:t>有限公司为支付工程款开具银行承兑汇票而存入保证金人民币1</w:t>
      </w:r>
      <w:r w:rsidR="00C81048">
        <w:rPr>
          <w:rFonts w:ascii="宋体" w:hAnsi="宋体" w:hint="eastAsia"/>
          <w:sz w:val="24"/>
        </w:rPr>
        <w:t>,</w:t>
      </w:r>
      <w:r w:rsidRPr="00493E2C">
        <w:rPr>
          <w:rFonts w:ascii="宋体" w:hAnsi="宋体" w:hint="eastAsia"/>
          <w:sz w:val="24"/>
        </w:rPr>
        <w:t>032 万元；</w:t>
      </w:r>
    </w:p>
    <w:p w:rsidR="00DD05FC" w:rsidRPr="00493E2C" w:rsidRDefault="00DD05FC" w:rsidP="00DD05FC">
      <w:pPr>
        <w:spacing w:line="360" w:lineRule="auto"/>
        <w:ind w:firstLineChars="200" w:firstLine="480"/>
        <w:jc w:val="left"/>
        <w:rPr>
          <w:rFonts w:ascii="宋体" w:hAnsi="宋体"/>
          <w:sz w:val="24"/>
        </w:rPr>
      </w:pPr>
      <w:r w:rsidRPr="00493E2C">
        <w:rPr>
          <w:rFonts w:ascii="宋体" w:hAnsi="宋体" w:hint="eastAsia"/>
          <w:sz w:val="24"/>
        </w:rPr>
        <w:t>公司下属子公司江苏吴中进出口有限公司为支付货款开具银行承兑汇票而存入保证金人民币440 万元；</w:t>
      </w:r>
    </w:p>
    <w:p w:rsidR="00DD05FC" w:rsidRPr="00493E2C" w:rsidRDefault="00DD05FC" w:rsidP="00DD05FC">
      <w:pPr>
        <w:spacing w:line="360" w:lineRule="auto"/>
        <w:ind w:firstLineChars="200" w:firstLine="480"/>
        <w:jc w:val="left"/>
        <w:rPr>
          <w:rFonts w:ascii="宋体" w:hAnsi="宋体"/>
          <w:sz w:val="24"/>
        </w:rPr>
      </w:pPr>
      <w:r w:rsidRPr="00493E2C">
        <w:rPr>
          <w:rFonts w:ascii="宋体" w:hAnsi="宋体" w:hint="eastAsia"/>
          <w:sz w:val="24"/>
        </w:rPr>
        <w:t>（2）公司下属子公司江苏吴中进出口有限公司为支付货款开具信用证而存入的保证金人民币3</w:t>
      </w:r>
      <w:r w:rsidR="00C81048">
        <w:rPr>
          <w:rFonts w:ascii="宋体" w:hAnsi="宋体" w:hint="eastAsia"/>
          <w:sz w:val="24"/>
        </w:rPr>
        <w:t>,</w:t>
      </w:r>
      <w:r w:rsidRPr="00493E2C">
        <w:rPr>
          <w:rFonts w:ascii="宋体" w:hAnsi="宋体" w:hint="eastAsia"/>
          <w:sz w:val="24"/>
        </w:rPr>
        <w:t xml:space="preserve">671万元； </w:t>
      </w:r>
    </w:p>
    <w:p w:rsidR="00DD05FC" w:rsidRPr="00493E2C" w:rsidRDefault="00DD05FC" w:rsidP="00DD05FC">
      <w:pPr>
        <w:spacing w:line="360" w:lineRule="auto"/>
        <w:ind w:firstLineChars="200" w:firstLine="480"/>
        <w:jc w:val="left"/>
        <w:rPr>
          <w:rFonts w:ascii="宋体" w:hAnsi="宋体"/>
          <w:sz w:val="24"/>
        </w:rPr>
      </w:pPr>
      <w:r w:rsidRPr="00493E2C">
        <w:rPr>
          <w:rFonts w:ascii="宋体" w:hAnsi="宋体" w:hint="eastAsia"/>
          <w:sz w:val="24"/>
        </w:rPr>
        <w:t>（3）公司下属子公司江苏吴中进出口有限公司为支付货款开具银行承兑汇票而存入定期存单3</w:t>
      </w:r>
      <w:r w:rsidR="00C81048">
        <w:rPr>
          <w:rFonts w:ascii="宋体" w:hAnsi="宋体" w:hint="eastAsia"/>
          <w:sz w:val="24"/>
        </w:rPr>
        <w:t>,</w:t>
      </w:r>
      <w:r w:rsidRPr="00493E2C">
        <w:rPr>
          <w:rFonts w:ascii="宋体" w:hAnsi="宋体" w:hint="eastAsia"/>
          <w:sz w:val="24"/>
        </w:rPr>
        <w:t>000 万元；</w:t>
      </w:r>
    </w:p>
    <w:p w:rsidR="00DD05FC" w:rsidRPr="005F4824" w:rsidRDefault="00DD05FC" w:rsidP="00DD05FC">
      <w:pPr>
        <w:spacing w:line="360" w:lineRule="auto"/>
        <w:ind w:firstLineChars="200" w:firstLine="480"/>
        <w:jc w:val="left"/>
        <w:rPr>
          <w:rFonts w:ascii="宋体" w:hAnsi="宋体"/>
          <w:sz w:val="24"/>
        </w:rPr>
      </w:pPr>
      <w:r w:rsidRPr="00493E2C">
        <w:rPr>
          <w:rFonts w:ascii="宋体" w:hAnsi="宋体" w:hint="eastAsia"/>
          <w:sz w:val="24"/>
        </w:rPr>
        <w:t>（4）公司下属房地产公司为已购买本公司房产客户办理按揭手续而存入银行按揭保证金1,551.05万元</w:t>
      </w:r>
      <w:r w:rsidRPr="004D5CD1">
        <w:rPr>
          <w:rFonts w:ascii="宋体" w:hAnsi="宋体" w:hint="eastAsia"/>
          <w:sz w:val="24"/>
        </w:rPr>
        <w:t>。</w:t>
      </w:r>
    </w:p>
    <w:p w:rsidR="00DD05FC" w:rsidRPr="00597961" w:rsidRDefault="00DD05FC" w:rsidP="00DD05FC">
      <w:pPr>
        <w:spacing w:line="360" w:lineRule="auto"/>
        <w:ind w:firstLineChars="200" w:firstLine="480"/>
        <w:jc w:val="left"/>
        <w:rPr>
          <w:rFonts w:ascii="宋体" w:hAnsi="宋体"/>
          <w:sz w:val="24"/>
        </w:rPr>
      </w:pPr>
      <w:r w:rsidRPr="00BF4B3A">
        <w:rPr>
          <w:rFonts w:ascii="宋体" w:hAnsi="宋体" w:hint="eastAsia"/>
          <w:sz w:val="24"/>
        </w:rPr>
        <w:t>上述资金在约定的受限期间内企业不可以自由支配，当受限条件按合同约定解除后不存在其他已预先约定的限制性用途及合同安排。</w:t>
      </w:r>
    </w:p>
    <w:p w:rsidR="00DD05FC" w:rsidRPr="00FC007F" w:rsidRDefault="00DD05FC" w:rsidP="00DD05FC">
      <w:pPr>
        <w:spacing w:line="360" w:lineRule="auto"/>
        <w:ind w:firstLineChars="200" w:firstLine="480"/>
        <w:jc w:val="left"/>
        <w:rPr>
          <w:rFonts w:ascii="宋体" w:hAnsi="宋体"/>
          <w:sz w:val="24"/>
        </w:rPr>
      </w:pPr>
      <w:r w:rsidRPr="00597961">
        <w:rPr>
          <w:rFonts w:ascii="宋体" w:hAnsi="宋体" w:hint="eastAsia"/>
          <w:sz w:val="24"/>
        </w:rPr>
        <w:t>2</w:t>
      </w:r>
      <w:r w:rsidRPr="00E47C0C">
        <w:rPr>
          <w:rFonts w:ascii="宋体" w:hAnsi="宋体" w:hint="eastAsia"/>
          <w:sz w:val="24"/>
        </w:rPr>
        <w:t>、说明相关信息披露是否真实、准确、完整。</w:t>
      </w:r>
    </w:p>
    <w:p w:rsidR="00DD05FC" w:rsidRPr="00597961" w:rsidRDefault="00DD05FC" w:rsidP="00DD05FC">
      <w:pPr>
        <w:spacing w:line="360" w:lineRule="auto"/>
        <w:ind w:firstLineChars="200" w:firstLine="480"/>
        <w:jc w:val="left"/>
        <w:rPr>
          <w:rFonts w:ascii="宋体" w:hAnsi="宋体"/>
          <w:sz w:val="24"/>
        </w:rPr>
      </w:pPr>
      <w:r w:rsidRPr="00493E2C">
        <w:rPr>
          <w:rFonts w:ascii="宋体" w:hAnsi="宋体" w:hint="eastAsia"/>
          <w:sz w:val="24"/>
        </w:rPr>
        <w:t>公司应披露信</w:t>
      </w:r>
      <w:r w:rsidRPr="004D5CD1">
        <w:rPr>
          <w:rFonts w:ascii="宋体" w:hAnsi="宋体" w:hint="eastAsia"/>
          <w:sz w:val="24"/>
        </w:rPr>
        <w:t>息均已按规定做出披露</w:t>
      </w:r>
      <w:r w:rsidRPr="005F4824">
        <w:rPr>
          <w:rFonts w:ascii="宋体" w:hAnsi="宋体" w:hint="eastAsia"/>
          <w:sz w:val="24"/>
        </w:rPr>
        <w:t>，信息披露真实、准确、完整</w:t>
      </w:r>
      <w:r w:rsidRPr="00BF4B3A">
        <w:rPr>
          <w:rFonts w:ascii="宋体" w:hAnsi="宋体" w:hint="eastAsia"/>
          <w:sz w:val="24"/>
        </w:rPr>
        <w:t>。</w:t>
      </w:r>
    </w:p>
    <w:p w:rsidR="00DD05FC" w:rsidRPr="00E47C0C" w:rsidRDefault="00DD05FC" w:rsidP="00DD05FC">
      <w:pPr>
        <w:spacing w:line="360" w:lineRule="auto"/>
        <w:ind w:firstLineChars="200" w:firstLine="482"/>
        <w:jc w:val="left"/>
        <w:rPr>
          <w:rFonts w:ascii="宋体" w:hAnsi="宋体"/>
          <w:b/>
          <w:sz w:val="24"/>
        </w:rPr>
      </w:pPr>
      <w:r w:rsidRPr="00597961">
        <w:rPr>
          <w:rFonts w:ascii="宋体" w:hAnsi="宋体" w:hint="eastAsia"/>
          <w:b/>
          <w:sz w:val="24"/>
        </w:rPr>
        <w:t>会计师核查程序及结论：</w:t>
      </w:r>
    </w:p>
    <w:p w:rsidR="00DD05FC" w:rsidRPr="00426630" w:rsidRDefault="00DD05FC" w:rsidP="00DD05FC">
      <w:pPr>
        <w:spacing w:line="360" w:lineRule="auto"/>
        <w:ind w:firstLineChars="200" w:firstLine="480"/>
        <w:jc w:val="left"/>
        <w:rPr>
          <w:rFonts w:ascii="宋体" w:hAnsi="宋体"/>
          <w:sz w:val="24"/>
        </w:rPr>
      </w:pPr>
      <w:r w:rsidRPr="00E47C0C">
        <w:rPr>
          <w:rFonts w:ascii="宋体" w:hAnsi="宋体" w:hint="eastAsia"/>
          <w:sz w:val="24"/>
        </w:rPr>
        <w:t>我们在对江苏吴中</w:t>
      </w:r>
      <w:r w:rsidRPr="00FC007F">
        <w:rPr>
          <w:rFonts w:ascii="宋体" w:hAnsi="宋体" w:hint="eastAsia"/>
          <w:sz w:val="24"/>
        </w:rPr>
        <w:t>2018 年度财务报表的审计过程中已经充分关注其他货币资金的受限情况。</w:t>
      </w:r>
      <w:r w:rsidRPr="00426630">
        <w:rPr>
          <w:rFonts w:ascii="宋体" w:hAnsi="宋体" w:hint="eastAsia"/>
          <w:sz w:val="24"/>
        </w:rPr>
        <w:t>我们执行了如下审计程序：</w:t>
      </w:r>
    </w:p>
    <w:p w:rsidR="00DD05FC" w:rsidRPr="00E25603" w:rsidRDefault="00DD05FC" w:rsidP="00DD05FC">
      <w:pPr>
        <w:spacing w:line="360" w:lineRule="auto"/>
        <w:ind w:firstLineChars="200" w:firstLine="480"/>
        <w:jc w:val="left"/>
        <w:rPr>
          <w:rFonts w:ascii="宋体" w:hAnsi="宋体"/>
          <w:sz w:val="24"/>
        </w:rPr>
      </w:pPr>
      <w:r w:rsidRPr="00433C93">
        <w:rPr>
          <w:rFonts w:ascii="宋体" w:hAnsi="宋体" w:hint="eastAsia"/>
          <w:sz w:val="24"/>
        </w:rPr>
        <w:t>（1）我们执行</w:t>
      </w:r>
      <w:proofErr w:type="gramStart"/>
      <w:r w:rsidRPr="00433C93">
        <w:rPr>
          <w:rFonts w:ascii="宋体" w:hAnsi="宋体" w:hint="eastAsia"/>
          <w:sz w:val="24"/>
        </w:rPr>
        <w:t>了函证程序</w:t>
      </w:r>
      <w:proofErr w:type="gramEnd"/>
      <w:r w:rsidRPr="00433C93">
        <w:rPr>
          <w:rFonts w:ascii="宋体" w:hAnsi="宋体" w:hint="eastAsia"/>
          <w:sz w:val="24"/>
        </w:rPr>
        <w:t>，向银行</w:t>
      </w:r>
      <w:proofErr w:type="gramStart"/>
      <w:r w:rsidRPr="00433C93">
        <w:rPr>
          <w:rFonts w:ascii="宋体" w:hAnsi="宋体" w:hint="eastAsia"/>
          <w:sz w:val="24"/>
        </w:rPr>
        <w:t>询</w:t>
      </w:r>
      <w:proofErr w:type="gramEnd"/>
      <w:r w:rsidRPr="00433C93">
        <w:rPr>
          <w:rFonts w:ascii="宋体" w:hAnsi="宋体" w:hint="eastAsia"/>
          <w:sz w:val="24"/>
        </w:rPr>
        <w:t>证上述资金在资产负债表日的存在及受限情况，回函均已相符。</w:t>
      </w:r>
    </w:p>
    <w:p w:rsidR="00DD05FC" w:rsidRPr="009351F3" w:rsidRDefault="00DD05FC" w:rsidP="00DD05FC">
      <w:pPr>
        <w:spacing w:line="360" w:lineRule="auto"/>
        <w:ind w:firstLineChars="200" w:firstLine="480"/>
        <w:jc w:val="left"/>
        <w:rPr>
          <w:rFonts w:ascii="宋体" w:hAnsi="宋体"/>
          <w:sz w:val="24"/>
        </w:rPr>
      </w:pPr>
      <w:r w:rsidRPr="00134A43">
        <w:rPr>
          <w:rFonts w:ascii="宋体" w:hAnsi="宋体" w:hint="eastAsia"/>
          <w:sz w:val="24"/>
        </w:rPr>
        <w:t>（2）</w:t>
      </w:r>
      <w:r w:rsidRPr="009351F3">
        <w:rPr>
          <w:rFonts w:ascii="宋体" w:hAnsi="宋体" w:hint="eastAsia"/>
          <w:sz w:val="24"/>
        </w:rPr>
        <w:t>我们执行了检查程序，查阅公司与上述受限货币资金相关的合同或协议（票据承兑协议、信用证开立协议、按揭合作协议）；已开出票据、信用证及定期存单的具体单据；追查</w:t>
      </w:r>
      <w:proofErr w:type="gramStart"/>
      <w:r w:rsidRPr="009351F3">
        <w:rPr>
          <w:rFonts w:ascii="宋体" w:hAnsi="宋体" w:hint="eastAsia"/>
          <w:sz w:val="24"/>
        </w:rPr>
        <w:t>至业务</w:t>
      </w:r>
      <w:proofErr w:type="gramEnd"/>
      <w:r w:rsidRPr="009351F3">
        <w:rPr>
          <w:rFonts w:ascii="宋体" w:hAnsi="宋体" w:hint="eastAsia"/>
          <w:sz w:val="24"/>
        </w:rPr>
        <w:t>合同，验证交易行为真实性。</w:t>
      </w:r>
    </w:p>
    <w:p w:rsidR="00DD05FC" w:rsidRPr="007B379A" w:rsidRDefault="00DD05FC" w:rsidP="00DD05FC">
      <w:pPr>
        <w:spacing w:line="360" w:lineRule="auto"/>
        <w:ind w:firstLineChars="200" w:firstLine="480"/>
        <w:jc w:val="left"/>
        <w:rPr>
          <w:rFonts w:ascii="宋体" w:hAnsi="宋体"/>
          <w:sz w:val="24"/>
        </w:rPr>
      </w:pPr>
      <w:r w:rsidRPr="009351F3">
        <w:rPr>
          <w:rFonts w:ascii="宋体" w:hAnsi="宋体" w:hint="eastAsia"/>
          <w:sz w:val="24"/>
        </w:rPr>
        <w:t>通过执行上述审计程序，我们没有发现上述说明中与财务报告相关的信息与我们在审计过程中获取的相关资料在所有重大方面存在不一致之处。</w:t>
      </w:r>
    </w:p>
    <w:p w:rsidR="00EF4065" w:rsidRPr="00DD05FC" w:rsidRDefault="00EF4065" w:rsidP="00EF4065">
      <w:pPr>
        <w:spacing w:line="360" w:lineRule="auto"/>
        <w:ind w:firstLineChars="200" w:firstLine="480"/>
        <w:rPr>
          <w:rFonts w:asciiTheme="minorEastAsia" w:eastAsiaTheme="minorEastAsia" w:hAnsiTheme="minorEastAsia"/>
          <w:sz w:val="24"/>
        </w:rPr>
      </w:pPr>
    </w:p>
    <w:p w:rsidR="0052077F" w:rsidRPr="00010EAD" w:rsidRDefault="00BC3268" w:rsidP="00010EAD">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六、</w:t>
      </w:r>
      <w:r w:rsidR="0052077F" w:rsidRPr="00010EAD">
        <w:rPr>
          <w:rFonts w:asciiTheme="minorEastAsia" w:eastAsiaTheme="minorEastAsia" w:hAnsiTheme="minorEastAsia" w:hint="eastAsia"/>
          <w:b/>
          <w:sz w:val="24"/>
        </w:rPr>
        <w:t>年报披露，公司2018年主营业务收入同比下降42.63%，销售费用同比上升37.73%，销售费用中约50%的构成为咨询费。请公司：（1）结合销售模式、销售人员数量及销售政策等具体情况补充披露报告期内主营业务收入变动与销</w:t>
      </w:r>
      <w:r w:rsidR="0052077F" w:rsidRPr="00010EAD">
        <w:rPr>
          <w:rFonts w:asciiTheme="minorEastAsia" w:eastAsiaTheme="minorEastAsia" w:hAnsiTheme="minorEastAsia" w:hint="eastAsia"/>
          <w:b/>
          <w:sz w:val="24"/>
        </w:rPr>
        <w:lastRenderedPageBreak/>
        <w:t>售费用变动趋势存在不一致的原因和合理性；（2）进一步说明并解释近年来咨询费倍增的原因及合理性。</w:t>
      </w:r>
    </w:p>
    <w:p w:rsidR="00DD05FC" w:rsidRPr="00493E2C" w:rsidRDefault="00DD05FC" w:rsidP="00DD05FC">
      <w:pPr>
        <w:spacing w:line="360" w:lineRule="auto"/>
        <w:ind w:right="1" w:firstLineChars="200" w:firstLine="482"/>
        <w:rPr>
          <w:rStyle w:val="afont1"/>
          <w:rFonts w:ascii="宋体" w:hAnsi="宋体"/>
          <w:b/>
          <w:sz w:val="24"/>
        </w:rPr>
      </w:pPr>
      <w:r w:rsidRPr="00493E2C">
        <w:rPr>
          <w:rStyle w:val="afont1"/>
          <w:rFonts w:ascii="宋体" w:hAnsi="宋体" w:hint="eastAsia"/>
          <w:b/>
          <w:sz w:val="24"/>
        </w:rPr>
        <w:t>公司回复：</w:t>
      </w:r>
    </w:p>
    <w:p w:rsidR="00DD05FC" w:rsidRPr="00493E2C" w:rsidRDefault="00DD05FC" w:rsidP="00DD05FC">
      <w:pPr>
        <w:spacing w:line="360" w:lineRule="auto"/>
        <w:ind w:right="1" w:firstLineChars="200" w:firstLine="480"/>
        <w:rPr>
          <w:rStyle w:val="afont1"/>
          <w:rFonts w:ascii="宋体" w:hAnsi="宋体"/>
          <w:sz w:val="24"/>
        </w:rPr>
      </w:pPr>
      <w:r w:rsidRPr="00493E2C">
        <w:rPr>
          <w:rStyle w:val="afont1"/>
          <w:rFonts w:ascii="宋体" w:hAnsi="宋体" w:hint="eastAsia"/>
          <w:sz w:val="24"/>
        </w:rPr>
        <w:t>1、结合销售模式、销售人员数量及销售政策等具体情况补充披露报告期内主营业务收入变动与销售费用变动趋势存在不一致的原因和合理性？</w:t>
      </w:r>
    </w:p>
    <w:p w:rsidR="00DD05FC" w:rsidRPr="00493E2C" w:rsidRDefault="00DD05FC" w:rsidP="00DD05FC">
      <w:pPr>
        <w:spacing w:line="360" w:lineRule="auto"/>
        <w:ind w:right="1" w:firstLineChars="200" w:firstLine="480"/>
        <w:rPr>
          <w:rStyle w:val="afont1"/>
          <w:rFonts w:ascii="宋体" w:hAnsi="宋体"/>
          <w:sz w:val="24"/>
        </w:rPr>
      </w:pPr>
      <w:r w:rsidRPr="00493E2C">
        <w:rPr>
          <w:rStyle w:val="afont1"/>
          <w:rFonts w:ascii="宋体" w:hAnsi="宋体" w:hint="eastAsia"/>
          <w:sz w:val="24"/>
        </w:rPr>
        <w:t>2018年度、2017年度和2016年度主营业务收入和销售费用列示如下：</w:t>
      </w:r>
    </w:p>
    <w:p w:rsidR="008C71F5" w:rsidRDefault="00DD05FC" w:rsidP="00DD05FC">
      <w:pPr>
        <w:spacing w:line="360" w:lineRule="auto"/>
        <w:ind w:right="1" w:firstLineChars="200" w:firstLine="480"/>
        <w:rPr>
          <w:rStyle w:val="afont1"/>
          <w:rFonts w:ascii="宋体" w:hAnsi="宋体"/>
          <w:sz w:val="24"/>
        </w:rPr>
      </w:pPr>
      <w:r w:rsidRPr="00493E2C">
        <w:rPr>
          <w:rStyle w:val="afont1"/>
          <w:rFonts w:ascii="宋体" w:hAnsi="宋体" w:hint="eastAsia"/>
          <w:sz w:val="24"/>
        </w:rPr>
        <w:t xml:space="preserve">表6.1 </w:t>
      </w:r>
    </w:p>
    <w:p w:rsidR="00DD05FC" w:rsidRPr="00493E2C" w:rsidRDefault="00DD05FC" w:rsidP="008C71F5">
      <w:pPr>
        <w:spacing w:line="360" w:lineRule="auto"/>
        <w:ind w:right="1" w:firstLineChars="200" w:firstLine="480"/>
        <w:jc w:val="right"/>
        <w:rPr>
          <w:rStyle w:val="afont1"/>
          <w:rFonts w:ascii="宋体" w:hAnsi="宋体"/>
          <w:sz w:val="24"/>
        </w:rPr>
      </w:pPr>
      <w:r w:rsidRPr="00493E2C">
        <w:rPr>
          <w:rStyle w:val="afont1"/>
          <w:rFonts w:ascii="宋体" w:hAnsi="宋体" w:hint="eastAsia"/>
          <w:sz w:val="24"/>
        </w:rPr>
        <w:t xml:space="preserve">                                                 单位：万元</w:t>
      </w:r>
    </w:p>
    <w:tbl>
      <w:tblPr>
        <w:tblW w:w="5572" w:type="pct"/>
        <w:tblInd w:w="-459" w:type="dxa"/>
        <w:tblLayout w:type="fixed"/>
        <w:tblLook w:val="04A0" w:firstRow="1" w:lastRow="0" w:firstColumn="1" w:lastColumn="0" w:noHBand="0" w:noVBand="1"/>
      </w:tblPr>
      <w:tblGrid>
        <w:gridCol w:w="1843"/>
        <w:gridCol w:w="1140"/>
        <w:gridCol w:w="1134"/>
        <w:gridCol w:w="991"/>
        <w:gridCol w:w="1136"/>
        <w:gridCol w:w="991"/>
        <w:gridCol w:w="1134"/>
        <w:gridCol w:w="1128"/>
      </w:tblGrid>
      <w:tr w:rsidR="00056F2B" w:rsidRPr="00493E2C" w:rsidTr="00056F2B">
        <w:trPr>
          <w:trHeight w:val="270"/>
        </w:trPr>
        <w:tc>
          <w:tcPr>
            <w:tcW w:w="9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056F2B">
            <w:pPr>
              <w:widowControl/>
              <w:jc w:val="center"/>
              <w:rPr>
                <w:rFonts w:ascii="宋体" w:hAnsi="宋体" w:cs="宋体"/>
                <w:color w:val="000000"/>
                <w:kern w:val="0"/>
                <w:sz w:val="15"/>
                <w:szCs w:val="15"/>
              </w:rPr>
            </w:pPr>
            <w:r w:rsidRPr="00493E2C">
              <w:rPr>
                <w:rFonts w:ascii="宋体" w:hAnsi="宋体" w:cs="宋体" w:hint="eastAsia"/>
                <w:color w:val="000000"/>
                <w:kern w:val="0"/>
                <w:sz w:val="15"/>
                <w:szCs w:val="15"/>
              </w:rPr>
              <w:t>项目</w:t>
            </w:r>
          </w:p>
        </w:tc>
        <w:tc>
          <w:tcPr>
            <w:tcW w:w="600"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056F2B">
            <w:pPr>
              <w:widowControl/>
              <w:jc w:val="center"/>
              <w:rPr>
                <w:rFonts w:ascii="宋体" w:hAnsi="宋体" w:cs="宋体"/>
                <w:color w:val="000000"/>
                <w:kern w:val="0"/>
                <w:sz w:val="15"/>
                <w:szCs w:val="15"/>
              </w:rPr>
            </w:pPr>
            <w:r w:rsidRPr="00493E2C">
              <w:rPr>
                <w:rFonts w:ascii="宋体" w:hAnsi="宋体" w:cs="宋体" w:hint="eastAsia"/>
                <w:color w:val="000000"/>
                <w:kern w:val="0"/>
                <w:sz w:val="15"/>
                <w:szCs w:val="15"/>
              </w:rPr>
              <w:t>2018年度</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056F2B">
            <w:pPr>
              <w:widowControl/>
              <w:jc w:val="center"/>
              <w:rPr>
                <w:rFonts w:ascii="宋体" w:hAnsi="宋体" w:cs="宋体"/>
                <w:color w:val="000000"/>
                <w:kern w:val="0"/>
                <w:sz w:val="15"/>
                <w:szCs w:val="15"/>
              </w:rPr>
            </w:pPr>
            <w:r w:rsidRPr="00493E2C">
              <w:rPr>
                <w:rFonts w:ascii="宋体" w:hAnsi="宋体" w:cs="宋体" w:hint="eastAsia"/>
                <w:color w:val="000000"/>
                <w:kern w:val="0"/>
                <w:sz w:val="15"/>
                <w:szCs w:val="15"/>
              </w:rPr>
              <w:t>2017年度</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056F2B">
            <w:pPr>
              <w:widowControl/>
              <w:jc w:val="center"/>
              <w:rPr>
                <w:rFonts w:ascii="宋体" w:hAnsi="宋体" w:cs="宋体"/>
                <w:color w:val="000000"/>
                <w:kern w:val="0"/>
                <w:sz w:val="15"/>
                <w:szCs w:val="15"/>
              </w:rPr>
            </w:pPr>
            <w:r w:rsidRPr="00493E2C">
              <w:rPr>
                <w:rFonts w:ascii="宋体" w:hAnsi="宋体" w:cs="宋体" w:hint="eastAsia"/>
                <w:color w:val="000000"/>
                <w:kern w:val="0"/>
                <w:sz w:val="15"/>
                <w:szCs w:val="15"/>
              </w:rPr>
              <w:t>2016年度</w:t>
            </w:r>
          </w:p>
        </w:tc>
        <w:tc>
          <w:tcPr>
            <w:tcW w:w="598"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056F2B">
            <w:pPr>
              <w:widowControl/>
              <w:jc w:val="center"/>
              <w:rPr>
                <w:rFonts w:ascii="宋体" w:hAnsi="宋体" w:cs="宋体"/>
                <w:color w:val="000000"/>
                <w:kern w:val="0"/>
                <w:sz w:val="15"/>
                <w:szCs w:val="15"/>
              </w:rPr>
            </w:pPr>
            <w:r w:rsidRPr="00493E2C">
              <w:rPr>
                <w:rFonts w:ascii="宋体" w:hAnsi="宋体" w:cs="宋体" w:hint="eastAsia"/>
                <w:color w:val="000000"/>
                <w:kern w:val="0"/>
                <w:sz w:val="15"/>
                <w:szCs w:val="15"/>
              </w:rPr>
              <w:t>2018年较2017年增减额</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056F2B">
            <w:pPr>
              <w:widowControl/>
              <w:jc w:val="center"/>
              <w:rPr>
                <w:rFonts w:ascii="宋体" w:hAnsi="宋体" w:cs="宋体"/>
                <w:color w:val="000000"/>
                <w:kern w:val="0"/>
                <w:sz w:val="15"/>
                <w:szCs w:val="15"/>
              </w:rPr>
            </w:pPr>
            <w:r w:rsidRPr="00493E2C">
              <w:rPr>
                <w:rFonts w:ascii="宋体" w:hAnsi="宋体" w:cs="宋体" w:hint="eastAsia"/>
                <w:color w:val="000000"/>
                <w:kern w:val="0"/>
                <w:sz w:val="15"/>
                <w:szCs w:val="15"/>
              </w:rPr>
              <w:t>2018年较2017年增减比率</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056F2B">
            <w:pPr>
              <w:widowControl/>
              <w:jc w:val="center"/>
              <w:rPr>
                <w:rFonts w:ascii="宋体" w:hAnsi="宋体" w:cs="宋体"/>
                <w:color w:val="000000"/>
                <w:kern w:val="0"/>
                <w:sz w:val="15"/>
                <w:szCs w:val="15"/>
              </w:rPr>
            </w:pPr>
            <w:r w:rsidRPr="00493E2C">
              <w:rPr>
                <w:rFonts w:ascii="宋体" w:hAnsi="宋体" w:cs="宋体" w:hint="eastAsia"/>
                <w:color w:val="000000"/>
                <w:kern w:val="0"/>
                <w:sz w:val="15"/>
                <w:szCs w:val="15"/>
              </w:rPr>
              <w:t>2017年较2016年增减额</w:t>
            </w:r>
          </w:p>
        </w:tc>
        <w:tc>
          <w:tcPr>
            <w:tcW w:w="594"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056F2B">
            <w:pPr>
              <w:widowControl/>
              <w:jc w:val="center"/>
              <w:rPr>
                <w:rFonts w:ascii="宋体" w:hAnsi="宋体" w:cs="宋体"/>
                <w:color w:val="000000"/>
                <w:kern w:val="0"/>
                <w:sz w:val="15"/>
                <w:szCs w:val="15"/>
              </w:rPr>
            </w:pPr>
            <w:r w:rsidRPr="00493E2C">
              <w:rPr>
                <w:rFonts w:ascii="宋体" w:hAnsi="宋体" w:cs="宋体" w:hint="eastAsia"/>
                <w:color w:val="000000"/>
                <w:kern w:val="0"/>
                <w:sz w:val="15"/>
                <w:szCs w:val="15"/>
              </w:rPr>
              <w:t>2017年较2016年增减比率</w:t>
            </w:r>
          </w:p>
        </w:tc>
      </w:tr>
      <w:tr w:rsidR="00056F2B" w:rsidRPr="00493E2C" w:rsidTr="00056F2B">
        <w:trPr>
          <w:trHeight w:val="270"/>
        </w:trPr>
        <w:tc>
          <w:tcPr>
            <w:tcW w:w="970"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056F2B">
            <w:pPr>
              <w:widowControl/>
              <w:jc w:val="left"/>
              <w:rPr>
                <w:rFonts w:ascii="宋体" w:hAnsi="宋体" w:cs="宋体"/>
                <w:color w:val="000000"/>
                <w:kern w:val="0"/>
                <w:sz w:val="15"/>
                <w:szCs w:val="15"/>
              </w:rPr>
            </w:pPr>
            <w:r w:rsidRPr="00493E2C">
              <w:rPr>
                <w:rFonts w:ascii="宋体" w:hAnsi="宋体" w:cs="宋体" w:hint="eastAsia"/>
                <w:color w:val="000000"/>
                <w:kern w:val="0"/>
                <w:sz w:val="15"/>
                <w:szCs w:val="15"/>
              </w:rPr>
              <w:t>主营业务收入</w:t>
            </w:r>
          </w:p>
        </w:tc>
        <w:tc>
          <w:tcPr>
            <w:tcW w:w="600"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169,160.64</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294,845.79</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398,929.08</w:t>
            </w:r>
          </w:p>
        </w:tc>
        <w:tc>
          <w:tcPr>
            <w:tcW w:w="598"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-125,685.15</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-42.63%</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-104,083.29</w:t>
            </w:r>
          </w:p>
        </w:tc>
        <w:tc>
          <w:tcPr>
            <w:tcW w:w="594"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-26.09%</w:t>
            </w:r>
          </w:p>
        </w:tc>
      </w:tr>
      <w:tr w:rsidR="00056F2B" w:rsidRPr="00493E2C" w:rsidTr="00056F2B">
        <w:trPr>
          <w:trHeight w:val="270"/>
        </w:trPr>
        <w:tc>
          <w:tcPr>
            <w:tcW w:w="970"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056F2B">
            <w:pPr>
              <w:widowControl/>
              <w:jc w:val="left"/>
              <w:rPr>
                <w:rFonts w:ascii="宋体" w:hAnsi="宋体" w:cs="宋体"/>
                <w:color w:val="000000"/>
                <w:kern w:val="0"/>
                <w:sz w:val="15"/>
                <w:szCs w:val="15"/>
              </w:rPr>
            </w:pPr>
            <w:r w:rsidRPr="00493E2C">
              <w:rPr>
                <w:rFonts w:ascii="宋体" w:hAnsi="宋体" w:cs="宋体" w:hint="eastAsia"/>
                <w:color w:val="000000"/>
                <w:kern w:val="0"/>
                <w:sz w:val="15"/>
                <w:szCs w:val="15"/>
              </w:rPr>
              <w:t>其中：医药业务</w:t>
            </w:r>
          </w:p>
        </w:tc>
        <w:tc>
          <w:tcPr>
            <w:tcW w:w="600"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130,960.46</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116,354.39</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95,932.44</w:t>
            </w:r>
          </w:p>
        </w:tc>
        <w:tc>
          <w:tcPr>
            <w:tcW w:w="598"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14,606.07</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12.55%</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20,421.95</w:t>
            </w:r>
          </w:p>
        </w:tc>
        <w:tc>
          <w:tcPr>
            <w:tcW w:w="594"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21.29%</w:t>
            </w:r>
          </w:p>
        </w:tc>
      </w:tr>
      <w:tr w:rsidR="00056F2B" w:rsidRPr="00493E2C" w:rsidTr="00056F2B">
        <w:trPr>
          <w:trHeight w:val="270"/>
        </w:trPr>
        <w:tc>
          <w:tcPr>
            <w:tcW w:w="970"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056F2B">
            <w:pPr>
              <w:widowControl/>
              <w:ind w:firstLineChars="300" w:firstLine="450"/>
              <w:jc w:val="left"/>
              <w:rPr>
                <w:rFonts w:ascii="宋体" w:hAnsi="宋体" w:cs="宋体"/>
                <w:color w:val="000000"/>
                <w:kern w:val="0"/>
                <w:sz w:val="15"/>
                <w:szCs w:val="15"/>
              </w:rPr>
            </w:pPr>
            <w:r w:rsidRPr="00493E2C">
              <w:rPr>
                <w:rFonts w:ascii="宋体" w:hAnsi="宋体" w:cs="宋体" w:hint="eastAsia"/>
                <w:color w:val="000000"/>
                <w:kern w:val="0"/>
                <w:sz w:val="15"/>
                <w:szCs w:val="15"/>
              </w:rPr>
              <w:t>房地产业</w:t>
            </w:r>
          </w:p>
        </w:tc>
        <w:tc>
          <w:tcPr>
            <w:tcW w:w="600"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12,878.66</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36,042.66</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89,237.55</w:t>
            </w:r>
          </w:p>
        </w:tc>
        <w:tc>
          <w:tcPr>
            <w:tcW w:w="598"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-23,164.00</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-64.27%</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-53,194.89</w:t>
            </w:r>
          </w:p>
        </w:tc>
        <w:tc>
          <w:tcPr>
            <w:tcW w:w="594"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-59.61%</w:t>
            </w:r>
          </w:p>
        </w:tc>
      </w:tr>
      <w:tr w:rsidR="00056F2B" w:rsidRPr="00493E2C" w:rsidTr="00056F2B">
        <w:trPr>
          <w:trHeight w:val="270"/>
        </w:trPr>
        <w:tc>
          <w:tcPr>
            <w:tcW w:w="970"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056F2B">
            <w:pPr>
              <w:widowControl/>
              <w:ind w:firstLineChars="300" w:firstLine="450"/>
              <w:jc w:val="left"/>
              <w:rPr>
                <w:rFonts w:ascii="宋体" w:hAnsi="宋体" w:cs="宋体"/>
                <w:color w:val="000000"/>
                <w:kern w:val="0"/>
                <w:sz w:val="15"/>
                <w:szCs w:val="15"/>
              </w:rPr>
            </w:pPr>
            <w:r w:rsidRPr="00493E2C">
              <w:rPr>
                <w:rFonts w:ascii="宋体" w:hAnsi="宋体" w:cs="宋体" w:hint="eastAsia"/>
                <w:color w:val="000000"/>
                <w:kern w:val="0"/>
                <w:sz w:val="15"/>
                <w:szCs w:val="15"/>
              </w:rPr>
              <w:t>化工业务</w:t>
            </w:r>
          </w:p>
        </w:tc>
        <w:tc>
          <w:tcPr>
            <w:tcW w:w="600"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23,854.14</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64,915.84</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29,998.07</w:t>
            </w:r>
          </w:p>
        </w:tc>
        <w:tc>
          <w:tcPr>
            <w:tcW w:w="598"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-41,061.70</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-63.25%</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34,917.77</w:t>
            </w:r>
          </w:p>
        </w:tc>
        <w:tc>
          <w:tcPr>
            <w:tcW w:w="594"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116.40%</w:t>
            </w:r>
          </w:p>
        </w:tc>
      </w:tr>
      <w:tr w:rsidR="00056F2B" w:rsidRPr="00493E2C" w:rsidTr="00056F2B">
        <w:trPr>
          <w:trHeight w:val="270"/>
        </w:trPr>
        <w:tc>
          <w:tcPr>
            <w:tcW w:w="970"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056F2B">
            <w:pPr>
              <w:widowControl/>
              <w:ind w:firstLineChars="300" w:firstLine="450"/>
              <w:jc w:val="left"/>
              <w:rPr>
                <w:rFonts w:ascii="宋体" w:hAnsi="宋体" w:cs="宋体"/>
                <w:color w:val="000000"/>
                <w:kern w:val="0"/>
                <w:sz w:val="15"/>
                <w:szCs w:val="15"/>
              </w:rPr>
            </w:pPr>
            <w:r w:rsidRPr="00493E2C">
              <w:rPr>
                <w:rFonts w:ascii="宋体" w:hAnsi="宋体" w:cs="宋体" w:hint="eastAsia"/>
                <w:color w:val="000000"/>
                <w:kern w:val="0"/>
                <w:sz w:val="15"/>
                <w:szCs w:val="15"/>
              </w:rPr>
              <w:t>贵金属加工</w:t>
            </w:r>
          </w:p>
        </w:tc>
        <w:tc>
          <w:tcPr>
            <w:tcW w:w="600"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 xml:space="preserve">　</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76,609.99</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181,184.50</w:t>
            </w:r>
          </w:p>
        </w:tc>
        <w:tc>
          <w:tcPr>
            <w:tcW w:w="598"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-76,609.99</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-100.00%</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-104,574.51</w:t>
            </w:r>
          </w:p>
        </w:tc>
        <w:tc>
          <w:tcPr>
            <w:tcW w:w="594"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-57.72%</w:t>
            </w:r>
          </w:p>
        </w:tc>
      </w:tr>
      <w:tr w:rsidR="00056F2B" w:rsidRPr="00493E2C" w:rsidTr="00056F2B">
        <w:trPr>
          <w:trHeight w:val="270"/>
        </w:trPr>
        <w:tc>
          <w:tcPr>
            <w:tcW w:w="970"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056F2B">
            <w:pPr>
              <w:widowControl/>
              <w:jc w:val="left"/>
              <w:rPr>
                <w:rFonts w:ascii="宋体" w:hAnsi="宋体" w:cs="宋体"/>
                <w:color w:val="000000"/>
                <w:kern w:val="0"/>
                <w:sz w:val="15"/>
                <w:szCs w:val="15"/>
              </w:rPr>
            </w:pPr>
            <w:r w:rsidRPr="00493E2C">
              <w:rPr>
                <w:rFonts w:ascii="宋体" w:hAnsi="宋体" w:cs="宋体" w:hint="eastAsia"/>
                <w:color w:val="000000"/>
                <w:kern w:val="0"/>
                <w:sz w:val="15"/>
                <w:szCs w:val="15"/>
              </w:rPr>
              <w:t>销售费用</w:t>
            </w:r>
          </w:p>
        </w:tc>
        <w:tc>
          <w:tcPr>
            <w:tcW w:w="600"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42,846.25</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31,109.15</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18,623.63</w:t>
            </w:r>
          </w:p>
        </w:tc>
        <w:tc>
          <w:tcPr>
            <w:tcW w:w="598"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11,737.10</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37.73%</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12,485.52</w:t>
            </w:r>
          </w:p>
        </w:tc>
        <w:tc>
          <w:tcPr>
            <w:tcW w:w="594"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67.04%</w:t>
            </w:r>
          </w:p>
        </w:tc>
      </w:tr>
      <w:tr w:rsidR="00056F2B" w:rsidRPr="00493E2C" w:rsidTr="00056F2B">
        <w:trPr>
          <w:trHeight w:val="270"/>
        </w:trPr>
        <w:tc>
          <w:tcPr>
            <w:tcW w:w="970"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056F2B">
            <w:pPr>
              <w:widowControl/>
              <w:ind w:firstLineChars="100" w:firstLine="150"/>
              <w:jc w:val="left"/>
              <w:rPr>
                <w:rFonts w:ascii="宋体" w:hAnsi="宋体" w:cs="宋体"/>
                <w:color w:val="000000"/>
                <w:kern w:val="0"/>
                <w:sz w:val="15"/>
                <w:szCs w:val="15"/>
              </w:rPr>
            </w:pPr>
            <w:r w:rsidRPr="00493E2C">
              <w:rPr>
                <w:rFonts w:ascii="宋体" w:hAnsi="宋体" w:cs="宋体" w:hint="eastAsia"/>
                <w:color w:val="000000"/>
                <w:kern w:val="0"/>
                <w:sz w:val="15"/>
                <w:szCs w:val="15"/>
              </w:rPr>
              <w:t>其中：医药业务</w:t>
            </w:r>
          </w:p>
        </w:tc>
        <w:tc>
          <w:tcPr>
            <w:tcW w:w="600"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40,895.76</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28,858.65</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16,161.22</w:t>
            </w:r>
          </w:p>
        </w:tc>
        <w:tc>
          <w:tcPr>
            <w:tcW w:w="598"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12,037.11</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41.71%</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12,697.43</w:t>
            </w:r>
          </w:p>
        </w:tc>
        <w:tc>
          <w:tcPr>
            <w:tcW w:w="594"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78.57%</w:t>
            </w:r>
          </w:p>
        </w:tc>
      </w:tr>
      <w:tr w:rsidR="00056F2B" w:rsidRPr="00493E2C" w:rsidTr="00056F2B">
        <w:trPr>
          <w:trHeight w:val="270"/>
        </w:trPr>
        <w:tc>
          <w:tcPr>
            <w:tcW w:w="970" w:type="pct"/>
            <w:tcBorders>
              <w:top w:val="nil"/>
              <w:left w:val="single" w:sz="4" w:space="0" w:color="auto"/>
              <w:bottom w:val="single" w:sz="4" w:space="0" w:color="auto"/>
              <w:right w:val="single" w:sz="4" w:space="0" w:color="auto"/>
            </w:tcBorders>
            <w:shd w:val="clear" w:color="auto" w:fill="auto"/>
            <w:noWrap/>
            <w:vAlign w:val="center"/>
          </w:tcPr>
          <w:p w:rsidR="00DD05FC" w:rsidRPr="00493E2C" w:rsidRDefault="00DD05FC" w:rsidP="00056F2B">
            <w:pPr>
              <w:widowControl/>
              <w:jc w:val="left"/>
              <w:rPr>
                <w:rFonts w:ascii="宋体" w:hAnsi="宋体" w:cs="宋体"/>
                <w:color w:val="000000"/>
                <w:kern w:val="0"/>
                <w:sz w:val="15"/>
                <w:szCs w:val="15"/>
              </w:rPr>
            </w:pPr>
            <w:r w:rsidRPr="00493E2C">
              <w:rPr>
                <w:rFonts w:ascii="宋体" w:hAnsi="宋体" w:cs="宋体" w:hint="eastAsia"/>
                <w:color w:val="000000"/>
                <w:kern w:val="0"/>
                <w:sz w:val="15"/>
                <w:szCs w:val="15"/>
              </w:rPr>
              <w:t>医药销售业务销售费用占整体销售费用比例</w:t>
            </w:r>
          </w:p>
        </w:tc>
        <w:tc>
          <w:tcPr>
            <w:tcW w:w="600" w:type="pct"/>
            <w:tcBorders>
              <w:top w:val="nil"/>
              <w:left w:val="nil"/>
              <w:bottom w:val="single" w:sz="4" w:space="0" w:color="auto"/>
              <w:right w:val="single" w:sz="4" w:space="0" w:color="auto"/>
            </w:tcBorders>
            <w:shd w:val="clear" w:color="auto" w:fill="auto"/>
            <w:noWrap/>
            <w:vAlign w:val="center"/>
          </w:tcPr>
          <w:p w:rsidR="00DD05FC" w:rsidRPr="00056F2B" w:rsidRDefault="00DD05FC" w:rsidP="00056F2B">
            <w:pPr>
              <w:jc w:val="right"/>
              <w:rPr>
                <w:sz w:val="15"/>
                <w:szCs w:val="15"/>
              </w:rPr>
            </w:pPr>
            <w:r w:rsidRPr="00056F2B">
              <w:rPr>
                <w:sz w:val="15"/>
                <w:szCs w:val="15"/>
              </w:rPr>
              <w:t>95.45%</w:t>
            </w:r>
          </w:p>
        </w:tc>
        <w:tc>
          <w:tcPr>
            <w:tcW w:w="597" w:type="pct"/>
            <w:tcBorders>
              <w:top w:val="nil"/>
              <w:left w:val="nil"/>
              <w:bottom w:val="single" w:sz="4" w:space="0" w:color="auto"/>
              <w:right w:val="single" w:sz="4" w:space="0" w:color="auto"/>
            </w:tcBorders>
            <w:shd w:val="clear" w:color="auto" w:fill="auto"/>
            <w:noWrap/>
            <w:vAlign w:val="center"/>
          </w:tcPr>
          <w:p w:rsidR="00DD05FC" w:rsidRPr="00056F2B" w:rsidRDefault="00DD05FC" w:rsidP="00056F2B">
            <w:pPr>
              <w:jc w:val="right"/>
              <w:rPr>
                <w:sz w:val="15"/>
                <w:szCs w:val="15"/>
              </w:rPr>
            </w:pPr>
            <w:r w:rsidRPr="00056F2B">
              <w:rPr>
                <w:sz w:val="15"/>
                <w:szCs w:val="15"/>
              </w:rPr>
              <w:t>92.77%</w:t>
            </w:r>
          </w:p>
        </w:tc>
        <w:tc>
          <w:tcPr>
            <w:tcW w:w="522" w:type="pct"/>
            <w:tcBorders>
              <w:top w:val="nil"/>
              <w:left w:val="nil"/>
              <w:bottom w:val="single" w:sz="4" w:space="0" w:color="auto"/>
              <w:right w:val="single" w:sz="4" w:space="0" w:color="auto"/>
            </w:tcBorders>
            <w:shd w:val="clear" w:color="auto" w:fill="auto"/>
            <w:noWrap/>
            <w:vAlign w:val="center"/>
          </w:tcPr>
          <w:p w:rsidR="00DD05FC" w:rsidRPr="00056F2B" w:rsidRDefault="00DD05FC" w:rsidP="00056F2B">
            <w:pPr>
              <w:jc w:val="right"/>
              <w:rPr>
                <w:sz w:val="15"/>
                <w:szCs w:val="15"/>
              </w:rPr>
            </w:pPr>
            <w:r w:rsidRPr="00056F2B">
              <w:rPr>
                <w:sz w:val="15"/>
                <w:szCs w:val="15"/>
              </w:rPr>
              <w:t>86.78%</w:t>
            </w:r>
          </w:p>
        </w:tc>
        <w:tc>
          <w:tcPr>
            <w:tcW w:w="598" w:type="pct"/>
            <w:tcBorders>
              <w:top w:val="nil"/>
              <w:left w:val="nil"/>
              <w:bottom w:val="single" w:sz="4" w:space="0" w:color="auto"/>
              <w:right w:val="single" w:sz="4" w:space="0" w:color="auto"/>
            </w:tcBorders>
            <w:shd w:val="clear" w:color="auto" w:fill="auto"/>
            <w:noWrap/>
            <w:vAlign w:val="center"/>
          </w:tcPr>
          <w:p w:rsidR="00DD05FC" w:rsidRPr="00056F2B" w:rsidRDefault="00DD05FC" w:rsidP="00056F2B">
            <w:pPr>
              <w:jc w:val="right"/>
              <w:rPr>
                <w:sz w:val="15"/>
                <w:szCs w:val="15"/>
              </w:rPr>
            </w:pPr>
          </w:p>
        </w:tc>
        <w:tc>
          <w:tcPr>
            <w:tcW w:w="522" w:type="pct"/>
            <w:tcBorders>
              <w:top w:val="nil"/>
              <w:left w:val="nil"/>
              <w:bottom w:val="single" w:sz="4" w:space="0" w:color="auto"/>
              <w:right w:val="single" w:sz="4" w:space="0" w:color="auto"/>
            </w:tcBorders>
            <w:shd w:val="clear" w:color="auto" w:fill="auto"/>
            <w:noWrap/>
            <w:vAlign w:val="center"/>
          </w:tcPr>
          <w:p w:rsidR="00DD05FC" w:rsidRPr="00056F2B" w:rsidRDefault="00DD05FC" w:rsidP="00056F2B">
            <w:pPr>
              <w:jc w:val="right"/>
              <w:rPr>
                <w:sz w:val="15"/>
                <w:szCs w:val="15"/>
              </w:rPr>
            </w:pPr>
            <w:r w:rsidRPr="00056F2B">
              <w:rPr>
                <w:sz w:val="15"/>
                <w:szCs w:val="15"/>
              </w:rPr>
              <w:t>2.68%</w:t>
            </w:r>
          </w:p>
        </w:tc>
        <w:tc>
          <w:tcPr>
            <w:tcW w:w="597" w:type="pct"/>
            <w:tcBorders>
              <w:top w:val="nil"/>
              <w:left w:val="nil"/>
              <w:bottom w:val="single" w:sz="4" w:space="0" w:color="auto"/>
              <w:right w:val="single" w:sz="4" w:space="0" w:color="auto"/>
            </w:tcBorders>
            <w:shd w:val="clear" w:color="auto" w:fill="auto"/>
            <w:noWrap/>
            <w:vAlign w:val="center"/>
          </w:tcPr>
          <w:p w:rsidR="00DD05FC" w:rsidRPr="00056F2B" w:rsidRDefault="00DD05FC" w:rsidP="00056F2B">
            <w:pPr>
              <w:jc w:val="right"/>
              <w:rPr>
                <w:sz w:val="15"/>
                <w:szCs w:val="15"/>
              </w:rPr>
            </w:pPr>
          </w:p>
        </w:tc>
        <w:tc>
          <w:tcPr>
            <w:tcW w:w="594" w:type="pct"/>
            <w:tcBorders>
              <w:top w:val="nil"/>
              <w:left w:val="nil"/>
              <w:bottom w:val="single" w:sz="4" w:space="0" w:color="auto"/>
              <w:right w:val="single" w:sz="4" w:space="0" w:color="auto"/>
            </w:tcBorders>
            <w:shd w:val="clear" w:color="auto" w:fill="auto"/>
            <w:noWrap/>
            <w:vAlign w:val="center"/>
          </w:tcPr>
          <w:p w:rsidR="00DD05FC" w:rsidRPr="00056F2B" w:rsidRDefault="00DD05FC" w:rsidP="00056F2B">
            <w:pPr>
              <w:jc w:val="right"/>
              <w:rPr>
                <w:sz w:val="15"/>
                <w:szCs w:val="15"/>
              </w:rPr>
            </w:pPr>
            <w:r w:rsidRPr="00056F2B">
              <w:rPr>
                <w:sz w:val="15"/>
                <w:szCs w:val="15"/>
              </w:rPr>
              <w:t>5.99%</w:t>
            </w:r>
          </w:p>
        </w:tc>
      </w:tr>
      <w:tr w:rsidR="00056F2B" w:rsidRPr="00493E2C" w:rsidTr="00056F2B">
        <w:trPr>
          <w:trHeight w:val="270"/>
        </w:trPr>
        <w:tc>
          <w:tcPr>
            <w:tcW w:w="970"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056F2B">
            <w:pPr>
              <w:widowControl/>
              <w:jc w:val="left"/>
              <w:rPr>
                <w:rFonts w:ascii="宋体" w:hAnsi="宋体" w:cs="宋体"/>
                <w:color w:val="000000"/>
                <w:kern w:val="0"/>
                <w:sz w:val="15"/>
                <w:szCs w:val="15"/>
              </w:rPr>
            </w:pPr>
            <w:r w:rsidRPr="00493E2C">
              <w:rPr>
                <w:rFonts w:ascii="宋体" w:hAnsi="宋体" w:cs="宋体" w:hint="eastAsia"/>
                <w:color w:val="000000"/>
                <w:kern w:val="0"/>
                <w:sz w:val="15"/>
                <w:szCs w:val="15"/>
              </w:rPr>
              <w:t>销售费用率</w:t>
            </w:r>
          </w:p>
        </w:tc>
        <w:tc>
          <w:tcPr>
            <w:tcW w:w="600"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25.33%</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10.55%</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4.67%</w:t>
            </w:r>
          </w:p>
        </w:tc>
        <w:tc>
          <w:tcPr>
            <w:tcW w:w="598"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14.78%</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 xml:space="preserve">　</w:t>
            </w:r>
          </w:p>
        </w:tc>
        <w:tc>
          <w:tcPr>
            <w:tcW w:w="594"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5.88%</w:t>
            </w:r>
          </w:p>
        </w:tc>
      </w:tr>
      <w:tr w:rsidR="00056F2B" w:rsidRPr="00493E2C" w:rsidTr="00056F2B">
        <w:trPr>
          <w:trHeight w:val="270"/>
        </w:trPr>
        <w:tc>
          <w:tcPr>
            <w:tcW w:w="970"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056F2B">
            <w:pPr>
              <w:widowControl/>
              <w:ind w:firstLineChars="100" w:firstLine="150"/>
              <w:jc w:val="left"/>
              <w:rPr>
                <w:rFonts w:ascii="宋体" w:hAnsi="宋体" w:cs="宋体"/>
                <w:color w:val="000000"/>
                <w:kern w:val="0"/>
                <w:sz w:val="15"/>
                <w:szCs w:val="15"/>
              </w:rPr>
            </w:pPr>
            <w:r w:rsidRPr="00493E2C">
              <w:rPr>
                <w:rFonts w:ascii="宋体" w:hAnsi="宋体" w:cs="宋体" w:hint="eastAsia"/>
                <w:color w:val="000000"/>
                <w:kern w:val="0"/>
                <w:sz w:val="15"/>
                <w:szCs w:val="15"/>
              </w:rPr>
              <w:t>其中：医药业务</w:t>
            </w:r>
          </w:p>
        </w:tc>
        <w:tc>
          <w:tcPr>
            <w:tcW w:w="600"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31.23%</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24.80%</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16.85%</w:t>
            </w:r>
          </w:p>
        </w:tc>
        <w:tc>
          <w:tcPr>
            <w:tcW w:w="598"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6.43%</w:t>
            </w:r>
          </w:p>
        </w:tc>
        <w:tc>
          <w:tcPr>
            <w:tcW w:w="597"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 xml:space="preserve">　</w:t>
            </w:r>
          </w:p>
        </w:tc>
        <w:tc>
          <w:tcPr>
            <w:tcW w:w="594" w:type="pct"/>
            <w:tcBorders>
              <w:top w:val="nil"/>
              <w:left w:val="nil"/>
              <w:bottom w:val="single" w:sz="4" w:space="0" w:color="auto"/>
              <w:right w:val="single" w:sz="4" w:space="0" w:color="auto"/>
            </w:tcBorders>
            <w:shd w:val="clear" w:color="auto" w:fill="auto"/>
            <w:noWrap/>
            <w:vAlign w:val="center"/>
            <w:hideMark/>
          </w:tcPr>
          <w:p w:rsidR="00DD05FC" w:rsidRPr="00056F2B" w:rsidRDefault="00DD05FC" w:rsidP="00056F2B">
            <w:pPr>
              <w:jc w:val="right"/>
              <w:rPr>
                <w:sz w:val="15"/>
                <w:szCs w:val="15"/>
              </w:rPr>
            </w:pPr>
            <w:r w:rsidRPr="00056F2B">
              <w:rPr>
                <w:rFonts w:hint="eastAsia"/>
                <w:sz w:val="15"/>
                <w:szCs w:val="15"/>
              </w:rPr>
              <w:t>7.96%</w:t>
            </w:r>
          </w:p>
        </w:tc>
      </w:tr>
    </w:tbl>
    <w:p w:rsidR="00DD05FC" w:rsidRPr="00597961" w:rsidRDefault="00DD05FC" w:rsidP="00DD05FC">
      <w:pPr>
        <w:spacing w:line="360" w:lineRule="auto"/>
        <w:ind w:right="1" w:firstLineChars="200" w:firstLine="480"/>
        <w:rPr>
          <w:rStyle w:val="afont1"/>
          <w:rFonts w:ascii="宋体" w:hAnsi="宋体"/>
          <w:sz w:val="24"/>
        </w:rPr>
      </w:pPr>
      <w:r w:rsidRPr="00493E2C">
        <w:rPr>
          <w:rStyle w:val="afont1"/>
          <w:rFonts w:ascii="宋体" w:hAnsi="宋体" w:hint="eastAsia"/>
          <w:sz w:val="24"/>
        </w:rPr>
        <w:t>2018年度公司主营业务收入同比下降42.63%，主要原因为2018年较2017年度相比，减少了2017年度转让的苏州兴瑞贵金属材料有限公司主营业务收入76,609.99万元（公司2017年度转让子公司苏州兴瑞贵金属材料有限公司 51%股权，转让后不再纳入合并范围），另外2018年度由于子公司响水</w:t>
      </w:r>
      <w:proofErr w:type="gramStart"/>
      <w:r w:rsidRPr="00493E2C">
        <w:rPr>
          <w:rStyle w:val="afont1"/>
          <w:rFonts w:ascii="宋体" w:hAnsi="宋体" w:hint="eastAsia"/>
          <w:sz w:val="24"/>
        </w:rPr>
        <w:t>恒</w:t>
      </w:r>
      <w:proofErr w:type="gramEnd"/>
      <w:r w:rsidRPr="00493E2C">
        <w:rPr>
          <w:rStyle w:val="afont1"/>
          <w:rFonts w:ascii="宋体" w:hAnsi="宋体" w:hint="eastAsia"/>
          <w:sz w:val="24"/>
        </w:rPr>
        <w:t>利达科技化工有限公司所在化工园区环保整治，导致2018年度响水</w:t>
      </w:r>
      <w:proofErr w:type="gramStart"/>
      <w:r w:rsidRPr="00493E2C">
        <w:rPr>
          <w:rStyle w:val="afont1"/>
          <w:rFonts w:ascii="宋体" w:hAnsi="宋体" w:hint="eastAsia"/>
          <w:sz w:val="24"/>
        </w:rPr>
        <w:t>恒</w:t>
      </w:r>
      <w:proofErr w:type="gramEnd"/>
      <w:r w:rsidRPr="00493E2C">
        <w:rPr>
          <w:rStyle w:val="afont1"/>
          <w:rFonts w:ascii="宋体" w:hAnsi="宋体" w:hint="eastAsia"/>
          <w:sz w:val="24"/>
        </w:rPr>
        <w:t>利达收入同比下降41,061.70</w:t>
      </w:r>
      <w:r w:rsidRPr="004D5CD1">
        <w:rPr>
          <w:rStyle w:val="afont1"/>
          <w:rFonts w:ascii="宋体" w:hAnsi="宋体" w:hint="eastAsia"/>
          <w:sz w:val="24"/>
        </w:rPr>
        <w:t>万元，下降</w:t>
      </w:r>
      <w:r w:rsidRPr="005F4824">
        <w:rPr>
          <w:rStyle w:val="afont1"/>
          <w:rFonts w:ascii="宋体" w:hAnsi="宋体" w:hint="eastAsia"/>
          <w:sz w:val="24"/>
        </w:rPr>
        <w:t>63.25%</w:t>
      </w:r>
      <w:r w:rsidRPr="00BF4B3A">
        <w:rPr>
          <w:rStyle w:val="afont1"/>
          <w:rFonts w:ascii="宋体" w:hAnsi="宋体" w:hint="eastAsia"/>
          <w:sz w:val="24"/>
        </w:rPr>
        <w:t>，而上述该两公司销售费用占主营业务收入比都较低。</w:t>
      </w:r>
      <w:r w:rsidRPr="00597961">
        <w:rPr>
          <w:rFonts w:ascii="宋体" w:hAnsi="宋体" w:hint="eastAsia"/>
          <w:sz w:val="24"/>
        </w:rPr>
        <w:t>而同期公司医药业务主营业务收入同比增长</w:t>
      </w:r>
      <w:r w:rsidRPr="00493E2C">
        <w:rPr>
          <w:rFonts w:ascii="宋体" w:hAnsi="宋体" w:hint="eastAsia"/>
          <w:sz w:val="24"/>
        </w:rPr>
        <w:t>14,606.07</w:t>
      </w:r>
      <w:r w:rsidRPr="004D5CD1">
        <w:rPr>
          <w:rFonts w:ascii="宋体" w:hAnsi="宋体" w:hint="eastAsia"/>
          <w:sz w:val="24"/>
        </w:rPr>
        <w:t>万元，增长</w:t>
      </w:r>
      <w:r w:rsidRPr="005F4824">
        <w:rPr>
          <w:rFonts w:ascii="宋体" w:hAnsi="宋体" w:hint="eastAsia"/>
          <w:sz w:val="24"/>
        </w:rPr>
        <w:t>12.55%</w:t>
      </w:r>
      <w:r w:rsidRPr="00BF4B3A">
        <w:rPr>
          <w:rFonts w:ascii="宋体" w:hAnsi="宋体" w:hint="eastAsia"/>
          <w:sz w:val="24"/>
        </w:rPr>
        <w:t>；</w:t>
      </w:r>
    </w:p>
    <w:p w:rsidR="00DD05FC" w:rsidRPr="00597961" w:rsidRDefault="00DD05FC" w:rsidP="00DD05FC">
      <w:pPr>
        <w:spacing w:line="360" w:lineRule="auto"/>
        <w:ind w:firstLineChars="200" w:firstLine="480"/>
        <w:rPr>
          <w:rFonts w:ascii="宋体" w:hAnsi="宋体"/>
          <w:sz w:val="24"/>
        </w:rPr>
      </w:pPr>
      <w:r>
        <w:rPr>
          <w:rFonts w:ascii="宋体" w:hAnsi="宋体" w:hint="eastAsia"/>
          <w:sz w:val="24"/>
        </w:rPr>
        <w:t>医药业务销售费用占整体销售费用的比例较高，2016年-2018年分别为86.78%、92.77%和95.45%。</w:t>
      </w:r>
      <w:r w:rsidRPr="00597961">
        <w:rPr>
          <w:rStyle w:val="afont1"/>
          <w:rFonts w:ascii="宋体" w:hAnsi="宋体" w:hint="eastAsia"/>
          <w:sz w:val="24"/>
        </w:rPr>
        <w:t>2018</w:t>
      </w:r>
      <w:r w:rsidRPr="00E47C0C">
        <w:rPr>
          <w:rStyle w:val="afont1"/>
          <w:rFonts w:ascii="宋体" w:hAnsi="宋体" w:hint="eastAsia"/>
          <w:sz w:val="24"/>
        </w:rPr>
        <w:t>年度公司销售费用同比上升37.73%</w:t>
      </w:r>
      <w:r w:rsidRPr="00FC007F">
        <w:rPr>
          <w:rStyle w:val="afont1"/>
          <w:rFonts w:ascii="宋体" w:hAnsi="宋体" w:hint="eastAsia"/>
          <w:sz w:val="24"/>
        </w:rPr>
        <w:t>，主要原因为</w:t>
      </w:r>
      <w:r w:rsidRPr="00FC007F">
        <w:rPr>
          <w:rFonts w:ascii="宋体" w:hAnsi="宋体" w:hint="eastAsia"/>
          <w:sz w:val="24"/>
        </w:rPr>
        <w:t>医药业务销售费用同比上升</w:t>
      </w:r>
      <w:r w:rsidRPr="00493E2C">
        <w:rPr>
          <w:rFonts w:ascii="宋体" w:hAnsi="宋体" w:hint="eastAsia"/>
          <w:sz w:val="24"/>
        </w:rPr>
        <w:t>12,037.11</w:t>
      </w:r>
      <w:r w:rsidRPr="004D5CD1">
        <w:rPr>
          <w:rFonts w:ascii="宋体" w:hAnsi="宋体" w:hint="eastAsia"/>
          <w:sz w:val="24"/>
        </w:rPr>
        <w:t>万元，上升</w:t>
      </w:r>
      <w:r>
        <w:rPr>
          <w:rFonts w:ascii="宋体" w:hAnsi="宋体" w:hint="eastAsia"/>
          <w:sz w:val="24"/>
        </w:rPr>
        <w:t>幅度</w:t>
      </w:r>
      <w:r w:rsidRPr="005F4824">
        <w:rPr>
          <w:rFonts w:ascii="宋体" w:hAnsi="宋体" w:hint="eastAsia"/>
          <w:sz w:val="24"/>
        </w:rPr>
        <w:t>41.71%</w:t>
      </w:r>
      <w:r>
        <w:rPr>
          <w:rFonts w:ascii="宋体" w:hAnsi="宋体" w:hint="eastAsia"/>
          <w:sz w:val="24"/>
        </w:rPr>
        <w:t>（对销售费用的分析将重点放在医药业务销售费用，详述见后）</w:t>
      </w:r>
      <w:r w:rsidRPr="00BF4B3A">
        <w:rPr>
          <w:rFonts w:ascii="宋体" w:hAnsi="宋体" w:hint="eastAsia"/>
          <w:sz w:val="24"/>
        </w:rPr>
        <w:t>。</w:t>
      </w:r>
    </w:p>
    <w:p w:rsidR="00DD05FC" w:rsidRPr="00426630" w:rsidRDefault="00DD05FC" w:rsidP="00DD05FC">
      <w:pPr>
        <w:spacing w:line="360" w:lineRule="auto"/>
        <w:ind w:firstLineChars="200" w:firstLine="480"/>
        <w:rPr>
          <w:rStyle w:val="afont1"/>
          <w:rFonts w:ascii="宋体" w:hAnsi="宋体"/>
          <w:sz w:val="24"/>
        </w:rPr>
      </w:pPr>
      <w:r w:rsidRPr="00597961">
        <w:rPr>
          <w:rFonts w:ascii="宋体" w:hAnsi="宋体" w:hint="eastAsia"/>
          <w:sz w:val="24"/>
        </w:rPr>
        <w:t>公司报告期内主营业务收入变动与销售费用</w:t>
      </w:r>
      <w:r w:rsidRPr="00E47C0C">
        <w:rPr>
          <w:rFonts w:ascii="宋体" w:hAnsi="宋体" w:hint="eastAsia"/>
          <w:sz w:val="24"/>
        </w:rPr>
        <w:t>变动趋势存在不一致</w:t>
      </w:r>
      <w:r w:rsidRPr="00493E2C">
        <w:rPr>
          <w:rFonts w:ascii="宋体" w:hAnsi="宋体" w:hint="eastAsia"/>
          <w:sz w:val="24"/>
        </w:rPr>
        <w:t>的主要原</w:t>
      </w:r>
      <w:r w:rsidRPr="00493E2C">
        <w:rPr>
          <w:rFonts w:ascii="宋体" w:hAnsi="宋体" w:hint="eastAsia"/>
          <w:sz w:val="24"/>
        </w:rPr>
        <w:lastRenderedPageBreak/>
        <w:t>因为</w:t>
      </w:r>
      <w:r w:rsidRPr="00493E2C">
        <w:rPr>
          <w:rStyle w:val="afont1"/>
          <w:rFonts w:ascii="宋体" w:hAnsi="宋体" w:hint="eastAsia"/>
          <w:sz w:val="24"/>
        </w:rPr>
        <w:t>苏州兴瑞贵金属材料有限公司和响水</w:t>
      </w:r>
      <w:proofErr w:type="gramStart"/>
      <w:r w:rsidRPr="00493E2C">
        <w:rPr>
          <w:rStyle w:val="afont1"/>
          <w:rFonts w:ascii="宋体" w:hAnsi="宋体" w:hint="eastAsia"/>
          <w:sz w:val="24"/>
        </w:rPr>
        <w:t>恒</w:t>
      </w:r>
      <w:proofErr w:type="gramEnd"/>
      <w:r w:rsidRPr="00493E2C">
        <w:rPr>
          <w:rStyle w:val="afont1"/>
          <w:rFonts w:ascii="宋体" w:hAnsi="宋体" w:hint="eastAsia"/>
          <w:sz w:val="24"/>
        </w:rPr>
        <w:t>利达收入变动引起了收入的同比大幅下降，而</w:t>
      </w:r>
      <w:r w:rsidRPr="00493E2C">
        <w:rPr>
          <w:rFonts w:ascii="宋体" w:hAnsi="宋体" w:hint="eastAsia"/>
          <w:sz w:val="24"/>
        </w:rPr>
        <w:t>医药业务营业收入和销售费用保持同步增长（因基数不同，两者增幅有所不同）</w:t>
      </w:r>
      <w:r w:rsidRPr="00493E2C">
        <w:rPr>
          <w:rStyle w:val="afont1"/>
          <w:rFonts w:ascii="宋体" w:hAnsi="宋体" w:hint="eastAsia"/>
          <w:sz w:val="24"/>
        </w:rPr>
        <w:t>。</w:t>
      </w:r>
    </w:p>
    <w:p w:rsidR="00DD05FC" w:rsidRPr="00433C93" w:rsidRDefault="00DD05FC" w:rsidP="00DD05FC">
      <w:pPr>
        <w:spacing w:line="360" w:lineRule="auto"/>
        <w:ind w:firstLineChars="200" w:firstLine="480"/>
        <w:rPr>
          <w:rStyle w:val="afont1"/>
          <w:rFonts w:ascii="宋体" w:hAnsi="宋体"/>
          <w:sz w:val="24"/>
        </w:rPr>
      </w:pPr>
      <w:r w:rsidRPr="00433C93">
        <w:rPr>
          <w:rStyle w:val="afont1"/>
          <w:rFonts w:ascii="宋体" w:hAnsi="宋体" w:hint="eastAsia"/>
          <w:sz w:val="24"/>
        </w:rPr>
        <w:t>2018年同2017年、2016年相比，公司医药业务销售人员没有较大变动。</w:t>
      </w:r>
    </w:p>
    <w:p w:rsidR="00DD05FC" w:rsidRPr="009351F3" w:rsidRDefault="00DD05FC" w:rsidP="00DD05FC">
      <w:pPr>
        <w:spacing w:line="360" w:lineRule="auto"/>
        <w:rPr>
          <w:rStyle w:val="afont1"/>
          <w:rFonts w:ascii="宋体" w:hAnsi="宋体"/>
          <w:sz w:val="24"/>
        </w:rPr>
      </w:pPr>
      <w:r w:rsidRPr="00E25603">
        <w:rPr>
          <w:rStyle w:val="afont1"/>
          <w:rFonts w:ascii="宋体" w:hAnsi="宋体" w:hint="eastAsia"/>
          <w:sz w:val="24"/>
        </w:rPr>
        <w:t>而由于受国家医药流通体制改革，公司销售模式和销售政策有所改变（详见“2</w:t>
      </w:r>
      <w:r w:rsidRPr="00134A43">
        <w:rPr>
          <w:rStyle w:val="afont1"/>
          <w:rFonts w:ascii="宋体" w:hAnsi="宋体" w:hint="eastAsia"/>
          <w:sz w:val="24"/>
        </w:rPr>
        <w:t>、</w:t>
      </w:r>
      <w:r w:rsidRPr="009351F3">
        <w:rPr>
          <w:rStyle w:val="afont1"/>
          <w:rFonts w:ascii="宋体" w:hAnsi="宋体" w:hint="eastAsia"/>
          <w:sz w:val="24"/>
        </w:rPr>
        <w:t>进一步说明并解释近年来咨询费倍增的原因及合理性”中说明）。</w:t>
      </w:r>
    </w:p>
    <w:p w:rsidR="00DD05FC" w:rsidRPr="00493E2C" w:rsidRDefault="00DD05FC" w:rsidP="00DD05FC">
      <w:pPr>
        <w:spacing w:line="360" w:lineRule="auto"/>
        <w:ind w:firstLineChars="200" w:firstLine="480"/>
        <w:rPr>
          <w:rStyle w:val="afont1"/>
          <w:rFonts w:ascii="宋体" w:hAnsi="宋体"/>
          <w:sz w:val="24"/>
        </w:rPr>
      </w:pPr>
      <w:r w:rsidRPr="007B379A">
        <w:rPr>
          <w:rStyle w:val="afont1"/>
          <w:rFonts w:ascii="宋体" w:hAnsi="宋体" w:hint="eastAsia"/>
          <w:sz w:val="24"/>
        </w:rPr>
        <w:t>2、进一步说明并解释近年来咨询费倍增的原因及合理性</w:t>
      </w:r>
      <w:r w:rsidR="00064426">
        <w:rPr>
          <w:rStyle w:val="afont1"/>
          <w:rFonts w:ascii="宋体" w:hAnsi="宋体" w:hint="eastAsia"/>
          <w:sz w:val="24"/>
        </w:rPr>
        <w:t>。</w:t>
      </w:r>
    </w:p>
    <w:p w:rsidR="00DD05FC" w:rsidRPr="00493E2C" w:rsidRDefault="00DD05FC" w:rsidP="00DD05FC">
      <w:pPr>
        <w:spacing w:line="360" w:lineRule="auto"/>
        <w:rPr>
          <w:rStyle w:val="afont1"/>
          <w:rFonts w:ascii="宋体" w:hAnsi="宋体"/>
          <w:sz w:val="24"/>
        </w:rPr>
      </w:pPr>
      <w:r w:rsidRPr="00493E2C">
        <w:rPr>
          <w:rStyle w:val="afont1"/>
          <w:rFonts w:ascii="宋体" w:hAnsi="宋体" w:hint="eastAsia"/>
          <w:sz w:val="24"/>
        </w:rPr>
        <w:t xml:space="preserve">    公司销售费用中咨询费倍增主要是医药业务咨询费上升。   </w:t>
      </w:r>
    </w:p>
    <w:p w:rsidR="00DD05FC" w:rsidRPr="00493E2C" w:rsidRDefault="00DD05FC" w:rsidP="00DD05FC">
      <w:pPr>
        <w:pStyle w:val="a5"/>
        <w:spacing w:line="360" w:lineRule="auto"/>
        <w:ind w:firstLineChars="177" w:firstLine="425"/>
        <w:rPr>
          <w:rFonts w:ascii="宋体" w:hAnsi="宋体"/>
          <w:sz w:val="24"/>
        </w:rPr>
      </w:pPr>
      <w:r w:rsidRPr="00493E2C">
        <w:rPr>
          <w:rFonts w:ascii="宋体" w:hAnsi="宋体" w:hint="eastAsia"/>
          <w:sz w:val="24"/>
        </w:rPr>
        <w:t>1</w:t>
      </w:r>
      <w:r w:rsidR="00064426">
        <w:rPr>
          <w:rFonts w:ascii="宋体" w:hAnsi="宋体" w:hint="eastAsia"/>
          <w:sz w:val="24"/>
        </w:rPr>
        <w:t>）</w:t>
      </w:r>
      <w:r w:rsidRPr="00493E2C">
        <w:rPr>
          <w:rFonts w:ascii="宋体" w:hAnsi="宋体" w:hint="eastAsia"/>
          <w:sz w:val="24"/>
        </w:rPr>
        <w:t>随着</w:t>
      </w:r>
      <w:r w:rsidRPr="00493E2C">
        <w:rPr>
          <w:rFonts w:ascii="宋体" w:hAnsi="宋体"/>
          <w:sz w:val="24"/>
        </w:rPr>
        <w:t>医药流通体制改革，</w:t>
      </w:r>
      <w:r w:rsidRPr="00493E2C">
        <w:rPr>
          <w:rFonts w:ascii="宋体" w:hAnsi="宋体" w:hint="eastAsia"/>
          <w:sz w:val="24"/>
        </w:rPr>
        <w:t>2017年“</w:t>
      </w:r>
      <w:r w:rsidRPr="00493E2C">
        <w:rPr>
          <w:rFonts w:ascii="宋体" w:hAnsi="宋体"/>
          <w:sz w:val="24"/>
        </w:rPr>
        <w:t>两票制</w:t>
      </w:r>
      <w:r w:rsidRPr="00493E2C">
        <w:rPr>
          <w:rFonts w:ascii="宋体" w:hAnsi="宋体" w:hint="eastAsia"/>
          <w:sz w:val="24"/>
        </w:rPr>
        <w:t>”开始在全国</w:t>
      </w:r>
      <w:r w:rsidRPr="00493E2C">
        <w:rPr>
          <w:rFonts w:ascii="宋体" w:hAnsi="宋体"/>
          <w:sz w:val="24"/>
        </w:rPr>
        <w:t xml:space="preserve">全面推开 </w:t>
      </w:r>
      <w:r w:rsidRPr="00493E2C">
        <w:rPr>
          <w:rFonts w:ascii="宋体" w:hAnsi="宋体" w:hint="eastAsia"/>
          <w:sz w:val="24"/>
        </w:rPr>
        <w:t>。</w:t>
      </w:r>
      <w:r w:rsidRPr="00493E2C">
        <w:rPr>
          <w:rFonts w:ascii="宋体" w:hAnsi="宋体"/>
          <w:sz w:val="24"/>
        </w:rPr>
        <w:t>2017 年 1 月</w:t>
      </w:r>
      <w:r w:rsidRPr="00493E2C">
        <w:rPr>
          <w:rFonts w:ascii="宋体" w:hAnsi="宋体" w:hint="eastAsia"/>
          <w:sz w:val="24"/>
        </w:rPr>
        <w:t>9日</w:t>
      </w:r>
      <w:r w:rsidRPr="00493E2C">
        <w:rPr>
          <w:rFonts w:ascii="宋体" w:hAnsi="宋体"/>
          <w:sz w:val="24"/>
        </w:rPr>
        <w:t>，国务院</w:t>
      </w:r>
      <w:proofErr w:type="gramStart"/>
      <w:r w:rsidRPr="00493E2C">
        <w:rPr>
          <w:rFonts w:ascii="宋体" w:hAnsi="宋体"/>
          <w:sz w:val="24"/>
        </w:rPr>
        <w:t>医</w:t>
      </w:r>
      <w:proofErr w:type="gramEnd"/>
      <w:r w:rsidRPr="00493E2C">
        <w:rPr>
          <w:rFonts w:ascii="宋体" w:hAnsi="宋体"/>
          <w:sz w:val="24"/>
        </w:rPr>
        <w:t>改办等联合发文</w:t>
      </w:r>
      <w:r w:rsidRPr="00493E2C">
        <w:rPr>
          <w:rFonts w:ascii="宋体" w:hAnsi="宋体" w:hint="eastAsia"/>
          <w:sz w:val="24"/>
        </w:rPr>
        <w:t>《关于在公立医疗机构药品采购中推行 “两票制”的实施意见（试行）》国医改办发〔2016〕4号，</w:t>
      </w:r>
      <w:r w:rsidRPr="00493E2C">
        <w:rPr>
          <w:rFonts w:ascii="宋体" w:hAnsi="宋体"/>
          <w:sz w:val="24"/>
        </w:rPr>
        <w:t>要求公立医疗机构药品采购中逐步推行两票制，争取到 2018 年在全国全面推开。根据各省的执行情况</w:t>
      </w:r>
      <w:r w:rsidRPr="00493E2C">
        <w:rPr>
          <w:rFonts w:ascii="宋体" w:hAnsi="宋体" w:hint="eastAsia"/>
          <w:sz w:val="24"/>
        </w:rPr>
        <w:t>，</w:t>
      </w:r>
      <w:r w:rsidRPr="00493E2C">
        <w:rPr>
          <w:rFonts w:ascii="宋体" w:hAnsi="宋体"/>
          <w:sz w:val="24"/>
        </w:rPr>
        <w:t>在</w:t>
      </w:r>
      <w:r w:rsidRPr="00493E2C">
        <w:rPr>
          <w:rFonts w:ascii="宋体" w:hAnsi="宋体" w:hint="eastAsia"/>
          <w:sz w:val="24"/>
        </w:rPr>
        <w:t>2017-2018年分批逐步推行，江苏省推行时间为2017年12月31日前。随着两票制的推行，公司的营销模式也随之改变。</w:t>
      </w:r>
    </w:p>
    <w:p w:rsidR="00DD05FC" w:rsidRPr="00493E2C" w:rsidRDefault="00DD05FC" w:rsidP="00DD05FC">
      <w:pPr>
        <w:pStyle w:val="a5"/>
        <w:numPr>
          <w:ilvl w:val="0"/>
          <w:numId w:val="4"/>
        </w:numPr>
        <w:suppressAutoHyphens/>
        <w:spacing w:line="360" w:lineRule="auto"/>
        <w:ind w:firstLineChars="0"/>
        <w:jc w:val="left"/>
        <w:rPr>
          <w:rFonts w:ascii="宋体" w:hAnsi="宋体"/>
          <w:sz w:val="24"/>
        </w:rPr>
      </w:pPr>
      <w:r w:rsidRPr="00493E2C">
        <w:rPr>
          <w:rFonts w:ascii="宋体" w:hAnsi="宋体"/>
          <w:sz w:val="24"/>
        </w:rPr>
        <w:t>公司的营销模式中的</w:t>
      </w:r>
      <w:r w:rsidRPr="00493E2C">
        <w:rPr>
          <w:rFonts w:ascii="宋体" w:hAnsi="宋体" w:hint="eastAsia"/>
          <w:sz w:val="24"/>
        </w:rPr>
        <w:t>销售</w:t>
      </w:r>
      <w:r w:rsidRPr="00493E2C">
        <w:rPr>
          <w:rFonts w:ascii="宋体" w:hAnsi="宋体"/>
          <w:sz w:val="24"/>
        </w:rPr>
        <w:t>环节发生变化</w:t>
      </w:r>
    </w:p>
    <w:p w:rsidR="00DD05FC" w:rsidRPr="00597961" w:rsidRDefault="00DD05FC" w:rsidP="00DD05FC">
      <w:pPr>
        <w:pStyle w:val="a5"/>
        <w:spacing w:line="360" w:lineRule="auto"/>
        <w:ind w:firstLineChars="177" w:firstLine="425"/>
        <w:jc w:val="left"/>
        <w:rPr>
          <w:rFonts w:ascii="宋体" w:hAnsi="宋体"/>
          <w:sz w:val="24"/>
        </w:rPr>
      </w:pPr>
      <w:r w:rsidRPr="00493E2C">
        <w:rPr>
          <w:rFonts w:ascii="宋体" w:hAnsi="宋体"/>
          <w:sz w:val="24"/>
        </w:rPr>
        <w:t>公司</w:t>
      </w:r>
      <w:r w:rsidRPr="00493E2C">
        <w:rPr>
          <w:rFonts w:ascii="宋体" w:hAnsi="宋体" w:hint="eastAsia"/>
          <w:sz w:val="24"/>
        </w:rPr>
        <w:t>部分药品的销售由原销售给外地商业公司，通过</w:t>
      </w:r>
      <w:r w:rsidRPr="004D5CD1">
        <w:rPr>
          <w:rFonts w:ascii="宋体" w:hAnsi="宋体" w:hint="eastAsia"/>
          <w:sz w:val="24"/>
        </w:rPr>
        <w:t>外地商业公司进行多次分销，</w:t>
      </w:r>
      <w:r w:rsidRPr="005F4824">
        <w:rPr>
          <w:rFonts w:ascii="宋体" w:hAnsi="宋体" w:hint="eastAsia"/>
          <w:sz w:val="24"/>
        </w:rPr>
        <w:t>再进入公立医院或终端的模式变更为</w:t>
      </w:r>
      <w:r w:rsidRPr="00BF4B3A">
        <w:rPr>
          <w:rFonts w:ascii="宋体" w:hAnsi="宋体"/>
          <w:sz w:val="24"/>
        </w:rPr>
        <w:t>直接将产品销售给配送商</w:t>
      </w:r>
      <w:r w:rsidRPr="00597961">
        <w:rPr>
          <w:rFonts w:ascii="宋体" w:hAnsi="宋体" w:hint="eastAsia"/>
          <w:sz w:val="24"/>
        </w:rPr>
        <w:t>，</w:t>
      </w:r>
      <w:proofErr w:type="gramStart"/>
      <w:r w:rsidRPr="00597961">
        <w:rPr>
          <w:rFonts w:ascii="宋体" w:hAnsi="宋体" w:hint="eastAsia"/>
          <w:sz w:val="24"/>
        </w:rPr>
        <w:t>配送商</w:t>
      </w:r>
      <w:proofErr w:type="gramEnd"/>
      <w:r w:rsidRPr="00597961">
        <w:rPr>
          <w:rFonts w:ascii="宋体" w:hAnsi="宋体" w:hint="eastAsia"/>
          <w:sz w:val="24"/>
        </w:rPr>
        <w:t>负责销往公立医院和终端的符合国家政策要求的“两票制”模式。</w:t>
      </w:r>
    </w:p>
    <w:p w:rsidR="00DD05FC" w:rsidRPr="00FC007F" w:rsidRDefault="00DD05FC" w:rsidP="00DD05FC">
      <w:pPr>
        <w:pStyle w:val="a5"/>
        <w:spacing w:line="360" w:lineRule="auto"/>
        <w:ind w:firstLineChars="236" w:firstLine="566"/>
        <w:jc w:val="left"/>
        <w:rPr>
          <w:rFonts w:ascii="宋体" w:hAnsi="宋体"/>
          <w:sz w:val="24"/>
        </w:rPr>
      </w:pPr>
      <w:r w:rsidRPr="00E47C0C">
        <w:rPr>
          <w:rFonts w:ascii="宋体" w:hAnsi="宋体" w:hint="eastAsia"/>
          <w:sz w:val="24"/>
        </w:rPr>
        <w:t>B</w:t>
      </w:r>
      <w:r w:rsidRPr="00FC007F">
        <w:rPr>
          <w:rFonts w:ascii="宋体" w:hAnsi="宋体" w:hint="eastAsia"/>
          <w:sz w:val="24"/>
        </w:rPr>
        <w:t>、公司结算模式变化</w:t>
      </w:r>
    </w:p>
    <w:p w:rsidR="00DD05FC" w:rsidRPr="00426630" w:rsidRDefault="00DD05FC" w:rsidP="00DD05FC">
      <w:pPr>
        <w:pStyle w:val="a5"/>
        <w:spacing w:line="360" w:lineRule="auto"/>
        <w:ind w:firstLineChars="236" w:firstLine="566"/>
        <w:jc w:val="left"/>
        <w:rPr>
          <w:rFonts w:ascii="宋体" w:hAnsi="宋体"/>
          <w:sz w:val="24"/>
        </w:rPr>
      </w:pPr>
      <w:r w:rsidRPr="00426630">
        <w:rPr>
          <w:rFonts w:ascii="宋体" w:hAnsi="宋体"/>
          <w:sz w:val="24"/>
        </w:rPr>
        <w:t>公司营销模式在“两票制”实施之前，公司销售模式采用区域代理制</w:t>
      </w:r>
      <w:r w:rsidRPr="00426630">
        <w:rPr>
          <w:rFonts w:ascii="宋体" w:hAnsi="宋体" w:hint="eastAsia"/>
          <w:sz w:val="24"/>
        </w:rPr>
        <w:t>。原销售模式下：</w:t>
      </w:r>
    </w:p>
    <w:p w:rsidR="00DD05FC" w:rsidRPr="007B379A" w:rsidRDefault="00DD05FC" w:rsidP="00DD05FC">
      <w:pPr>
        <w:pStyle w:val="a5"/>
        <w:spacing w:line="360" w:lineRule="auto"/>
        <w:ind w:firstLineChars="235" w:firstLine="564"/>
        <w:jc w:val="left"/>
        <w:rPr>
          <w:rFonts w:ascii="宋体" w:hAnsi="宋体"/>
          <w:sz w:val="24"/>
        </w:rPr>
      </w:pPr>
      <w:r w:rsidRPr="00433C93">
        <w:rPr>
          <w:rFonts w:ascii="宋体" w:hAnsi="宋体"/>
          <w:sz w:val="24"/>
        </w:rPr>
        <w:t>代理商负责区域渠道开拓、市场和学术推广工作，获取区域销售环节利益，即公司通过各区域代理商将产品分销到各家终端医院</w:t>
      </w:r>
      <w:r w:rsidRPr="00433C93">
        <w:rPr>
          <w:rFonts w:ascii="宋体" w:hAnsi="宋体" w:hint="eastAsia"/>
          <w:sz w:val="24"/>
        </w:rPr>
        <w:t>。</w:t>
      </w:r>
      <w:r w:rsidRPr="00433C93">
        <w:rPr>
          <w:rFonts w:ascii="宋体" w:hAnsi="宋体"/>
          <w:sz w:val="24"/>
        </w:rPr>
        <w:t>公司负责生产和质量管理</w:t>
      </w:r>
      <w:r w:rsidRPr="00433C93">
        <w:rPr>
          <w:rFonts w:ascii="宋体" w:hAnsi="宋体" w:hint="eastAsia"/>
          <w:sz w:val="24"/>
        </w:rPr>
        <w:t>，</w:t>
      </w:r>
      <w:r w:rsidRPr="00E25603">
        <w:rPr>
          <w:rFonts w:ascii="宋体" w:hAnsi="宋体"/>
          <w:sz w:val="24"/>
        </w:rPr>
        <w:t>对区域代理商</w:t>
      </w:r>
      <w:r w:rsidRPr="00134A43">
        <w:rPr>
          <w:rFonts w:ascii="宋体" w:hAnsi="宋体" w:hint="eastAsia"/>
          <w:sz w:val="24"/>
        </w:rPr>
        <w:t>进行</w:t>
      </w:r>
      <w:r w:rsidRPr="00134A43">
        <w:rPr>
          <w:rFonts w:ascii="宋体" w:hAnsi="宋体"/>
          <w:sz w:val="24"/>
        </w:rPr>
        <w:t>管理，获取生产和销售环节利益</w:t>
      </w:r>
      <w:r w:rsidRPr="009351F3">
        <w:rPr>
          <w:rFonts w:ascii="宋体" w:hAnsi="宋体" w:hint="eastAsia"/>
          <w:sz w:val="24"/>
        </w:rPr>
        <w:t>。</w:t>
      </w:r>
      <w:proofErr w:type="gramStart"/>
      <w:r w:rsidRPr="009351F3">
        <w:rPr>
          <w:rFonts w:ascii="宋体" w:hAnsi="宋体"/>
          <w:sz w:val="24"/>
        </w:rPr>
        <w:t>配送商</w:t>
      </w:r>
      <w:proofErr w:type="gramEnd"/>
      <w:r w:rsidRPr="009351F3">
        <w:rPr>
          <w:rFonts w:ascii="宋体" w:hAnsi="宋体"/>
          <w:sz w:val="24"/>
        </w:rPr>
        <w:t xml:space="preserve">负责将药品配送至终端医院，获取固定比例（行业惯例一般为药品终端价格的 </w:t>
      </w:r>
      <w:r w:rsidRPr="009351F3">
        <w:rPr>
          <w:rFonts w:ascii="宋体" w:hAnsi="宋体" w:hint="eastAsia"/>
          <w:sz w:val="24"/>
        </w:rPr>
        <w:t>5</w:t>
      </w:r>
      <w:r w:rsidRPr="007B379A">
        <w:rPr>
          <w:rFonts w:ascii="宋体" w:hAnsi="宋体"/>
          <w:sz w:val="24"/>
        </w:rPr>
        <w:t>%-</w:t>
      </w:r>
      <w:r w:rsidRPr="007B379A">
        <w:rPr>
          <w:rFonts w:ascii="宋体" w:hAnsi="宋体" w:hint="eastAsia"/>
          <w:sz w:val="24"/>
        </w:rPr>
        <w:t>8</w:t>
      </w:r>
      <w:r w:rsidRPr="007B379A">
        <w:rPr>
          <w:rFonts w:ascii="宋体" w:hAnsi="宋体"/>
          <w:sz w:val="24"/>
        </w:rPr>
        <w:t xml:space="preserve">%）的配送收益。 </w:t>
      </w:r>
    </w:p>
    <w:p w:rsidR="00DD05FC" w:rsidRPr="00493E2C" w:rsidRDefault="00DD05FC" w:rsidP="00DD05FC">
      <w:pPr>
        <w:pStyle w:val="a5"/>
        <w:spacing w:line="360" w:lineRule="auto"/>
        <w:ind w:firstLineChars="235" w:firstLine="564"/>
        <w:jc w:val="left"/>
        <w:rPr>
          <w:rFonts w:ascii="宋体" w:hAnsi="宋体"/>
          <w:sz w:val="24"/>
        </w:rPr>
      </w:pPr>
      <w:r w:rsidRPr="007B379A">
        <w:rPr>
          <w:rFonts w:ascii="宋体" w:hAnsi="宋体"/>
          <w:sz w:val="24"/>
        </w:rPr>
        <w:t>“两票制</w:t>
      </w:r>
      <w:r w:rsidRPr="00493E2C">
        <w:rPr>
          <w:rFonts w:ascii="宋体" w:hAnsi="宋体"/>
          <w:sz w:val="24"/>
        </w:rPr>
        <w:t>”实施以后销售模式</w:t>
      </w:r>
      <w:r w:rsidRPr="00493E2C">
        <w:rPr>
          <w:rFonts w:ascii="宋体" w:hAnsi="宋体" w:hint="eastAsia"/>
          <w:sz w:val="24"/>
        </w:rPr>
        <w:t>：</w:t>
      </w:r>
    </w:p>
    <w:p w:rsidR="00DD05FC" w:rsidRPr="004D5CD1" w:rsidRDefault="00DD05FC" w:rsidP="00DD05FC">
      <w:pPr>
        <w:pStyle w:val="a5"/>
        <w:spacing w:line="360" w:lineRule="auto"/>
        <w:ind w:firstLineChars="177" w:firstLine="425"/>
        <w:jc w:val="left"/>
        <w:rPr>
          <w:rFonts w:ascii="宋体" w:hAnsi="宋体"/>
          <w:sz w:val="24"/>
        </w:rPr>
      </w:pPr>
      <w:r w:rsidRPr="00493E2C">
        <w:rPr>
          <w:rFonts w:ascii="宋体" w:hAnsi="宋体"/>
          <w:sz w:val="24"/>
        </w:rPr>
        <w:t>公司营销模式</w:t>
      </w:r>
      <w:r w:rsidRPr="00493E2C">
        <w:rPr>
          <w:rFonts w:ascii="宋体" w:hAnsi="宋体" w:hint="eastAsia"/>
          <w:sz w:val="24"/>
        </w:rPr>
        <w:t>没有</w:t>
      </w:r>
      <w:r w:rsidRPr="00493E2C">
        <w:rPr>
          <w:rFonts w:ascii="宋体" w:hAnsi="宋体"/>
          <w:sz w:val="24"/>
        </w:rPr>
        <w:t>发生实质性的变化，仅其中的结算环节发生变化。</w:t>
      </w:r>
    </w:p>
    <w:p w:rsidR="00DD05FC" w:rsidRPr="00E47C0C" w:rsidRDefault="00DD05FC" w:rsidP="00DD05FC">
      <w:pPr>
        <w:pStyle w:val="a5"/>
        <w:spacing w:line="360" w:lineRule="auto"/>
        <w:ind w:firstLineChars="177" w:firstLine="425"/>
        <w:jc w:val="left"/>
        <w:rPr>
          <w:rFonts w:ascii="宋体" w:hAnsi="宋体"/>
          <w:sz w:val="24"/>
        </w:rPr>
      </w:pPr>
      <w:r w:rsidRPr="005F4824">
        <w:rPr>
          <w:rFonts w:ascii="宋体" w:hAnsi="宋体"/>
          <w:sz w:val="24"/>
        </w:rPr>
        <w:t>公司继续负责生产、</w:t>
      </w:r>
      <w:r w:rsidRPr="00597961">
        <w:rPr>
          <w:rFonts w:ascii="宋体" w:hAnsi="宋体"/>
          <w:sz w:val="24"/>
        </w:rPr>
        <w:t>区域管理等方面的职能，但产品不经由代理商流通，而是由公司直接销售给配送商，并由</w:t>
      </w:r>
      <w:proofErr w:type="gramStart"/>
      <w:r w:rsidRPr="00597961">
        <w:rPr>
          <w:rFonts w:ascii="宋体" w:hAnsi="宋体"/>
          <w:sz w:val="24"/>
        </w:rPr>
        <w:t>配送商</w:t>
      </w:r>
      <w:proofErr w:type="gramEnd"/>
      <w:r w:rsidRPr="00597961">
        <w:rPr>
          <w:rFonts w:ascii="宋体" w:hAnsi="宋体"/>
          <w:sz w:val="24"/>
        </w:rPr>
        <w:t>直接销售至医院</w:t>
      </w:r>
      <w:r w:rsidRPr="00597961">
        <w:rPr>
          <w:rFonts w:ascii="宋体" w:hAnsi="宋体" w:hint="eastAsia"/>
          <w:sz w:val="24"/>
        </w:rPr>
        <w:t>。</w:t>
      </w:r>
    </w:p>
    <w:p w:rsidR="00DD05FC" w:rsidRPr="009351F3" w:rsidRDefault="00DD05FC" w:rsidP="00DD05FC">
      <w:pPr>
        <w:pStyle w:val="a5"/>
        <w:spacing w:line="360" w:lineRule="auto"/>
        <w:ind w:firstLineChars="236" w:firstLine="566"/>
        <w:jc w:val="left"/>
        <w:rPr>
          <w:rFonts w:ascii="宋体" w:hAnsi="宋体"/>
          <w:sz w:val="24"/>
        </w:rPr>
      </w:pPr>
      <w:proofErr w:type="gramStart"/>
      <w:r w:rsidRPr="00E47C0C">
        <w:rPr>
          <w:rFonts w:ascii="宋体" w:hAnsi="宋体"/>
          <w:sz w:val="24"/>
        </w:rPr>
        <w:lastRenderedPageBreak/>
        <w:t>配送商</w:t>
      </w:r>
      <w:proofErr w:type="gramEnd"/>
      <w:r w:rsidRPr="00E47C0C">
        <w:rPr>
          <w:rFonts w:ascii="宋体" w:hAnsi="宋体"/>
          <w:sz w:val="24"/>
        </w:rPr>
        <w:t>还是负责将药品配送至终端医院，获取固定比例（行业惯例一般为</w:t>
      </w:r>
      <w:r w:rsidRPr="00FC007F">
        <w:rPr>
          <w:rFonts w:ascii="宋体" w:hAnsi="宋体"/>
          <w:sz w:val="24"/>
        </w:rPr>
        <w:t xml:space="preserve"> </w:t>
      </w:r>
      <w:r w:rsidRPr="00426630">
        <w:rPr>
          <w:rFonts w:ascii="宋体" w:hAnsi="宋体"/>
          <w:sz w:val="24"/>
        </w:rPr>
        <w:t xml:space="preserve">药品终端价格的 </w:t>
      </w:r>
      <w:r w:rsidRPr="00426630">
        <w:rPr>
          <w:rFonts w:ascii="宋体" w:hAnsi="宋体" w:hint="eastAsia"/>
          <w:sz w:val="24"/>
        </w:rPr>
        <w:t>5</w:t>
      </w:r>
      <w:r w:rsidRPr="00426630">
        <w:rPr>
          <w:rFonts w:ascii="宋体" w:hAnsi="宋体"/>
          <w:sz w:val="24"/>
        </w:rPr>
        <w:t>%-</w:t>
      </w:r>
      <w:r w:rsidRPr="00426630">
        <w:rPr>
          <w:rFonts w:ascii="宋体" w:hAnsi="宋体" w:hint="eastAsia"/>
          <w:sz w:val="24"/>
        </w:rPr>
        <w:t>8</w:t>
      </w:r>
      <w:r w:rsidRPr="00426630">
        <w:rPr>
          <w:rFonts w:ascii="宋体" w:hAnsi="宋体"/>
          <w:sz w:val="24"/>
        </w:rPr>
        <w:t>%）的配送收益。</w:t>
      </w:r>
      <w:r w:rsidRPr="00433C93">
        <w:rPr>
          <w:rFonts w:ascii="宋体" w:hAnsi="宋体"/>
          <w:sz w:val="24"/>
        </w:rPr>
        <w:t xml:space="preserve"> 公司相关产品的销售单价提高至原代理商向</w:t>
      </w:r>
      <w:proofErr w:type="gramStart"/>
      <w:r w:rsidRPr="00433C93">
        <w:rPr>
          <w:rFonts w:ascii="宋体" w:hAnsi="宋体"/>
          <w:sz w:val="24"/>
        </w:rPr>
        <w:t>配送商</w:t>
      </w:r>
      <w:proofErr w:type="gramEnd"/>
      <w:r w:rsidRPr="00433C93">
        <w:rPr>
          <w:rFonts w:ascii="宋体" w:hAnsi="宋体"/>
          <w:sz w:val="24"/>
        </w:rPr>
        <w:t>销售的价格，压缩中间渠道</w:t>
      </w:r>
      <w:r w:rsidRPr="00E25603">
        <w:rPr>
          <w:rFonts w:ascii="宋体" w:hAnsi="宋体" w:hint="eastAsia"/>
          <w:sz w:val="24"/>
        </w:rPr>
        <w:t>，</w:t>
      </w:r>
      <w:r w:rsidRPr="00134A43">
        <w:rPr>
          <w:rFonts w:ascii="宋体" w:hAnsi="宋体"/>
          <w:sz w:val="24"/>
        </w:rPr>
        <w:t>公司销售收入提升；区域渠道开拓、市场和学术推广等工作由推广服务商承担，公司就相关的区域渠道开拓、市场和学术推广等工作向其支</w:t>
      </w:r>
      <w:r w:rsidRPr="009351F3">
        <w:rPr>
          <w:rFonts w:ascii="宋体" w:hAnsi="宋体"/>
          <w:sz w:val="24"/>
        </w:rPr>
        <w:t>付服务费，公司销售费用支出增加。</w:t>
      </w:r>
    </w:p>
    <w:p w:rsidR="00DD05FC" w:rsidRPr="007B379A" w:rsidRDefault="00DD05FC" w:rsidP="00DD05FC">
      <w:pPr>
        <w:pStyle w:val="a5"/>
        <w:spacing w:line="360" w:lineRule="auto"/>
        <w:ind w:firstLineChars="177" w:firstLine="425"/>
        <w:jc w:val="left"/>
        <w:rPr>
          <w:rFonts w:ascii="宋体" w:hAnsi="宋体"/>
          <w:sz w:val="24"/>
        </w:rPr>
      </w:pPr>
      <w:r w:rsidRPr="009351F3">
        <w:rPr>
          <w:rFonts w:ascii="宋体" w:hAnsi="宋体"/>
          <w:sz w:val="24"/>
        </w:rPr>
        <w:t>公司遵循国家政策</w:t>
      </w:r>
      <w:r w:rsidRPr="009351F3">
        <w:rPr>
          <w:rFonts w:ascii="宋体" w:hAnsi="宋体" w:hint="eastAsia"/>
          <w:sz w:val="24"/>
        </w:rPr>
        <w:t>，</w:t>
      </w:r>
      <w:r w:rsidRPr="007B379A">
        <w:rPr>
          <w:rFonts w:ascii="宋体" w:hAnsi="宋体"/>
          <w:sz w:val="24"/>
        </w:rPr>
        <w:t>将逐步参与产品的终端市场开拓、学术支持、产品推广等销售工作，向实质性的直接销售模式过渡，扁平化的药品销售渠道更有利于公司对销售渠道和终端进行有效的管理和控制。</w:t>
      </w:r>
    </w:p>
    <w:p w:rsidR="00DD05FC" w:rsidRPr="00493E2C" w:rsidRDefault="00DD05FC" w:rsidP="00DD05FC">
      <w:pPr>
        <w:pStyle w:val="a5"/>
        <w:spacing w:line="360" w:lineRule="auto"/>
        <w:ind w:firstLineChars="177" w:firstLine="425"/>
        <w:jc w:val="left"/>
        <w:rPr>
          <w:rFonts w:ascii="宋体" w:hAnsi="宋体"/>
          <w:sz w:val="24"/>
        </w:rPr>
      </w:pPr>
      <w:r w:rsidRPr="00493E2C">
        <w:rPr>
          <w:rFonts w:ascii="宋体" w:hAnsi="宋体" w:hint="eastAsia"/>
          <w:sz w:val="24"/>
        </w:rPr>
        <w:t>2</w:t>
      </w:r>
      <w:r w:rsidR="00064426">
        <w:rPr>
          <w:rFonts w:ascii="宋体" w:hAnsi="宋体" w:hint="eastAsia"/>
          <w:sz w:val="24"/>
        </w:rPr>
        <w:t>）</w:t>
      </w:r>
      <w:r w:rsidRPr="00493E2C">
        <w:rPr>
          <w:rFonts w:ascii="宋体" w:hAnsi="宋体" w:hint="eastAsia"/>
          <w:sz w:val="24"/>
        </w:rPr>
        <w:t>2018年度咨询费增加的主要原因是国家“两票制”政策推进带来的销售结算方式的改变，销售费用逐步增加。这和各省“两票制”政策推进进度同步。</w:t>
      </w:r>
    </w:p>
    <w:p w:rsidR="00DD05FC" w:rsidRPr="00493E2C" w:rsidRDefault="00DD05FC" w:rsidP="00DD05FC">
      <w:pPr>
        <w:ind w:firstLineChars="270" w:firstLine="648"/>
        <w:jc w:val="center"/>
        <w:rPr>
          <w:sz w:val="24"/>
        </w:rPr>
      </w:pPr>
      <w:r w:rsidRPr="00493E2C">
        <w:rPr>
          <w:rFonts w:hint="eastAsia"/>
          <w:sz w:val="24"/>
        </w:rPr>
        <w:t>全国两票</w:t>
      </w:r>
      <w:proofErr w:type="gramStart"/>
      <w:r w:rsidRPr="00493E2C">
        <w:rPr>
          <w:rFonts w:hint="eastAsia"/>
          <w:sz w:val="24"/>
        </w:rPr>
        <w:t>制推进</w:t>
      </w:r>
      <w:proofErr w:type="gramEnd"/>
      <w:r w:rsidRPr="00493E2C">
        <w:rPr>
          <w:rFonts w:hint="eastAsia"/>
          <w:sz w:val="24"/>
        </w:rPr>
        <w:t>情况</w:t>
      </w:r>
    </w:p>
    <w:tbl>
      <w:tblPr>
        <w:tblW w:w="8505" w:type="dxa"/>
        <w:tblInd w:w="108" w:type="dxa"/>
        <w:tblLook w:val="04A0" w:firstRow="1" w:lastRow="0" w:firstColumn="1" w:lastColumn="0" w:noHBand="0" w:noVBand="1"/>
      </w:tblPr>
      <w:tblGrid>
        <w:gridCol w:w="2410"/>
        <w:gridCol w:w="6095"/>
      </w:tblGrid>
      <w:tr w:rsidR="00DD05FC" w:rsidRPr="00493E2C" w:rsidTr="00544E57">
        <w:trPr>
          <w:trHeight w:val="3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Cs w:val="21"/>
              </w:rPr>
            </w:pPr>
            <w:r w:rsidRPr="00493E2C">
              <w:rPr>
                <w:rFonts w:ascii="宋体" w:hAnsi="宋体" w:cs="宋体" w:hint="eastAsia"/>
                <w:color w:val="000000"/>
                <w:kern w:val="0"/>
                <w:szCs w:val="21"/>
              </w:rPr>
              <w:t>年  份</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Cs w:val="21"/>
              </w:rPr>
            </w:pPr>
            <w:r w:rsidRPr="00493E2C">
              <w:rPr>
                <w:rFonts w:ascii="宋体" w:hAnsi="宋体" w:cs="宋体" w:hint="eastAsia"/>
                <w:color w:val="000000"/>
                <w:kern w:val="0"/>
                <w:szCs w:val="21"/>
              </w:rPr>
              <w:t>省     份</w:t>
            </w:r>
          </w:p>
        </w:tc>
      </w:tr>
      <w:tr w:rsidR="00DD05FC" w:rsidRPr="00493E2C" w:rsidTr="00544E57">
        <w:trPr>
          <w:trHeight w:val="65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2017年执行的省市</w:t>
            </w:r>
          </w:p>
        </w:tc>
        <w:tc>
          <w:tcPr>
            <w:tcW w:w="6095" w:type="dxa"/>
            <w:tcBorders>
              <w:top w:val="nil"/>
              <w:left w:val="nil"/>
              <w:bottom w:val="single" w:sz="4" w:space="0" w:color="auto"/>
              <w:right w:val="single" w:sz="4" w:space="0" w:color="auto"/>
            </w:tcBorders>
            <w:shd w:val="clear" w:color="auto" w:fill="auto"/>
            <w:vAlign w:val="center"/>
            <w:hideMark/>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安徽、陕西、重庆、吉林、天津、辽宁、黑龙江、山西、湖南、四川、 青海、西藏、山东、江西、浙江、内蒙古、上海、湖北、河北、广西、海南</w:t>
            </w:r>
          </w:p>
        </w:tc>
      </w:tr>
      <w:tr w:rsidR="00DD05FC" w:rsidRPr="00493E2C" w:rsidTr="00544E57">
        <w:trPr>
          <w:trHeight w:val="37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2018年执行的省市</w:t>
            </w:r>
          </w:p>
        </w:tc>
        <w:tc>
          <w:tcPr>
            <w:tcW w:w="6095" w:type="dxa"/>
            <w:tcBorders>
              <w:top w:val="nil"/>
              <w:left w:val="nil"/>
              <w:bottom w:val="single" w:sz="4" w:space="0" w:color="auto"/>
              <w:right w:val="single" w:sz="4" w:space="0" w:color="auto"/>
            </w:tcBorders>
            <w:shd w:val="clear" w:color="auto" w:fill="auto"/>
            <w:vAlign w:val="center"/>
            <w:hideMark/>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 xml:space="preserve"> 贵州、河南、江苏、广东、北京、云南、甘肃、新疆</w:t>
            </w:r>
          </w:p>
        </w:tc>
      </w:tr>
    </w:tbl>
    <w:p w:rsidR="00DD05FC" w:rsidRPr="00493E2C" w:rsidRDefault="00DD05FC" w:rsidP="00064426">
      <w:pPr>
        <w:widowControl/>
        <w:ind w:firstLineChars="200" w:firstLine="420"/>
        <w:jc w:val="left"/>
        <w:rPr>
          <w:rFonts w:ascii="宋体" w:hAnsi="宋体" w:cs="宋体"/>
          <w:color w:val="000000"/>
          <w:kern w:val="0"/>
          <w:szCs w:val="21"/>
        </w:rPr>
      </w:pPr>
      <w:r w:rsidRPr="00493E2C">
        <w:rPr>
          <w:rFonts w:ascii="宋体" w:hAnsi="宋体" w:cs="宋体" w:hint="eastAsia"/>
          <w:color w:val="000000"/>
          <w:kern w:val="0"/>
          <w:szCs w:val="21"/>
        </w:rPr>
        <w:t>注：以上是两票制各省执行的主要时间，具体下属市县由当地文件为准。</w:t>
      </w:r>
    </w:p>
    <w:p w:rsidR="00064426" w:rsidRDefault="00064426" w:rsidP="00DD05FC">
      <w:pPr>
        <w:spacing w:line="360" w:lineRule="auto"/>
        <w:ind w:firstLineChars="177" w:firstLine="425"/>
        <w:jc w:val="left"/>
        <w:rPr>
          <w:rFonts w:ascii="宋体" w:hAnsi="宋体"/>
          <w:sz w:val="24"/>
        </w:rPr>
      </w:pPr>
    </w:p>
    <w:p w:rsidR="00DD05FC" w:rsidRPr="00493E2C" w:rsidRDefault="00DD05FC" w:rsidP="00DD05FC">
      <w:pPr>
        <w:spacing w:line="360" w:lineRule="auto"/>
        <w:ind w:firstLineChars="177" w:firstLine="425"/>
        <w:jc w:val="left"/>
        <w:rPr>
          <w:rFonts w:ascii="宋体" w:hAnsi="宋体"/>
          <w:sz w:val="24"/>
        </w:rPr>
      </w:pPr>
      <w:r w:rsidRPr="00493E2C">
        <w:rPr>
          <w:rFonts w:ascii="宋体" w:hAnsi="宋体" w:hint="eastAsia"/>
          <w:sz w:val="24"/>
        </w:rPr>
        <w:t>3）2018年度为公司医药业务提供咨询等渠道开拓、市场和学术推广等服务的前五大服务商和金额如下：</w:t>
      </w:r>
    </w:p>
    <w:tbl>
      <w:tblPr>
        <w:tblW w:w="5000" w:type="pct"/>
        <w:tblLook w:val="04A0" w:firstRow="1" w:lastRow="0" w:firstColumn="1" w:lastColumn="0" w:noHBand="0" w:noVBand="1"/>
      </w:tblPr>
      <w:tblGrid>
        <w:gridCol w:w="4887"/>
        <w:gridCol w:w="3635"/>
      </w:tblGrid>
      <w:tr w:rsidR="00DD05FC" w:rsidRPr="00493E2C" w:rsidTr="007C4856">
        <w:trPr>
          <w:trHeight w:val="270"/>
        </w:trPr>
        <w:tc>
          <w:tcPr>
            <w:tcW w:w="2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单位名称</w:t>
            </w:r>
          </w:p>
        </w:tc>
        <w:tc>
          <w:tcPr>
            <w:tcW w:w="2133"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金额（万元）</w:t>
            </w:r>
          </w:p>
        </w:tc>
      </w:tr>
      <w:tr w:rsidR="00DD05FC" w:rsidRPr="00493E2C" w:rsidTr="007C4856">
        <w:trPr>
          <w:trHeight w:val="270"/>
        </w:trPr>
        <w:tc>
          <w:tcPr>
            <w:tcW w:w="2867"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服务商1</w:t>
            </w:r>
          </w:p>
        </w:tc>
        <w:tc>
          <w:tcPr>
            <w:tcW w:w="2133"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1,660.62</w:t>
            </w:r>
          </w:p>
        </w:tc>
      </w:tr>
      <w:tr w:rsidR="00DD05FC" w:rsidRPr="00493E2C" w:rsidTr="007C4856">
        <w:trPr>
          <w:trHeight w:val="270"/>
        </w:trPr>
        <w:tc>
          <w:tcPr>
            <w:tcW w:w="2867"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服务商2</w:t>
            </w:r>
          </w:p>
        </w:tc>
        <w:tc>
          <w:tcPr>
            <w:tcW w:w="2133"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793.40</w:t>
            </w:r>
          </w:p>
        </w:tc>
      </w:tr>
      <w:tr w:rsidR="00DD05FC" w:rsidRPr="00493E2C" w:rsidTr="007C4856">
        <w:trPr>
          <w:trHeight w:val="270"/>
        </w:trPr>
        <w:tc>
          <w:tcPr>
            <w:tcW w:w="2867"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服务商3</w:t>
            </w:r>
          </w:p>
        </w:tc>
        <w:tc>
          <w:tcPr>
            <w:tcW w:w="2133"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612.76</w:t>
            </w:r>
          </w:p>
        </w:tc>
      </w:tr>
      <w:tr w:rsidR="00DD05FC" w:rsidRPr="00493E2C" w:rsidTr="007C4856">
        <w:trPr>
          <w:trHeight w:val="270"/>
        </w:trPr>
        <w:tc>
          <w:tcPr>
            <w:tcW w:w="2867"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服务商4</w:t>
            </w:r>
          </w:p>
        </w:tc>
        <w:tc>
          <w:tcPr>
            <w:tcW w:w="2133"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508.07</w:t>
            </w:r>
          </w:p>
        </w:tc>
      </w:tr>
      <w:tr w:rsidR="00DD05FC" w:rsidRPr="00493E2C" w:rsidTr="007C4856">
        <w:trPr>
          <w:trHeight w:val="270"/>
        </w:trPr>
        <w:tc>
          <w:tcPr>
            <w:tcW w:w="2867"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服务商5</w:t>
            </w:r>
          </w:p>
        </w:tc>
        <w:tc>
          <w:tcPr>
            <w:tcW w:w="2133"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460.38</w:t>
            </w:r>
          </w:p>
        </w:tc>
      </w:tr>
      <w:tr w:rsidR="00DD05FC" w:rsidRPr="00493E2C" w:rsidTr="007C4856">
        <w:trPr>
          <w:trHeight w:val="270"/>
        </w:trPr>
        <w:tc>
          <w:tcPr>
            <w:tcW w:w="2867"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合计</w:t>
            </w:r>
          </w:p>
        </w:tc>
        <w:tc>
          <w:tcPr>
            <w:tcW w:w="2133"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 w:val="22"/>
                <w:szCs w:val="22"/>
              </w:rPr>
            </w:pPr>
            <w:r w:rsidRPr="00493E2C">
              <w:rPr>
                <w:rFonts w:ascii="宋体" w:hAnsi="宋体" w:cs="宋体" w:hint="eastAsia"/>
                <w:color w:val="000000"/>
                <w:kern w:val="0"/>
                <w:sz w:val="22"/>
                <w:szCs w:val="22"/>
              </w:rPr>
              <w:t>4,035.23</w:t>
            </w:r>
          </w:p>
        </w:tc>
      </w:tr>
    </w:tbl>
    <w:p w:rsidR="00064426" w:rsidRDefault="00064426" w:rsidP="00DD05FC">
      <w:pPr>
        <w:spacing w:line="360" w:lineRule="auto"/>
        <w:ind w:firstLineChars="177" w:firstLine="425"/>
        <w:jc w:val="left"/>
        <w:rPr>
          <w:rFonts w:ascii="宋体" w:hAnsi="宋体"/>
          <w:sz w:val="24"/>
        </w:rPr>
      </w:pPr>
    </w:p>
    <w:p w:rsidR="00DD05FC" w:rsidRPr="00493E2C" w:rsidRDefault="00DD05FC" w:rsidP="00DD05FC">
      <w:pPr>
        <w:spacing w:line="360" w:lineRule="auto"/>
        <w:ind w:firstLineChars="177" w:firstLine="425"/>
        <w:jc w:val="left"/>
        <w:rPr>
          <w:rFonts w:ascii="宋体" w:hAnsi="宋体"/>
          <w:sz w:val="24"/>
        </w:rPr>
      </w:pPr>
      <w:r w:rsidRPr="00493E2C">
        <w:rPr>
          <w:rFonts w:ascii="宋体" w:hAnsi="宋体" w:hint="eastAsia"/>
          <w:sz w:val="24"/>
        </w:rPr>
        <w:t>4）公司医药业务销售费用率和与同行业对比情况</w:t>
      </w:r>
    </w:p>
    <w:p w:rsidR="00DD05FC" w:rsidRDefault="00DD05FC" w:rsidP="00DD05FC">
      <w:pPr>
        <w:spacing w:line="360" w:lineRule="auto"/>
        <w:ind w:firstLineChars="177" w:firstLine="425"/>
        <w:jc w:val="left"/>
        <w:rPr>
          <w:rFonts w:ascii="宋体" w:hAnsi="宋体"/>
          <w:sz w:val="24"/>
        </w:rPr>
      </w:pPr>
      <w:r w:rsidRPr="00493E2C">
        <w:rPr>
          <w:rFonts w:ascii="宋体" w:hAnsi="宋体" w:hint="eastAsia"/>
          <w:sz w:val="24"/>
        </w:rPr>
        <w:t>公司近三年医药业务营业收入和销售费用情况如下表：</w:t>
      </w:r>
    </w:p>
    <w:p w:rsidR="00DD05FC" w:rsidRPr="00493E2C" w:rsidRDefault="00DD05FC" w:rsidP="00DD05FC">
      <w:pPr>
        <w:spacing w:line="360" w:lineRule="auto"/>
        <w:ind w:firstLineChars="177" w:firstLine="425"/>
        <w:jc w:val="left"/>
        <w:rPr>
          <w:rFonts w:ascii="宋体" w:hAnsi="宋体"/>
          <w:sz w:val="24"/>
        </w:rPr>
      </w:pPr>
      <w:r w:rsidRPr="00493E2C">
        <w:rPr>
          <w:rFonts w:ascii="宋体" w:hAnsi="宋体" w:hint="eastAsia"/>
          <w:sz w:val="24"/>
        </w:rPr>
        <w:t xml:space="preserve">                                                      单位：万元</w:t>
      </w:r>
    </w:p>
    <w:tbl>
      <w:tblPr>
        <w:tblW w:w="5000" w:type="pct"/>
        <w:tblLook w:val="04A0" w:firstRow="1" w:lastRow="0" w:firstColumn="1" w:lastColumn="0" w:noHBand="0" w:noVBand="1"/>
      </w:tblPr>
      <w:tblGrid>
        <w:gridCol w:w="2291"/>
        <w:gridCol w:w="2125"/>
        <w:gridCol w:w="2105"/>
        <w:gridCol w:w="2001"/>
      </w:tblGrid>
      <w:tr w:rsidR="00DD05FC" w:rsidRPr="00493E2C" w:rsidTr="007C4856">
        <w:trPr>
          <w:trHeight w:val="270"/>
        </w:trPr>
        <w:tc>
          <w:tcPr>
            <w:tcW w:w="1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 xml:space="preserve">　项目</w:t>
            </w:r>
          </w:p>
        </w:tc>
        <w:tc>
          <w:tcPr>
            <w:tcW w:w="1247"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Cs w:val="21"/>
              </w:rPr>
            </w:pPr>
            <w:r w:rsidRPr="00493E2C">
              <w:rPr>
                <w:rFonts w:ascii="宋体" w:hAnsi="宋体" w:cs="宋体" w:hint="eastAsia"/>
                <w:color w:val="000000"/>
                <w:kern w:val="0"/>
                <w:szCs w:val="21"/>
              </w:rPr>
              <w:t>2018年</w:t>
            </w:r>
          </w:p>
        </w:tc>
        <w:tc>
          <w:tcPr>
            <w:tcW w:w="1235"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Cs w:val="21"/>
              </w:rPr>
            </w:pPr>
            <w:r w:rsidRPr="00493E2C">
              <w:rPr>
                <w:rFonts w:ascii="宋体" w:hAnsi="宋体" w:cs="宋体" w:hint="eastAsia"/>
                <w:color w:val="000000"/>
                <w:kern w:val="0"/>
                <w:szCs w:val="21"/>
              </w:rPr>
              <w:t>2017年</w:t>
            </w:r>
          </w:p>
        </w:tc>
        <w:tc>
          <w:tcPr>
            <w:tcW w:w="1174"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center"/>
              <w:rPr>
                <w:rFonts w:ascii="宋体" w:hAnsi="宋体" w:cs="宋体"/>
                <w:color w:val="000000"/>
                <w:kern w:val="0"/>
                <w:szCs w:val="21"/>
              </w:rPr>
            </w:pPr>
            <w:r w:rsidRPr="00493E2C">
              <w:rPr>
                <w:rFonts w:ascii="宋体" w:hAnsi="宋体" w:cs="宋体" w:hint="eastAsia"/>
                <w:color w:val="000000"/>
                <w:kern w:val="0"/>
                <w:szCs w:val="21"/>
              </w:rPr>
              <w:t>2016年</w:t>
            </w:r>
          </w:p>
        </w:tc>
      </w:tr>
      <w:tr w:rsidR="00DD05FC" w:rsidRPr="00493E2C" w:rsidTr="007C4856">
        <w:trPr>
          <w:trHeight w:val="270"/>
        </w:trPr>
        <w:tc>
          <w:tcPr>
            <w:tcW w:w="1344"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营业收入</w:t>
            </w:r>
          </w:p>
        </w:tc>
        <w:tc>
          <w:tcPr>
            <w:tcW w:w="1247"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130,960.46</w:t>
            </w:r>
          </w:p>
        </w:tc>
        <w:tc>
          <w:tcPr>
            <w:tcW w:w="1235"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116,354.39</w:t>
            </w:r>
          </w:p>
        </w:tc>
        <w:tc>
          <w:tcPr>
            <w:tcW w:w="1174"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95,932.44</w:t>
            </w:r>
          </w:p>
        </w:tc>
      </w:tr>
      <w:tr w:rsidR="00DD05FC" w:rsidRPr="00493E2C" w:rsidTr="007C4856">
        <w:trPr>
          <w:trHeight w:val="270"/>
        </w:trPr>
        <w:tc>
          <w:tcPr>
            <w:tcW w:w="1344"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销售费用</w:t>
            </w:r>
          </w:p>
        </w:tc>
        <w:tc>
          <w:tcPr>
            <w:tcW w:w="1247"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40,895.76</w:t>
            </w:r>
          </w:p>
        </w:tc>
        <w:tc>
          <w:tcPr>
            <w:tcW w:w="1235"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28,858.65</w:t>
            </w:r>
          </w:p>
        </w:tc>
        <w:tc>
          <w:tcPr>
            <w:tcW w:w="1174"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16,161.22</w:t>
            </w:r>
          </w:p>
        </w:tc>
      </w:tr>
      <w:tr w:rsidR="00DD05FC" w:rsidRPr="00493E2C" w:rsidTr="007C4856">
        <w:trPr>
          <w:trHeight w:val="270"/>
        </w:trPr>
        <w:tc>
          <w:tcPr>
            <w:tcW w:w="1344" w:type="pct"/>
            <w:tcBorders>
              <w:top w:val="nil"/>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销售费用率</w:t>
            </w:r>
          </w:p>
        </w:tc>
        <w:tc>
          <w:tcPr>
            <w:tcW w:w="1247"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31.23%</w:t>
            </w:r>
          </w:p>
        </w:tc>
        <w:tc>
          <w:tcPr>
            <w:tcW w:w="1235"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24.80%</w:t>
            </w:r>
          </w:p>
        </w:tc>
        <w:tc>
          <w:tcPr>
            <w:tcW w:w="1174" w:type="pct"/>
            <w:tcBorders>
              <w:top w:val="nil"/>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16.85%</w:t>
            </w:r>
          </w:p>
        </w:tc>
      </w:tr>
    </w:tbl>
    <w:p w:rsidR="00DD05FC" w:rsidRPr="00493E2C" w:rsidRDefault="00DD05FC" w:rsidP="00DD05FC">
      <w:pPr>
        <w:spacing w:line="360" w:lineRule="auto"/>
        <w:ind w:firstLineChars="200" w:firstLine="480"/>
        <w:rPr>
          <w:rFonts w:ascii="宋体" w:hAnsi="宋体"/>
          <w:sz w:val="24"/>
        </w:rPr>
      </w:pPr>
      <w:r w:rsidRPr="00493E2C">
        <w:rPr>
          <w:rFonts w:ascii="宋体" w:hAnsi="宋体" w:hint="eastAsia"/>
          <w:sz w:val="24"/>
        </w:rPr>
        <w:lastRenderedPageBreak/>
        <w:t>医药同行业公司销售费用率情况如下表：</w:t>
      </w:r>
    </w:p>
    <w:tbl>
      <w:tblPr>
        <w:tblW w:w="5000" w:type="pct"/>
        <w:tblLook w:val="04A0" w:firstRow="1" w:lastRow="0" w:firstColumn="1" w:lastColumn="0" w:noHBand="0" w:noVBand="1"/>
      </w:tblPr>
      <w:tblGrid>
        <w:gridCol w:w="2291"/>
        <w:gridCol w:w="2125"/>
        <w:gridCol w:w="2105"/>
        <w:gridCol w:w="2001"/>
      </w:tblGrid>
      <w:tr w:rsidR="00DD05FC" w:rsidRPr="00493E2C" w:rsidTr="007C4856">
        <w:trPr>
          <w:trHeight w:val="270"/>
        </w:trPr>
        <w:tc>
          <w:tcPr>
            <w:tcW w:w="1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同行业公司</w:t>
            </w:r>
          </w:p>
        </w:tc>
        <w:tc>
          <w:tcPr>
            <w:tcW w:w="1247"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 xml:space="preserve"> 2018年 </w:t>
            </w:r>
          </w:p>
        </w:tc>
        <w:tc>
          <w:tcPr>
            <w:tcW w:w="1235"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 xml:space="preserve"> 2017年 </w:t>
            </w:r>
          </w:p>
        </w:tc>
        <w:tc>
          <w:tcPr>
            <w:tcW w:w="1174" w:type="pct"/>
            <w:tcBorders>
              <w:top w:val="single" w:sz="4" w:space="0" w:color="auto"/>
              <w:left w:val="nil"/>
              <w:bottom w:val="single" w:sz="4" w:space="0" w:color="auto"/>
              <w:right w:val="single" w:sz="4" w:space="0" w:color="auto"/>
            </w:tcBorders>
            <w:shd w:val="clear" w:color="auto" w:fill="auto"/>
            <w:noWrap/>
            <w:vAlign w:val="center"/>
            <w:hideMark/>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 xml:space="preserve"> 2016年 </w:t>
            </w:r>
          </w:p>
        </w:tc>
      </w:tr>
      <w:tr w:rsidR="00DD05FC" w:rsidRPr="00493E2C" w:rsidTr="007C4856">
        <w:trPr>
          <w:trHeight w:val="270"/>
        </w:trPr>
        <w:tc>
          <w:tcPr>
            <w:tcW w:w="1344" w:type="pct"/>
            <w:tcBorders>
              <w:top w:val="nil"/>
              <w:left w:val="single" w:sz="4" w:space="0" w:color="auto"/>
              <w:bottom w:val="single" w:sz="4" w:space="0" w:color="auto"/>
              <w:right w:val="single" w:sz="4" w:space="0" w:color="auto"/>
            </w:tcBorders>
            <w:shd w:val="clear" w:color="auto" w:fill="auto"/>
            <w:noWrap/>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 xml:space="preserve"> 大理药业 </w:t>
            </w:r>
          </w:p>
        </w:tc>
        <w:tc>
          <w:tcPr>
            <w:tcW w:w="1247"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67.47%</w:t>
            </w:r>
          </w:p>
        </w:tc>
        <w:tc>
          <w:tcPr>
            <w:tcW w:w="1235"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39.31%</w:t>
            </w:r>
          </w:p>
        </w:tc>
        <w:tc>
          <w:tcPr>
            <w:tcW w:w="1174"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8.47%</w:t>
            </w:r>
          </w:p>
        </w:tc>
      </w:tr>
      <w:tr w:rsidR="00DD05FC" w:rsidRPr="00493E2C" w:rsidTr="007C4856">
        <w:trPr>
          <w:trHeight w:val="270"/>
        </w:trPr>
        <w:tc>
          <w:tcPr>
            <w:tcW w:w="1344" w:type="pct"/>
            <w:tcBorders>
              <w:top w:val="nil"/>
              <w:left w:val="single" w:sz="4" w:space="0" w:color="auto"/>
              <w:bottom w:val="single" w:sz="4" w:space="0" w:color="auto"/>
              <w:right w:val="single" w:sz="4" w:space="0" w:color="auto"/>
            </w:tcBorders>
            <w:shd w:val="clear" w:color="auto" w:fill="auto"/>
            <w:noWrap/>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 xml:space="preserve"> </w:t>
            </w:r>
            <w:proofErr w:type="gramStart"/>
            <w:r w:rsidRPr="00493E2C">
              <w:rPr>
                <w:rFonts w:ascii="宋体" w:hAnsi="宋体" w:cs="宋体" w:hint="eastAsia"/>
                <w:color w:val="000000"/>
                <w:kern w:val="0"/>
                <w:szCs w:val="21"/>
              </w:rPr>
              <w:t>羚</w:t>
            </w:r>
            <w:proofErr w:type="gramEnd"/>
            <w:r w:rsidRPr="00493E2C">
              <w:rPr>
                <w:rFonts w:ascii="宋体" w:hAnsi="宋体" w:cs="宋体" w:hint="eastAsia"/>
                <w:color w:val="000000"/>
                <w:kern w:val="0"/>
                <w:szCs w:val="21"/>
              </w:rPr>
              <w:t xml:space="preserve">锐制药 </w:t>
            </w:r>
          </w:p>
        </w:tc>
        <w:tc>
          <w:tcPr>
            <w:tcW w:w="1247"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51.49%</w:t>
            </w:r>
          </w:p>
        </w:tc>
        <w:tc>
          <w:tcPr>
            <w:tcW w:w="1235"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47.99%</w:t>
            </w:r>
          </w:p>
        </w:tc>
        <w:tc>
          <w:tcPr>
            <w:tcW w:w="1174"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42.79%</w:t>
            </w:r>
          </w:p>
        </w:tc>
      </w:tr>
      <w:tr w:rsidR="00DD05FC" w:rsidRPr="00493E2C" w:rsidTr="007C4856">
        <w:trPr>
          <w:trHeight w:val="270"/>
        </w:trPr>
        <w:tc>
          <w:tcPr>
            <w:tcW w:w="1344" w:type="pct"/>
            <w:tcBorders>
              <w:top w:val="nil"/>
              <w:left w:val="single" w:sz="4" w:space="0" w:color="auto"/>
              <w:bottom w:val="single" w:sz="4" w:space="0" w:color="auto"/>
              <w:right w:val="single" w:sz="4" w:space="0" w:color="auto"/>
            </w:tcBorders>
            <w:shd w:val="clear" w:color="auto" w:fill="auto"/>
            <w:noWrap/>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 xml:space="preserve"> </w:t>
            </w:r>
            <w:proofErr w:type="gramStart"/>
            <w:r w:rsidRPr="00493E2C">
              <w:rPr>
                <w:rFonts w:ascii="宋体" w:hAnsi="宋体" w:cs="宋体" w:hint="eastAsia"/>
                <w:color w:val="000000"/>
                <w:kern w:val="0"/>
                <w:szCs w:val="21"/>
              </w:rPr>
              <w:t>康缘药业</w:t>
            </w:r>
            <w:proofErr w:type="gramEnd"/>
            <w:r w:rsidRPr="00493E2C">
              <w:rPr>
                <w:rFonts w:ascii="宋体" w:hAnsi="宋体" w:cs="宋体" w:hint="eastAsia"/>
                <w:color w:val="000000"/>
                <w:kern w:val="0"/>
                <w:szCs w:val="21"/>
              </w:rPr>
              <w:t xml:space="preserve"> </w:t>
            </w:r>
          </w:p>
        </w:tc>
        <w:tc>
          <w:tcPr>
            <w:tcW w:w="1247"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49.37%</w:t>
            </w:r>
          </w:p>
        </w:tc>
        <w:tc>
          <w:tcPr>
            <w:tcW w:w="1235"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47.82%</w:t>
            </w:r>
          </w:p>
        </w:tc>
        <w:tc>
          <w:tcPr>
            <w:tcW w:w="1174"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44.70%</w:t>
            </w:r>
          </w:p>
        </w:tc>
      </w:tr>
      <w:tr w:rsidR="00DD05FC" w:rsidRPr="00493E2C" w:rsidTr="007C4856">
        <w:trPr>
          <w:trHeight w:val="270"/>
        </w:trPr>
        <w:tc>
          <w:tcPr>
            <w:tcW w:w="1344" w:type="pct"/>
            <w:tcBorders>
              <w:top w:val="nil"/>
              <w:left w:val="single" w:sz="4" w:space="0" w:color="auto"/>
              <w:bottom w:val="single" w:sz="4" w:space="0" w:color="auto"/>
              <w:right w:val="single" w:sz="4" w:space="0" w:color="auto"/>
            </w:tcBorders>
            <w:shd w:val="clear" w:color="auto" w:fill="auto"/>
            <w:noWrap/>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 xml:space="preserve"> 华润三九 </w:t>
            </w:r>
          </w:p>
        </w:tc>
        <w:tc>
          <w:tcPr>
            <w:tcW w:w="1247"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48.17%</w:t>
            </w:r>
          </w:p>
        </w:tc>
        <w:tc>
          <w:tcPr>
            <w:tcW w:w="1235"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42.72%</w:t>
            </w:r>
          </w:p>
        </w:tc>
        <w:tc>
          <w:tcPr>
            <w:tcW w:w="1174"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36.52%</w:t>
            </w:r>
          </w:p>
        </w:tc>
      </w:tr>
      <w:tr w:rsidR="00DD05FC" w:rsidRPr="00493E2C" w:rsidTr="007C4856">
        <w:trPr>
          <w:trHeight w:val="270"/>
        </w:trPr>
        <w:tc>
          <w:tcPr>
            <w:tcW w:w="1344" w:type="pct"/>
            <w:tcBorders>
              <w:top w:val="nil"/>
              <w:left w:val="single" w:sz="4" w:space="0" w:color="auto"/>
              <w:bottom w:val="single" w:sz="4" w:space="0" w:color="auto"/>
              <w:right w:val="single" w:sz="4" w:space="0" w:color="auto"/>
            </w:tcBorders>
            <w:shd w:val="clear" w:color="auto" w:fill="auto"/>
            <w:noWrap/>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 xml:space="preserve"> </w:t>
            </w:r>
            <w:proofErr w:type="gramStart"/>
            <w:r w:rsidRPr="00493E2C">
              <w:rPr>
                <w:rFonts w:ascii="宋体" w:hAnsi="宋体" w:cs="宋体" w:hint="eastAsia"/>
                <w:color w:val="000000"/>
                <w:kern w:val="0"/>
                <w:szCs w:val="21"/>
              </w:rPr>
              <w:t>联环药业</w:t>
            </w:r>
            <w:proofErr w:type="gramEnd"/>
            <w:r w:rsidRPr="00493E2C">
              <w:rPr>
                <w:rFonts w:ascii="宋体" w:hAnsi="宋体" w:cs="宋体" w:hint="eastAsia"/>
                <w:color w:val="000000"/>
                <w:kern w:val="0"/>
                <w:szCs w:val="21"/>
              </w:rPr>
              <w:t xml:space="preserve"> </w:t>
            </w:r>
          </w:p>
        </w:tc>
        <w:tc>
          <w:tcPr>
            <w:tcW w:w="1247"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47.42%</w:t>
            </w:r>
          </w:p>
        </w:tc>
        <w:tc>
          <w:tcPr>
            <w:tcW w:w="1235"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43.72%</w:t>
            </w:r>
          </w:p>
        </w:tc>
        <w:tc>
          <w:tcPr>
            <w:tcW w:w="1174"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34.20%</w:t>
            </w:r>
          </w:p>
        </w:tc>
      </w:tr>
      <w:tr w:rsidR="00DD05FC" w:rsidRPr="00493E2C" w:rsidTr="007C4856">
        <w:trPr>
          <w:trHeight w:val="270"/>
        </w:trPr>
        <w:tc>
          <w:tcPr>
            <w:tcW w:w="1344" w:type="pct"/>
            <w:tcBorders>
              <w:top w:val="nil"/>
              <w:left w:val="single" w:sz="4" w:space="0" w:color="auto"/>
              <w:bottom w:val="single" w:sz="4" w:space="0" w:color="auto"/>
              <w:right w:val="single" w:sz="4" w:space="0" w:color="auto"/>
            </w:tcBorders>
            <w:shd w:val="clear" w:color="auto" w:fill="auto"/>
            <w:noWrap/>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 xml:space="preserve"> 西藏药业 </w:t>
            </w:r>
          </w:p>
        </w:tc>
        <w:tc>
          <w:tcPr>
            <w:tcW w:w="1247"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47.11%</w:t>
            </w:r>
          </w:p>
        </w:tc>
        <w:tc>
          <w:tcPr>
            <w:tcW w:w="1235"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41.16%</w:t>
            </w:r>
          </w:p>
        </w:tc>
        <w:tc>
          <w:tcPr>
            <w:tcW w:w="1174"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44.82%</w:t>
            </w:r>
          </w:p>
        </w:tc>
      </w:tr>
      <w:tr w:rsidR="00DD05FC" w:rsidRPr="00493E2C" w:rsidTr="007C4856">
        <w:trPr>
          <w:trHeight w:val="270"/>
        </w:trPr>
        <w:tc>
          <w:tcPr>
            <w:tcW w:w="1344" w:type="pct"/>
            <w:tcBorders>
              <w:top w:val="nil"/>
              <w:left w:val="single" w:sz="4" w:space="0" w:color="auto"/>
              <w:bottom w:val="single" w:sz="4" w:space="0" w:color="auto"/>
              <w:right w:val="single" w:sz="4" w:space="0" w:color="auto"/>
            </w:tcBorders>
            <w:shd w:val="clear" w:color="auto" w:fill="auto"/>
            <w:noWrap/>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 xml:space="preserve"> </w:t>
            </w:r>
            <w:proofErr w:type="gramStart"/>
            <w:r w:rsidRPr="00493E2C">
              <w:rPr>
                <w:rFonts w:ascii="宋体" w:hAnsi="宋体" w:cs="宋体" w:hint="eastAsia"/>
                <w:color w:val="000000"/>
                <w:kern w:val="0"/>
                <w:szCs w:val="21"/>
              </w:rPr>
              <w:t>华润双鹤</w:t>
            </w:r>
            <w:proofErr w:type="gramEnd"/>
            <w:r w:rsidRPr="00493E2C">
              <w:rPr>
                <w:rFonts w:ascii="宋体" w:hAnsi="宋体" w:cs="宋体" w:hint="eastAsia"/>
                <w:color w:val="000000"/>
                <w:kern w:val="0"/>
                <w:szCs w:val="21"/>
              </w:rPr>
              <w:t xml:space="preserve"> </w:t>
            </w:r>
          </w:p>
        </w:tc>
        <w:tc>
          <w:tcPr>
            <w:tcW w:w="1247"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38.83%</w:t>
            </w:r>
          </w:p>
        </w:tc>
        <w:tc>
          <w:tcPr>
            <w:tcW w:w="1235"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29.24%</w:t>
            </w:r>
          </w:p>
        </w:tc>
        <w:tc>
          <w:tcPr>
            <w:tcW w:w="1174"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23.89%</w:t>
            </w:r>
          </w:p>
        </w:tc>
      </w:tr>
      <w:tr w:rsidR="00DD05FC" w:rsidRPr="00493E2C" w:rsidTr="007C4856">
        <w:trPr>
          <w:trHeight w:val="270"/>
        </w:trPr>
        <w:tc>
          <w:tcPr>
            <w:tcW w:w="1344" w:type="pct"/>
            <w:tcBorders>
              <w:top w:val="nil"/>
              <w:left w:val="single" w:sz="4" w:space="0" w:color="auto"/>
              <w:bottom w:val="single" w:sz="4" w:space="0" w:color="auto"/>
              <w:right w:val="single" w:sz="4" w:space="0" w:color="auto"/>
            </w:tcBorders>
            <w:shd w:val="clear" w:color="auto" w:fill="auto"/>
            <w:noWrap/>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 xml:space="preserve"> 白云山 </w:t>
            </w:r>
          </w:p>
        </w:tc>
        <w:tc>
          <w:tcPr>
            <w:tcW w:w="1247"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11.97%</w:t>
            </w:r>
          </w:p>
        </w:tc>
        <w:tc>
          <w:tcPr>
            <w:tcW w:w="1235"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20.46%</w:t>
            </w:r>
          </w:p>
        </w:tc>
        <w:tc>
          <w:tcPr>
            <w:tcW w:w="1174"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19.08%</w:t>
            </w:r>
          </w:p>
        </w:tc>
      </w:tr>
      <w:tr w:rsidR="00DD05FC" w:rsidRPr="00493E2C" w:rsidTr="007C4856">
        <w:trPr>
          <w:trHeight w:val="270"/>
        </w:trPr>
        <w:tc>
          <w:tcPr>
            <w:tcW w:w="1344" w:type="pct"/>
            <w:tcBorders>
              <w:top w:val="nil"/>
              <w:left w:val="single" w:sz="4" w:space="0" w:color="auto"/>
              <w:bottom w:val="single" w:sz="4" w:space="0" w:color="auto"/>
              <w:right w:val="single" w:sz="4" w:space="0" w:color="auto"/>
            </w:tcBorders>
            <w:shd w:val="clear" w:color="auto" w:fill="auto"/>
            <w:noWrap/>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 xml:space="preserve"> 哈药股份 </w:t>
            </w:r>
          </w:p>
        </w:tc>
        <w:tc>
          <w:tcPr>
            <w:tcW w:w="1247"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5.73%</w:t>
            </w:r>
          </w:p>
        </w:tc>
        <w:tc>
          <w:tcPr>
            <w:tcW w:w="1235"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6.33%</w:t>
            </w:r>
          </w:p>
        </w:tc>
        <w:tc>
          <w:tcPr>
            <w:tcW w:w="1174"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5.39%</w:t>
            </w:r>
          </w:p>
        </w:tc>
      </w:tr>
      <w:tr w:rsidR="00DD05FC" w:rsidRPr="00493E2C" w:rsidTr="007C4856">
        <w:trPr>
          <w:trHeight w:val="270"/>
        </w:trPr>
        <w:tc>
          <w:tcPr>
            <w:tcW w:w="1344" w:type="pct"/>
            <w:tcBorders>
              <w:top w:val="nil"/>
              <w:left w:val="single" w:sz="4" w:space="0" w:color="auto"/>
              <w:bottom w:val="single" w:sz="4" w:space="0" w:color="auto"/>
              <w:right w:val="single" w:sz="4" w:space="0" w:color="auto"/>
            </w:tcBorders>
            <w:shd w:val="clear" w:color="auto" w:fill="auto"/>
            <w:noWrap/>
          </w:tcPr>
          <w:p w:rsidR="00DD05FC" w:rsidRPr="00493E2C" w:rsidRDefault="00DD05FC" w:rsidP="00544E57">
            <w:pPr>
              <w:widowControl/>
              <w:jc w:val="left"/>
              <w:rPr>
                <w:rFonts w:ascii="宋体" w:hAnsi="宋体" w:cs="宋体"/>
                <w:color w:val="000000"/>
                <w:kern w:val="0"/>
                <w:szCs w:val="21"/>
              </w:rPr>
            </w:pPr>
            <w:r w:rsidRPr="00493E2C">
              <w:rPr>
                <w:rFonts w:ascii="宋体" w:hAnsi="宋体" w:cs="宋体" w:hint="eastAsia"/>
                <w:color w:val="000000"/>
                <w:kern w:val="0"/>
                <w:szCs w:val="21"/>
              </w:rPr>
              <w:t xml:space="preserve"> 金陵药业 </w:t>
            </w:r>
          </w:p>
        </w:tc>
        <w:tc>
          <w:tcPr>
            <w:tcW w:w="1247"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5.66%</w:t>
            </w:r>
          </w:p>
        </w:tc>
        <w:tc>
          <w:tcPr>
            <w:tcW w:w="1235"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5.21%</w:t>
            </w:r>
          </w:p>
        </w:tc>
        <w:tc>
          <w:tcPr>
            <w:tcW w:w="1174" w:type="pct"/>
            <w:tcBorders>
              <w:top w:val="nil"/>
              <w:left w:val="nil"/>
              <w:bottom w:val="single" w:sz="4" w:space="0" w:color="auto"/>
              <w:right w:val="single" w:sz="4" w:space="0" w:color="auto"/>
            </w:tcBorders>
            <w:shd w:val="clear" w:color="auto" w:fill="auto"/>
            <w:noWrap/>
          </w:tcPr>
          <w:p w:rsidR="00DD05FC" w:rsidRPr="00493E2C" w:rsidRDefault="00DD05FC" w:rsidP="00544E57">
            <w:pPr>
              <w:widowControl/>
              <w:jc w:val="right"/>
              <w:rPr>
                <w:rFonts w:ascii="宋体" w:hAnsi="宋体" w:cs="宋体"/>
                <w:color w:val="000000"/>
                <w:kern w:val="0"/>
                <w:szCs w:val="21"/>
              </w:rPr>
            </w:pPr>
            <w:r w:rsidRPr="00493E2C">
              <w:rPr>
                <w:rFonts w:ascii="宋体" w:hAnsi="宋体" w:cs="宋体" w:hint="eastAsia"/>
                <w:color w:val="000000"/>
                <w:kern w:val="0"/>
                <w:szCs w:val="21"/>
              </w:rPr>
              <w:t>3.66%</w:t>
            </w:r>
          </w:p>
        </w:tc>
      </w:tr>
    </w:tbl>
    <w:p w:rsidR="00DD05FC" w:rsidRPr="00493E2C" w:rsidRDefault="00DD05FC" w:rsidP="00DD05FC">
      <w:pPr>
        <w:spacing w:line="360" w:lineRule="auto"/>
        <w:ind w:firstLineChars="200" w:firstLine="480"/>
        <w:rPr>
          <w:rFonts w:ascii="宋体" w:hAnsi="宋体"/>
          <w:sz w:val="24"/>
        </w:rPr>
      </w:pPr>
      <w:r w:rsidRPr="00493E2C">
        <w:rPr>
          <w:rFonts w:ascii="宋体" w:hAnsi="宋体" w:hint="eastAsia"/>
          <w:sz w:val="24"/>
        </w:rPr>
        <w:t>经与同行业公司对比，公司销售费用率与变动情况处在合理区间内，公司近年来</w:t>
      </w:r>
      <w:r w:rsidRPr="00493E2C">
        <w:rPr>
          <w:rStyle w:val="afont1"/>
          <w:rFonts w:ascii="宋体" w:hAnsi="宋体" w:hint="eastAsia"/>
          <w:sz w:val="24"/>
        </w:rPr>
        <w:t>咨询费等医药销售渠道开拓、市场和学术推广、宣传等费用增加的主要原因为医药销售模式的变化，有其合理性。</w:t>
      </w:r>
    </w:p>
    <w:p w:rsidR="00DD05FC" w:rsidRPr="00493E2C" w:rsidRDefault="00DD05FC" w:rsidP="00DD05FC">
      <w:pPr>
        <w:spacing w:line="360" w:lineRule="auto"/>
        <w:ind w:firstLineChars="200" w:firstLine="482"/>
        <w:jc w:val="left"/>
        <w:rPr>
          <w:rFonts w:ascii="宋体" w:hAnsi="宋体"/>
          <w:b/>
          <w:sz w:val="24"/>
        </w:rPr>
      </w:pPr>
      <w:r w:rsidRPr="00493E2C">
        <w:rPr>
          <w:rFonts w:ascii="宋体" w:hAnsi="宋体" w:hint="eastAsia"/>
          <w:b/>
          <w:sz w:val="24"/>
        </w:rPr>
        <w:t>会计师核查程序及结论：</w:t>
      </w:r>
    </w:p>
    <w:p w:rsidR="00DD05FC" w:rsidRPr="00493E2C" w:rsidRDefault="00DD05FC" w:rsidP="00DD05FC">
      <w:pPr>
        <w:spacing w:line="360" w:lineRule="auto"/>
        <w:ind w:firstLineChars="200" w:firstLine="480"/>
        <w:jc w:val="left"/>
        <w:rPr>
          <w:rFonts w:ascii="宋体" w:hAnsi="宋体"/>
          <w:sz w:val="24"/>
        </w:rPr>
      </w:pPr>
      <w:r w:rsidRPr="00493E2C">
        <w:rPr>
          <w:rFonts w:ascii="宋体" w:hAnsi="宋体" w:hint="eastAsia"/>
          <w:sz w:val="24"/>
        </w:rPr>
        <w:t>我们在对江苏吴中2018 年度财务报表的审计过程中已经充分关注销售费用-咨询费。在江苏吴中2018 年财务报表的审计中，针对该事项我们执行了相关的审计程序（包括但不限于）：</w:t>
      </w:r>
    </w:p>
    <w:p w:rsidR="00DD05FC" w:rsidRPr="00493E2C" w:rsidRDefault="00DD05FC" w:rsidP="00DD05FC">
      <w:pPr>
        <w:spacing w:line="360" w:lineRule="auto"/>
        <w:ind w:firstLineChars="200" w:firstLine="480"/>
        <w:jc w:val="left"/>
        <w:rPr>
          <w:rFonts w:ascii="宋体" w:hAnsi="宋体"/>
          <w:sz w:val="24"/>
        </w:rPr>
      </w:pPr>
      <w:r w:rsidRPr="00493E2C">
        <w:rPr>
          <w:rFonts w:ascii="宋体" w:hAnsi="宋体" w:hint="eastAsia"/>
          <w:sz w:val="24"/>
        </w:rPr>
        <w:t>（1）我们了解并测试了咨询费结算及付款的相关内部控制；</w:t>
      </w:r>
    </w:p>
    <w:p w:rsidR="00DD05FC" w:rsidRPr="00493E2C" w:rsidRDefault="00DD05FC" w:rsidP="00DD05FC">
      <w:pPr>
        <w:spacing w:line="360" w:lineRule="auto"/>
        <w:ind w:firstLineChars="200" w:firstLine="480"/>
        <w:jc w:val="left"/>
        <w:rPr>
          <w:rFonts w:ascii="宋体" w:hAnsi="宋体"/>
          <w:sz w:val="24"/>
        </w:rPr>
      </w:pPr>
      <w:r w:rsidRPr="00493E2C">
        <w:rPr>
          <w:rFonts w:ascii="宋体" w:hAnsi="宋体" w:hint="eastAsia"/>
          <w:sz w:val="24"/>
        </w:rPr>
        <w:t>（2）抽查大额合同核对是否按照合同约定结算与支付；</w:t>
      </w:r>
    </w:p>
    <w:p w:rsidR="00DD05FC" w:rsidRPr="00493E2C" w:rsidRDefault="00DD05FC" w:rsidP="00DD05FC">
      <w:pPr>
        <w:spacing w:line="360" w:lineRule="auto"/>
        <w:ind w:firstLineChars="200" w:firstLine="480"/>
        <w:jc w:val="left"/>
        <w:rPr>
          <w:rFonts w:ascii="宋体" w:hAnsi="宋体"/>
          <w:sz w:val="24"/>
        </w:rPr>
      </w:pPr>
      <w:r w:rsidRPr="00493E2C">
        <w:rPr>
          <w:rFonts w:ascii="宋体" w:hAnsi="宋体" w:hint="eastAsia"/>
          <w:sz w:val="24"/>
        </w:rPr>
        <w:t>（3）抽查大额合同及发票，并与支付时的收款单位进行核对，检查业务流、票据流和资金流是否一致；</w:t>
      </w:r>
    </w:p>
    <w:p w:rsidR="00DD05FC" w:rsidRPr="00493E2C" w:rsidRDefault="00DD05FC" w:rsidP="00DD05FC">
      <w:pPr>
        <w:spacing w:line="360" w:lineRule="auto"/>
        <w:ind w:firstLineChars="200" w:firstLine="480"/>
        <w:jc w:val="left"/>
        <w:rPr>
          <w:rFonts w:ascii="宋体" w:hAnsi="宋体"/>
          <w:sz w:val="24"/>
        </w:rPr>
      </w:pPr>
      <w:r w:rsidRPr="00493E2C">
        <w:rPr>
          <w:rFonts w:ascii="宋体" w:hAnsi="宋体" w:hint="eastAsia"/>
          <w:sz w:val="24"/>
        </w:rPr>
        <w:t>（4）对费用的完整性进行测试。</w:t>
      </w:r>
    </w:p>
    <w:p w:rsidR="008C71F5" w:rsidRDefault="00DD05FC" w:rsidP="00DD05FC">
      <w:pPr>
        <w:spacing w:line="360" w:lineRule="auto"/>
        <w:ind w:firstLineChars="200" w:firstLine="480"/>
        <w:rPr>
          <w:rFonts w:ascii="宋体" w:hAnsi="宋体"/>
          <w:sz w:val="24"/>
        </w:rPr>
      </w:pPr>
      <w:r w:rsidRPr="00493E2C">
        <w:rPr>
          <w:rFonts w:ascii="宋体" w:hAnsi="宋体" w:hint="eastAsia"/>
          <w:sz w:val="24"/>
        </w:rPr>
        <w:t>通过执行以上审计程序，我们没有发现上述说明中与财务报告相关的信息与我们在审计过程中获取的相关资料在所有重大方面存在不一致之处。</w:t>
      </w:r>
    </w:p>
    <w:p w:rsidR="00E80A21" w:rsidRDefault="00E80A21" w:rsidP="00DD05FC">
      <w:pPr>
        <w:spacing w:line="360" w:lineRule="auto"/>
        <w:ind w:firstLineChars="200" w:firstLine="480"/>
        <w:rPr>
          <w:rFonts w:asciiTheme="minorEastAsia" w:eastAsiaTheme="minorEastAsia" w:hAnsiTheme="minorEastAsia"/>
          <w:sz w:val="24"/>
        </w:rPr>
      </w:pPr>
      <w:r w:rsidRPr="00E80A21">
        <w:rPr>
          <w:rFonts w:asciiTheme="minorEastAsia" w:eastAsiaTheme="minorEastAsia" w:hAnsiTheme="minorEastAsia" w:hint="eastAsia"/>
          <w:sz w:val="24"/>
        </w:rPr>
        <w:t>年审会计师事务所对上述部分事项发表的专项意见详见公司同日在上海证券交易所网站披露</w:t>
      </w:r>
      <w:r w:rsidRPr="00064426">
        <w:rPr>
          <w:rFonts w:asciiTheme="minorEastAsia" w:eastAsiaTheme="minorEastAsia" w:hAnsiTheme="minorEastAsia" w:hint="eastAsia"/>
          <w:sz w:val="24"/>
        </w:rPr>
        <w:t>的《瑞华会计师事务所（特殊普通合伙）关于江苏吴中实业股份有限公司2018年年报问询函的专项说明》。</w:t>
      </w:r>
    </w:p>
    <w:p w:rsidR="00A52BF6" w:rsidRDefault="00A52BF6" w:rsidP="00A52BF6">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A52BF6" w:rsidRPr="00650CAE" w:rsidRDefault="00A52BF6" w:rsidP="00A52BF6">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A52BF6" w:rsidRPr="00650CAE" w:rsidRDefault="00A52BF6" w:rsidP="00A52BF6">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A52BF6" w:rsidRPr="00064426" w:rsidRDefault="00A52BF6" w:rsidP="00064426">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Pr>
          <w:rFonts w:asciiTheme="minorEastAsia" w:eastAsiaTheme="minorEastAsia" w:hAnsiTheme="minorEastAsia" w:hint="eastAsia"/>
          <w:sz w:val="24"/>
        </w:rPr>
        <w:t>5</w:t>
      </w:r>
      <w:r w:rsidRPr="00650CAE">
        <w:rPr>
          <w:rFonts w:asciiTheme="minorEastAsia" w:eastAsiaTheme="minorEastAsia" w:hAnsiTheme="minorEastAsia" w:hint="eastAsia"/>
          <w:sz w:val="24"/>
        </w:rPr>
        <w:t>月</w:t>
      </w:r>
      <w:r w:rsidR="00E80A21">
        <w:rPr>
          <w:rFonts w:asciiTheme="minorEastAsia" w:eastAsiaTheme="minorEastAsia" w:hAnsiTheme="minorEastAsia" w:hint="eastAsia"/>
          <w:sz w:val="24"/>
        </w:rPr>
        <w:t>21</w:t>
      </w:r>
      <w:r w:rsidRPr="00650CAE">
        <w:rPr>
          <w:rFonts w:asciiTheme="minorEastAsia" w:eastAsiaTheme="minorEastAsia" w:hAnsiTheme="minorEastAsia" w:hint="eastAsia"/>
          <w:sz w:val="24"/>
        </w:rPr>
        <w:t>日</w:t>
      </w:r>
    </w:p>
    <w:sectPr w:rsidR="00A52BF6" w:rsidRPr="000644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79" w:rsidRDefault="00BC6379" w:rsidP="00E56F5F">
      <w:r>
        <w:separator/>
      </w:r>
    </w:p>
  </w:endnote>
  <w:endnote w:type="continuationSeparator" w:id="0">
    <w:p w:rsidR="00BC6379" w:rsidRDefault="00BC6379" w:rsidP="00E5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12B" w:rsidRDefault="00BE312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312B" w:rsidRDefault="00BE312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12B" w:rsidRPr="0003691C" w:rsidRDefault="00BE312B">
    <w:pPr>
      <w:pStyle w:val="a4"/>
      <w:framePr w:wrap="around" w:vAnchor="text" w:hAnchor="margin" w:xAlign="center" w:y="1"/>
      <w:rPr>
        <w:rStyle w:val="a6"/>
        <w:rFonts w:ascii="Arial" w:hAnsi="Arial" w:cs="Arial"/>
      </w:rPr>
    </w:pPr>
    <w:r w:rsidRPr="0003691C">
      <w:rPr>
        <w:rStyle w:val="a6"/>
        <w:rFonts w:ascii="Arial" w:hAnsi="Arial" w:cs="Arial"/>
      </w:rPr>
      <w:fldChar w:fldCharType="begin"/>
    </w:r>
    <w:r w:rsidRPr="0003691C">
      <w:rPr>
        <w:rStyle w:val="a6"/>
        <w:rFonts w:ascii="Arial" w:hAnsi="Arial" w:cs="Arial"/>
      </w:rPr>
      <w:instrText xml:space="preserve">PAGE  </w:instrText>
    </w:r>
    <w:r w:rsidRPr="0003691C">
      <w:rPr>
        <w:rStyle w:val="a6"/>
        <w:rFonts w:ascii="Arial" w:hAnsi="Arial" w:cs="Arial"/>
      </w:rPr>
      <w:fldChar w:fldCharType="separate"/>
    </w:r>
    <w:r w:rsidR="00310B04">
      <w:rPr>
        <w:rStyle w:val="a6"/>
        <w:rFonts w:ascii="Arial" w:hAnsi="Arial" w:cs="Arial"/>
        <w:noProof/>
      </w:rPr>
      <w:t>14</w:t>
    </w:r>
    <w:r w:rsidRPr="0003691C">
      <w:rPr>
        <w:rStyle w:val="a6"/>
        <w:rFonts w:ascii="Arial" w:hAnsi="Arial" w:cs="Arial"/>
      </w:rPr>
      <w:fldChar w:fldCharType="end"/>
    </w:r>
  </w:p>
  <w:p w:rsidR="00BE312B" w:rsidRDefault="00BE31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79" w:rsidRDefault="00BC6379" w:rsidP="00E56F5F">
      <w:r>
        <w:separator/>
      </w:r>
    </w:p>
  </w:footnote>
  <w:footnote w:type="continuationSeparator" w:id="0">
    <w:p w:rsidR="00BC6379" w:rsidRDefault="00BC6379" w:rsidP="00E56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463F"/>
    <w:multiLevelType w:val="hybridMultilevel"/>
    <w:tmpl w:val="654A2430"/>
    <w:lvl w:ilvl="0" w:tplc="D1C4C258">
      <w:start w:val="1"/>
      <w:numFmt w:val="upperLetter"/>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CFF7D33"/>
    <w:multiLevelType w:val="hybridMultilevel"/>
    <w:tmpl w:val="831A0B74"/>
    <w:lvl w:ilvl="0" w:tplc="04090011">
      <w:start w:val="1"/>
      <w:numFmt w:val="decimal"/>
      <w:lvlText w:val="%1)"/>
      <w:lvlJc w:val="left"/>
      <w:pPr>
        <w:ind w:left="900" w:hanging="420"/>
      </w:pPr>
    </w:lvl>
    <w:lvl w:ilvl="1" w:tplc="AEBE1F3C">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91D4DE7"/>
    <w:multiLevelType w:val="hybridMultilevel"/>
    <w:tmpl w:val="AB882150"/>
    <w:lvl w:ilvl="0" w:tplc="04090015">
      <w:start w:val="1"/>
      <w:numFmt w:val="upp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692624EA"/>
    <w:multiLevelType w:val="hybridMultilevel"/>
    <w:tmpl w:val="2D9ACA2C"/>
    <w:lvl w:ilvl="0" w:tplc="6E7289A8">
      <w:start w:val="1"/>
      <w:numFmt w:val="decimal"/>
      <w:lvlText w:val="（%1）"/>
      <w:lvlJc w:val="left"/>
      <w:pPr>
        <w:ind w:left="1200" w:hanging="720"/>
      </w:pPr>
      <w:rPr>
        <w:rFonts w:hint="default"/>
      </w:rPr>
    </w:lvl>
    <w:lvl w:ilvl="1" w:tplc="D1C4C258">
      <w:start w:val="1"/>
      <w:numFmt w:val="upperLetter"/>
      <w:suff w:val="nothing"/>
      <w:lvlText w:val="%2、"/>
      <w:lvlJc w:val="left"/>
      <w:pPr>
        <w:ind w:left="644"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xueming">
    <w15:presenceInfo w15:providerId="None" w15:userId="sunxue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86"/>
    <w:rsid w:val="00002D37"/>
    <w:rsid w:val="00010EAD"/>
    <w:rsid w:val="00015559"/>
    <w:rsid w:val="0003171D"/>
    <w:rsid w:val="000377FA"/>
    <w:rsid w:val="00056F2B"/>
    <w:rsid w:val="00064426"/>
    <w:rsid w:val="0008378A"/>
    <w:rsid w:val="000A50F6"/>
    <w:rsid w:val="000C1EBF"/>
    <w:rsid w:val="000D5160"/>
    <w:rsid w:val="000E39FA"/>
    <w:rsid w:val="000E5928"/>
    <w:rsid w:val="00115DE0"/>
    <w:rsid w:val="00125EB5"/>
    <w:rsid w:val="00141A30"/>
    <w:rsid w:val="0014235B"/>
    <w:rsid w:val="001449C0"/>
    <w:rsid w:val="00167B35"/>
    <w:rsid w:val="00184711"/>
    <w:rsid w:val="001A6F91"/>
    <w:rsid w:val="001B7E94"/>
    <w:rsid w:val="001F5963"/>
    <w:rsid w:val="001F698F"/>
    <w:rsid w:val="00231CDC"/>
    <w:rsid w:val="002442A3"/>
    <w:rsid w:val="0025726D"/>
    <w:rsid w:val="0025795B"/>
    <w:rsid w:val="0027220C"/>
    <w:rsid w:val="002808AB"/>
    <w:rsid w:val="00284CD2"/>
    <w:rsid w:val="002B7CCB"/>
    <w:rsid w:val="002C3968"/>
    <w:rsid w:val="002C71E7"/>
    <w:rsid w:val="002D2369"/>
    <w:rsid w:val="00310B04"/>
    <w:rsid w:val="00324EB8"/>
    <w:rsid w:val="0037324C"/>
    <w:rsid w:val="00385FA4"/>
    <w:rsid w:val="003870CC"/>
    <w:rsid w:val="003B5345"/>
    <w:rsid w:val="003C607D"/>
    <w:rsid w:val="003D3FFF"/>
    <w:rsid w:val="003E355B"/>
    <w:rsid w:val="00415D93"/>
    <w:rsid w:val="004502F4"/>
    <w:rsid w:val="004836BF"/>
    <w:rsid w:val="004932A6"/>
    <w:rsid w:val="00493756"/>
    <w:rsid w:val="00496CF0"/>
    <w:rsid w:val="00496E8A"/>
    <w:rsid w:val="004C0FAE"/>
    <w:rsid w:val="004C27B9"/>
    <w:rsid w:val="004E363D"/>
    <w:rsid w:val="004F1F15"/>
    <w:rsid w:val="0052077F"/>
    <w:rsid w:val="00542B54"/>
    <w:rsid w:val="0054311D"/>
    <w:rsid w:val="00544E57"/>
    <w:rsid w:val="00560A45"/>
    <w:rsid w:val="005712CB"/>
    <w:rsid w:val="00577CBB"/>
    <w:rsid w:val="005824D9"/>
    <w:rsid w:val="005B4F18"/>
    <w:rsid w:val="005C3668"/>
    <w:rsid w:val="005D4ACB"/>
    <w:rsid w:val="005D4C78"/>
    <w:rsid w:val="00604AB6"/>
    <w:rsid w:val="00615D49"/>
    <w:rsid w:val="006412D7"/>
    <w:rsid w:val="00662769"/>
    <w:rsid w:val="00683AED"/>
    <w:rsid w:val="00695D72"/>
    <w:rsid w:val="006B29CA"/>
    <w:rsid w:val="006B2B65"/>
    <w:rsid w:val="006E39CA"/>
    <w:rsid w:val="007001F0"/>
    <w:rsid w:val="007014FC"/>
    <w:rsid w:val="007564B5"/>
    <w:rsid w:val="00766EEB"/>
    <w:rsid w:val="007C4856"/>
    <w:rsid w:val="0080170D"/>
    <w:rsid w:val="00802A0A"/>
    <w:rsid w:val="008036D4"/>
    <w:rsid w:val="00827705"/>
    <w:rsid w:val="0085252D"/>
    <w:rsid w:val="0086373E"/>
    <w:rsid w:val="00893296"/>
    <w:rsid w:val="008935D4"/>
    <w:rsid w:val="008C10BB"/>
    <w:rsid w:val="008C71F5"/>
    <w:rsid w:val="008D4E33"/>
    <w:rsid w:val="008E57CC"/>
    <w:rsid w:val="008F6AB5"/>
    <w:rsid w:val="00930FFC"/>
    <w:rsid w:val="00933FA5"/>
    <w:rsid w:val="00940A48"/>
    <w:rsid w:val="00955A3F"/>
    <w:rsid w:val="00991F9B"/>
    <w:rsid w:val="009E694E"/>
    <w:rsid w:val="00A267F9"/>
    <w:rsid w:val="00A34FC7"/>
    <w:rsid w:val="00A52BF6"/>
    <w:rsid w:val="00A842DF"/>
    <w:rsid w:val="00A946DF"/>
    <w:rsid w:val="00AA10D4"/>
    <w:rsid w:val="00AC7ABF"/>
    <w:rsid w:val="00AE520F"/>
    <w:rsid w:val="00B07E79"/>
    <w:rsid w:val="00B31A8D"/>
    <w:rsid w:val="00B77D71"/>
    <w:rsid w:val="00B8267E"/>
    <w:rsid w:val="00BA48EF"/>
    <w:rsid w:val="00BA6986"/>
    <w:rsid w:val="00BB5F62"/>
    <w:rsid w:val="00BC3268"/>
    <w:rsid w:val="00BC6379"/>
    <w:rsid w:val="00BE312B"/>
    <w:rsid w:val="00BF68F7"/>
    <w:rsid w:val="00C00BCE"/>
    <w:rsid w:val="00C018B8"/>
    <w:rsid w:val="00C01D90"/>
    <w:rsid w:val="00C14435"/>
    <w:rsid w:val="00C33C7C"/>
    <w:rsid w:val="00C506E4"/>
    <w:rsid w:val="00C81048"/>
    <w:rsid w:val="00CC48EF"/>
    <w:rsid w:val="00CC65AD"/>
    <w:rsid w:val="00CD5891"/>
    <w:rsid w:val="00CD6EAB"/>
    <w:rsid w:val="00CF42BE"/>
    <w:rsid w:val="00D0185C"/>
    <w:rsid w:val="00D04CBB"/>
    <w:rsid w:val="00D05B14"/>
    <w:rsid w:val="00D21B8D"/>
    <w:rsid w:val="00D243CB"/>
    <w:rsid w:val="00D26D15"/>
    <w:rsid w:val="00D45281"/>
    <w:rsid w:val="00D53DC4"/>
    <w:rsid w:val="00D90BC6"/>
    <w:rsid w:val="00DD05FC"/>
    <w:rsid w:val="00DD18C1"/>
    <w:rsid w:val="00E003D0"/>
    <w:rsid w:val="00E025CD"/>
    <w:rsid w:val="00E03E7C"/>
    <w:rsid w:val="00E05034"/>
    <w:rsid w:val="00E220DE"/>
    <w:rsid w:val="00E55DCE"/>
    <w:rsid w:val="00E56F5F"/>
    <w:rsid w:val="00E74419"/>
    <w:rsid w:val="00E74755"/>
    <w:rsid w:val="00E80A21"/>
    <w:rsid w:val="00E9529E"/>
    <w:rsid w:val="00E96761"/>
    <w:rsid w:val="00EA6444"/>
    <w:rsid w:val="00EB7FBA"/>
    <w:rsid w:val="00EF4065"/>
    <w:rsid w:val="00F00C10"/>
    <w:rsid w:val="00F03012"/>
    <w:rsid w:val="00F03FA2"/>
    <w:rsid w:val="00F21312"/>
    <w:rsid w:val="00F74C9D"/>
    <w:rsid w:val="00FA5496"/>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F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F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6F5F"/>
    <w:rPr>
      <w:sz w:val="18"/>
      <w:szCs w:val="18"/>
    </w:rPr>
  </w:style>
  <w:style w:type="paragraph" w:styleId="a4">
    <w:name w:val="footer"/>
    <w:basedOn w:val="a"/>
    <w:link w:val="Char0"/>
    <w:unhideWhenUsed/>
    <w:rsid w:val="00E56F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6F5F"/>
    <w:rPr>
      <w:sz w:val="18"/>
      <w:szCs w:val="18"/>
    </w:rPr>
  </w:style>
  <w:style w:type="paragraph" w:customStyle="1" w:styleId="Default">
    <w:name w:val="Default"/>
    <w:rsid w:val="00E56F5F"/>
    <w:pPr>
      <w:widowControl w:val="0"/>
      <w:autoSpaceDE w:val="0"/>
      <w:autoSpaceDN w:val="0"/>
      <w:adjustRightInd w:val="0"/>
    </w:pPr>
    <w:rPr>
      <w:rFonts w:ascii="宋体" w:eastAsia="宋体" w:hAnsi="Times New Roman" w:cs="宋体"/>
      <w:color w:val="000000"/>
      <w:kern w:val="0"/>
      <w:sz w:val="24"/>
      <w:szCs w:val="24"/>
    </w:rPr>
  </w:style>
  <w:style w:type="paragraph" w:styleId="a5">
    <w:name w:val="List Paragraph"/>
    <w:basedOn w:val="a"/>
    <w:uiPriority w:val="34"/>
    <w:qFormat/>
    <w:rsid w:val="00C00BCE"/>
    <w:pPr>
      <w:ind w:firstLineChars="200" w:firstLine="420"/>
    </w:pPr>
  </w:style>
  <w:style w:type="character" w:customStyle="1" w:styleId="afont1">
    <w:name w:val="afont1"/>
    <w:rsid w:val="00C00BCE"/>
    <w:rPr>
      <w:rFonts w:ascii="Arial Narrow" w:hAnsi="Arial Narrow" w:cs="Arial Narrow"/>
      <w:sz w:val="26"/>
      <w:szCs w:val="26"/>
    </w:rPr>
  </w:style>
  <w:style w:type="character" w:styleId="a6">
    <w:name w:val="page number"/>
    <w:basedOn w:val="a0"/>
    <w:rsid w:val="00DD05FC"/>
  </w:style>
  <w:style w:type="paragraph" w:styleId="a7">
    <w:name w:val="Balloon Text"/>
    <w:basedOn w:val="a"/>
    <w:link w:val="Char1"/>
    <w:uiPriority w:val="99"/>
    <w:semiHidden/>
    <w:unhideWhenUsed/>
    <w:rsid w:val="00544E57"/>
    <w:rPr>
      <w:sz w:val="18"/>
      <w:szCs w:val="18"/>
    </w:rPr>
  </w:style>
  <w:style w:type="character" w:customStyle="1" w:styleId="Char1">
    <w:name w:val="批注框文本 Char"/>
    <w:basedOn w:val="a0"/>
    <w:link w:val="a7"/>
    <w:uiPriority w:val="99"/>
    <w:semiHidden/>
    <w:rsid w:val="00544E5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F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F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6F5F"/>
    <w:rPr>
      <w:sz w:val="18"/>
      <w:szCs w:val="18"/>
    </w:rPr>
  </w:style>
  <w:style w:type="paragraph" w:styleId="a4">
    <w:name w:val="footer"/>
    <w:basedOn w:val="a"/>
    <w:link w:val="Char0"/>
    <w:unhideWhenUsed/>
    <w:rsid w:val="00E56F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6F5F"/>
    <w:rPr>
      <w:sz w:val="18"/>
      <w:szCs w:val="18"/>
    </w:rPr>
  </w:style>
  <w:style w:type="paragraph" w:customStyle="1" w:styleId="Default">
    <w:name w:val="Default"/>
    <w:rsid w:val="00E56F5F"/>
    <w:pPr>
      <w:widowControl w:val="0"/>
      <w:autoSpaceDE w:val="0"/>
      <w:autoSpaceDN w:val="0"/>
      <w:adjustRightInd w:val="0"/>
    </w:pPr>
    <w:rPr>
      <w:rFonts w:ascii="宋体" w:eastAsia="宋体" w:hAnsi="Times New Roman" w:cs="宋体"/>
      <w:color w:val="000000"/>
      <w:kern w:val="0"/>
      <w:sz w:val="24"/>
      <w:szCs w:val="24"/>
    </w:rPr>
  </w:style>
  <w:style w:type="paragraph" w:styleId="a5">
    <w:name w:val="List Paragraph"/>
    <w:basedOn w:val="a"/>
    <w:uiPriority w:val="34"/>
    <w:qFormat/>
    <w:rsid w:val="00C00BCE"/>
    <w:pPr>
      <w:ind w:firstLineChars="200" w:firstLine="420"/>
    </w:pPr>
  </w:style>
  <w:style w:type="character" w:customStyle="1" w:styleId="afont1">
    <w:name w:val="afont1"/>
    <w:rsid w:val="00C00BCE"/>
    <w:rPr>
      <w:rFonts w:ascii="Arial Narrow" w:hAnsi="Arial Narrow" w:cs="Arial Narrow"/>
      <w:sz w:val="26"/>
      <w:szCs w:val="26"/>
    </w:rPr>
  </w:style>
  <w:style w:type="character" w:styleId="a6">
    <w:name w:val="page number"/>
    <w:basedOn w:val="a0"/>
    <w:rsid w:val="00DD05FC"/>
  </w:style>
  <w:style w:type="paragraph" w:styleId="a7">
    <w:name w:val="Balloon Text"/>
    <w:basedOn w:val="a"/>
    <w:link w:val="Char1"/>
    <w:uiPriority w:val="99"/>
    <w:semiHidden/>
    <w:unhideWhenUsed/>
    <w:rsid w:val="00544E57"/>
    <w:rPr>
      <w:sz w:val="18"/>
      <w:szCs w:val="18"/>
    </w:rPr>
  </w:style>
  <w:style w:type="character" w:customStyle="1" w:styleId="Char1">
    <w:name w:val="批注框文本 Char"/>
    <w:basedOn w:val="a0"/>
    <w:link w:val="a7"/>
    <w:uiPriority w:val="99"/>
    <w:semiHidden/>
    <w:rsid w:val="00544E5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45D2E-D208-4FF5-AD3E-EA65284A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3084</Words>
  <Characters>17580</Characters>
  <Application>Microsoft Office Word</Application>
  <DocSecurity>0</DocSecurity>
  <Lines>146</Lines>
  <Paragraphs>41</Paragraphs>
  <ScaleCrop>false</ScaleCrop>
  <Company/>
  <LinksUpToDate>false</LinksUpToDate>
  <CharactersWithSpaces>20623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14</cp:revision>
  <dcterms:created xsi:type="dcterms:W3CDTF">2019-05-19T05:51:00Z</dcterms:created>
  <dcterms:modified xsi:type="dcterms:W3CDTF">2019-05-20T07:10:00Z</dcterms:modified>
</cp:coreProperties>
</file>