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53" w:rightChars="-73"/>
        <w:jc w:val="center"/>
        <w:rPr>
          <w:rFonts w:ascii="黑体" w:hAnsi="宋体" w:eastAsia="黑体"/>
          <w:b/>
          <w:bCs/>
          <w:color w:val="FF0000"/>
          <w:sz w:val="32"/>
        </w:rPr>
      </w:pPr>
      <w:r>
        <w:rPr>
          <w:rFonts w:hint="eastAsia" w:ascii="宋体" w:hAnsi="宋体" w:cs="宋体"/>
          <w:color w:val="000000"/>
          <w:kern w:val="0"/>
          <w:sz w:val="24"/>
        </w:rPr>
        <w:t>证券代码：600200         证券简称：江苏吴中      公告编号：临2022-037</w:t>
      </w:r>
    </w:p>
    <w:p>
      <w:pPr>
        <w:spacing w:line="360" w:lineRule="auto"/>
        <w:ind w:right="-153" w:rightChars="-73"/>
        <w:jc w:val="center"/>
        <w:rPr>
          <w:rFonts w:ascii="黑体" w:hAnsi="宋体" w:eastAsia="黑体"/>
          <w:b/>
          <w:bCs/>
          <w:color w:val="FF0000"/>
          <w:sz w:val="32"/>
        </w:rPr>
      </w:pP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江苏吴中医药发展股份有限公司</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关于使用闲置自有资金进行现金管理到期赎回的公告</w:t>
      </w:r>
    </w:p>
    <w:p>
      <w:pPr>
        <w:autoSpaceDE w:val="0"/>
        <w:autoSpaceDN w:val="0"/>
        <w:adjustRightInd w:val="0"/>
        <w:spacing w:line="360" w:lineRule="auto"/>
        <w:ind w:firstLine="482" w:firstLineChars="200"/>
        <w:rPr>
          <w:rFonts w:hint="eastAsia" w:ascii="ˎ̥" w:hAnsi="ˎ̥"/>
          <w:b/>
          <w:sz w:val="24"/>
        </w:rPr>
      </w:pPr>
    </w:p>
    <w:p>
      <w:pPr>
        <w:autoSpaceDE w:val="0"/>
        <w:autoSpaceDN w:val="0"/>
        <w:adjustRightInd w:val="0"/>
        <w:spacing w:line="360" w:lineRule="auto"/>
        <w:ind w:firstLine="482" w:firstLineChars="200"/>
        <w:rPr>
          <w:rFonts w:hint="eastAsia" w:ascii="ˎ̥" w:hAnsi="ˎ̥"/>
          <w:b/>
          <w:sz w:val="24"/>
        </w:rPr>
      </w:pPr>
      <w:r>
        <w:rPr>
          <w:rFonts w:hint="eastAsia" w:ascii="ˎ̥" w:hAnsi="ˎ̥"/>
          <w:b/>
          <w:sz w:val="24"/>
        </w:rPr>
        <w:t>本公司董事会及董事会全体成员保证公告内容不存在虚假记载、误导性陈述或者重大遗漏，并对其内容的真实、准确和完整承担个别及连带责任。</w:t>
      </w:r>
    </w:p>
    <w:p>
      <w:pPr>
        <w:pStyle w:val="12"/>
        <w:spacing w:line="460" w:lineRule="exact"/>
      </w:pPr>
    </w:p>
    <w:p>
      <w:pPr>
        <w:spacing w:line="460" w:lineRule="exact"/>
        <w:ind w:firstLine="482"/>
        <w:rPr>
          <w:rFonts w:asciiTheme="minorEastAsia" w:hAnsiTheme="minorEastAsia" w:eastAsiaTheme="minorEastAsia"/>
          <w:sz w:val="24"/>
        </w:rPr>
      </w:pPr>
      <w:r>
        <w:rPr>
          <w:rFonts w:hint="eastAsia" w:asciiTheme="minorEastAsia" w:hAnsiTheme="minorEastAsia" w:eastAsiaTheme="minorEastAsia"/>
          <w:sz w:val="24"/>
        </w:rPr>
        <w:t>2020年10月30日，江苏吴中医药发展股份有限公司（以下简称“公司”）召开第九届董事会第十一次会议（通讯表决）和第九届监事会第十一次会议（通讯表决），审议通过了《江苏吴中医药发展股份有限公司关于使用闲置自有资金进行现金管理的议案》。同意公司使用不超过人民币3.2亿元暂时闲置自有资金进行现金管理，使用期限不超过12个月，资金可以循环滚动使用。</w:t>
      </w:r>
      <w:r>
        <w:rPr>
          <w:rFonts w:hint="eastAsia" w:ascii="宋体" w:hAnsi="宋体"/>
          <w:sz w:val="24"/>
        </w:rPr>
        <w:t>在额度范围内公司董事会授权公司管理层行使该项投资决策权并签署相关合同文件，具体事项由公司资金管理中心负责组织实施。</w:t>
      </w:r>
      <w:r>
        <w:rPr>
          <w:rFonts w:hint="eastAsia" w:asciiTheme="minorEastAsia" w:hAnsiTheme="minorEastAsia" w:eastAsiaTheme="minorEastAsia"/>
          <w:sz w:val="24"/>
        </w:rPr>
        <w:t>（具体见公司于2020年10月31日在《中国证券报》、《上海证券报》及上海证券交易所网站上披露的相关公告）</w:t>
      </w:r>
    </w:p>
    <w:p>
      <w:pPr>
        <w:spacing w:line="460" w:lineRule="exact"/>
        <w:ind w:firstLine="482"/>
        <w:rPr>
          <w:rFonts w:asciiTheme="minorEastAsia" w:hAnsiTheme="minorEastAsia" w:eastAsiaTheme="minorEastAsia"/>
          <w:sz w:val="24"/>
        </w:rPr>
      </w:pPr>
      <w:r>
        <w:rPr>
          <w:rFonts w:hint="eastAsia" w:asciiTheme="minorEastAsia" w:hAnsiTheme="minorEastAsia" w:eastAsiaTheme="minorEastAsia"/>
          <w:sz w:val="24"/>
        </w:rPr>
        <w:t>2021年10月28日，公司召开第十届董事会第三次会议（通讯表决）和第十届监事会第三次会议（通讯表决），审议通过了《江苏吴中医药发展股份有限公司关于使用闲置自有资金进行现金管理的议案》。同意公司使用不超过人民币3.2亿元暂时闲置自有资金进行现金管理，使用期限不超过12个月，资金可以循环滚动使用。</w:t>
      </w:r>
      <w:r>
        <w:rPr>
          <w:rFonts w:hint="eastAsia" w:ascii="宋体" w:hAnsi="宋体"/>
          <w:sz w:val="24"/>
        </w:rPr>
        <w:t>在额度范围内公司董事会授权公司管理层行使该项投资决策权并签署相关合同文件，具体事项由公司资金管理中心负责组织实施。</w:t>
      </w:r>
      <w:r>
        <w:rPr>
          <w:rFonts w:hint="eastAsia" w:asciiTheme="minorEastAsia" w:hAnsiTheme="minorEastAsia" w:eastAsiaTheme="minorEastAsia"/>
          <w:sz w:val="24"/>
        </w:rPr>
        <w:t>（具体见公司于2021年10月29日在《中国证券报》、《上海证券报》及上海证券交易所网站上披露的相关公告）</w:t>
      </w:r>
    </w:p>
    <w:p>
      <w:pPr>
        <w:spacing w:line="460" w:lineRule="exact"/>
        <w:ind w:firstLine="482"/>
        <w:rPr>
          <w:rFonts w:asciiTheme="minorEastAsia" w:hAnsiTheme="minorEastAsia" w:eastAsiaTheme="minorEastAsia"/>
          <w:sz w:val="24"/>
        </w:rPr>
      </w:pPr>
    </w:p>
    <w:p>
      <w:pPr>
        <w:spacing w:line="360" w:lineRule="auto"/>
        <w:ind w:firstLine="482"/>
        <w:rPr>
          <w:rFonts w:asciiTheme="minorEastAsia" w:hAnsiTheme="minorEastAsia" w:eastAsiaTheme="minorEastAsia"/>
          <w:b/>
          <w:sz w:val="24"/>
        </w:rPr>
      </w:pPr>
      <w:r>
        <w:rPr>
          <w:rFonts w:hint="eastAsia" w:asciiTheme="minorEastAsia" w:hAnsiTheme="minorEastAsia" w:eastAsiaTheme="minorEastAsia"/>
          <w:b/>
          <w:sz w:val="24"/>
        </w:rPr>
        <w:t>一、使用闲置自有资金进行现金管理到期赎回的情况</w:t>
      </w:r>
    </w:p>
    <w:p>
      <w:pPr>
        <w:widowControl/>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2022年6月2日至2022年6月1</w:t>
      </w:r>
      <w:r>
        <w:rPr>
          <w:rFonts w:asciiTheme="minorEastAsia" w:hAnsiTheme="minorEastAsia" w:eastAsiaTheme="minorEastAsia"/>
          <w:sz w:val="24"/>
        </w:rPr>
        <w:t>0</w:t>
      </w:r>
      <w:r>
        <w:rPr>
          <w:rFonts w:hint="eastAsia" w:asciiTheme="minorEastAsia" w:hAnsiTheme="minorEastAsia" w:eastAsiaTheme="minorEastAsia"/>
          <w:sz w:val="24"/>
        </w:rPr>
        <w:t>日期间，公司赎回3笔到期理财产品，收回本金共计</w:t>
      </w:r>
      <w:r>
        <w:rPr>
          <w:rFonts w:hint="eastAsia" w:asciiTheme="minorEastAsia" w:hAnsiTheme="minorEastAsia" w:eastAsiaTheme="minorEastAsia"/>
          <w:color w:val="000000"/>
          <w:sz w:val="24"/>
        </w:rPr>
        <w:t>9,</w:t>
      </w:r>
      <w:r>
        <w:rPr>
          <w:rFonts w:asciiTheme="minorEastAsia" w:hAnsiTheme="minorEastAsia" w:eastAsiaTheme="minorEastAsia"/>
          <w:color w:val="000000"/>
          <w:sz w:val="24"/>
        </w:rPr>
        <w:t>000</w:t>
      </w:r>
      <w:r>
        <w:rPr>
          <w:rFonts w:hint="eastAsia" w:asciiTheme="minorEastAsia" w:hAnsiTheme="minorEastAsia" w:eastAsiaTheme="minorEastAsia"/>
          <w:sz w:val="24"/>
        </w:rPr>
        <w:t>万元，并取得累计收益</w:t>
      </w:r>
      <w:r>
        <w:rPr>
          <w:rFonts w:hint="eastAsia" w:cs="宋体" w:asciiTheme="minorEastAsia" w:hAnsiTheme="minorEastAsia" w:eastAsiaTheme="minorEastAsia"/>
          <w:kern w:val="0"/>
          <w:sz w:val="24"/>
        </w:rPr>
        <w:t>6</w:t>
      </w:r>
      <w:r>
        <w:rPr>
          <w:rFonts w:cs="宋体" w:asciiTheme="minorEastAsia" w:hAnsiTheme="minorEastAsia" w:eastAsiaTheme="minorEastAsia"/>
          <w:kern w:val="0"/>
          <w:sz w:val="24"/>
        </w:rPr>
        <w:t>05.26</w:t>
      </w:r>
      <w:r>
        <w:rPr>
          <w:rFonts w:hint="eastAsia" w:asciiTheme="minorEastAsia" w:hAnsiTheme="minorEastAsia" w:eastAsiaTheme="minorEastAsia"/>
          <w:sz w:val="24"/>
        </w:rPr>
        <w:t>万元，具体情况如下：</w:t>
      </w:r>
    </w:p>
    <w:p>
      <w:pPr>
        <w:widowControl/>
        <w:spacing w:line="360" w:lineRule="auto"/>
        <w:ind w:firstLine="480" w:firstLineChars="200"/>
        <w:rPr>
          <w:rFonts w:hint="eastAsia" w:asciiTheme="minorEastAsia" w:hAnsiTheme="minorEastAsia" w:eastAsiaTheme="minorEastAsia"/>
          <w:sz w:val="24"/>
        </w:rPr>
      </w:pPr>
      <w:bookmarkStart w:id="0" w:name="_GoBack"/>
      <w:bookmarkEnd w:id="0"/>
    </w:p>
    <w:tbl>
      <w:tblPr>
        <w:tblStyle w:val="8"/>
        <w:tblW w:w="992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560"/>
        <w:gridCol w:w="1417"/>
        <w:gridCol w:w="992"/>
        <w:gridCol w:w="1843"/>
        <w:gridCol w:w="1843"/>
        <w:gridCol w:w="85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276"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序号</w:t>
            </w:r>
          </w:p>
        </w:tc>
        <w:tc>
          <w:tcPr>
            <w:tcW w:w="1560" w:type="dxa"/>
            <w:vAlign w:val="center"/>
          </w:tcPr>
          <w:p>
            <w:pPr>
              <w:spacing w:line="276"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受托方</w:t>
            </w:r>
          </w:p>
        </w:tc>
        <w:tc>
          <w:tcPr>
            <w:tcW w:w="1417" w:type="dxa"/>
            <w:vAlign w:val="center"/>
          </w:tcPr>
          <w:p>
            <w:pPr>
              <w:spacing w:line="276"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收益类型</w:t>
            </w:r>
          </w:p>
        </w:tc>
        <w:tc>
          <w:tcPr>
            <w:tcW w:w="992" w:type="dxa"/>
            <w:vAlign w:val="center"/>
          </w:tcPr>
          <w:p>
            <w:pPr>
              <w:spacing w:line="276"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金额</w:t>
            </w:r>
          </w:p>
          <w:p>
            <w:pPr>
              <w:spacing w:line="276"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（万元）</w:t>
            </w:r>
          </w:p>
        </w:tc>
        <w:tc>
          <w:tcPr>
            <w:tcW w:w="1843" w:type="dxa"/>
            <w:vAlign w:val="center"/>
          </w:tcPr>
          <w:p>
            <w:pPr>
              <w:spacing w:line="276"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产品起息日</w:t>
            </w:r>
          </w:p>
        </w:tc>
        <w:tc>
          <w:tcPr>
            <w:tcW w:w="1843" w:type="dxa"/>
            <w:vAlign w:val="center"/>
          </w:tcPr>
          <w:p>
            <w:pPr>
              <w:spacing w:line="276"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产品到期日</w:t>
            </w:r>
          </w:p>
        </w:tc>
        <w:tc>
          <w:tcPr>
            <w:tcW w:w="850" w:type="dxa"/>
            <w:vAlign w:val="center"/>
          </w:tcPr>
          <w:p>
            <w:pPr>
              <w:spacing w:line="276"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年化</w:t>
            </w:r>
          </w:p>
          <w:p>
            <w:pPr>
              <w:spacing w:line="276"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收益率</w:t>
            </w:r>
          </w:p>
        </w:tc>
        <w:tc>
          <w:tcPr>
            <w:tcW w:w="993" w:type="dxa"/>
            <w:vAlign w:val="center"/>
          </w:tcPr>
          <w:p>
            <w:pPr>
              <w:spacing w:line="276"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实际收益（万元）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276"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1560" w:type="dxa"/>
            <w:vAlign w:val="center"/>
          </w:tcPr>
          <w:p>
            <w:pPr>
              <w:spacing w:line="276"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山东金融资产交易中心有限公司</w:t>
            </w:r>
          </w:p>
        </w:tc>
        <w:tc>
          <w:tcPr>
            <w:tcW w:w="1417" w:type="dxa"/>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保本</w:t>
            </w:r>
            <w:r>
              <w:rPr>
                <w:rFonts w:asciiTheme="minorEastAsia" w:hAnsiTheme="minorEastAsia" w:eastAsiaTheme="minorEastAsia"/>
                <w:color w:val="000000"/>
                <w:sz w:val="18"/>
                <w:szCs w:val="18"/>
              </w:rPr>
              <w:t>保息型</w:t>
            </w:r>
          </w:p>
        </w:tc>
        <w:tc>
          <w:tcPr>
            <w:tcW w:w="992" w:type="dxa"/>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w:t>
            </w:r>
            <w:r>
              <w:rPr>
                <w:rFonts w:asciiTheme="minorEastAsia" w:hAnsiTheme="minorEastAsia" w:eastAsiaTheme="minorEastAsia"/>
                <w:color w:val="000000"/>
                <w:sz w:val="18"/>
                <w:szCs w:val="18"/>
              </w:rPr>
              <w:t>000.00</w:t>
            </w:r>
          </w:p>
        </w:tc>
        <w:tc>
          <w:tcPr>
            <w:tcW w:w="1843" w:type="dxa"/>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r>
              <w:rPr>
                <w:rFonts w:asciiTheme="minorEastAsia" w:hAnsiTheme="minorEastAsia" w:eastAsiaTheme="minorEastAsia"/>
                <w:sz w:val="18"/>
                <w:szCs w:val="18"/>
              </w:rPr>
              <w:t>021年</w:t>
            </w:r>
            <w:r>
              <w:rPr>
                <w:rFonts w:hint="eastAsia" w:asciiTheme="minorEastAsia" w:hAnsiTheme="minorEastAsia" w:eastAsiaTheme="minorEastAsia"/>
                <w:sz w:val="18"/>
                <w:szCs w:val="18"/>
              </w:rPr>
              <w:t>6月1</w:t>
            </w:r>
            <w:r>
              <w:rPr>
                <w:rFonts w:asciiTheme="minorEastAsia" w:hAnsiTheme="minorEastAsia" w:eastAsiaTheme="minorEastAsia"/>
                <w:sz w:val="18"/>
                <w:szCs w:val="18"/>
              </w:rPr>
              <w:t>8日</w:t>
            </w:r>
          </w:p>
        </w:tc>
        <w:tc>
          <w:tcPr>
            <w:tcW w:w="1843" w:type="dxa"/>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r>
              <w:rPr>
                <w:rFonts w:asciiTheme="minorEastAsia" w:hAnsiTheme="minorEastAsia" w:eastAsiaTheme="minorEastAsia"/>
                <w:sz w:val="18"/>
                <w:szCs w:val="18"/>
              </w:rPr>
              <w:t>022年</w:t>
            </w:r>
            <w:r>
              <w:rPr>
                <w:rFonts w:hint="eastAsia" w:asciiTheme="minorEastAsia" w:hAnsiTheme="minorEastAsia" w:eastAsiaTheme="minorEastAsia"/>
                <w:sz w:val="18"/>
                <w:szCs w:val="18"/>
              </w:rPr>
              <w:t>6月2日</w:t>
            </w:r>
          </w:p>
        </w:tc>
        <w:tc>
          <w:tcPr>
            <w:tcW w:w="850" w:type="dxa"/>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7%</w:t>
            </w:r>
          </w:p>
        </w:tc>
        <w:tc>
          <w:tcPr>
            <w:tcW w:w="993" w:type="dxa"/>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r>
              <w:rPr>
                <w:rFonts w:asciiTheme="minorEastAsia" w:hAnsiTheme="minorEastAsia" w:eastAsiaTheme="minorEastAsia"/>
                <w:sz w:val="18"/>
                <w:szCs w:val="18"/>
              </w:rPr>
              <w:t>00.79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276"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1560" w:type="dxa"/>
            <w:vAlign w:val="center"/>
          </w:tcPr>
          <w:p>
            <w:pPr>
              <w:spacing w:line="276"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山东金融资产交易中心有限公司</w:t>
            </w:r>
          </w:p>
        </w:tc>
        <w:tc>
          <w:tcPr>
            <w:tcW w:w="1417" w:type="dxa"/>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保本</w:t>
            </w:r>
            <w:r>
              <w:rPr>
                <w:rFonts w:asciiTheme="minorEastAsia" w:hAnsiTheme="minorEastAsia" w:eastAsiaTheme="minorEastAsia"/>
                <w:color w:val="000000"/>
                <w:sz w:val="18"/>
                <w:szCs w:val="18"/>
              </w:rPr>
              <w:t>保息型</w:t>
            </w:r>
          </w:p>
        </w:tc>
        <w:tc>
          <w:tcPr>
            <w:tcW w:w="992" w:type="dxa"/>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w:t>
            </w:r>
            <w:r>
              <w:rPr>
                <w:rFonts w:asciiTheme="minorEastAsia" w:hAnsiTheme="minorEastAsia" w:eastAsiaTheme="minorEastAsia"/>
                <w:color w:val="000000"/>
                <w:sz w:val="18"/>
                <w:szCs w:val="18"/>
              </w:rPr>
              <w:t>000.00</w:t>
            </w:r>
          </w:p>
        </w:tc>
        <w:tc>
          <w:tcPr>
            <w:tcW w:w="1843" w:type="dxa"/>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r>
              <w:rPr>
                <w:rFonts w:asciiTheme="minorEastAsia" w:hAnsiTheme="minorEastAsia" w:eastAsiaTheme="minorEastAsia"/>
                <w:sz w:val="18"/>
                <w:szCs w:val="18"/>
              </w:rPr>
              <w:t>021年</w:t>
            </w:r>
            <w:r>
              <w:rPr>
                <w:rFonts w:hint="eastAsia" w:asciiTheme="minorEastAsia" w:hAnsiTheme="minorEastAsia" w:eastAsiaTheme="minorEastAsia"/>
                <w:sz w:val="18"/>
                <w:szCs w:val="18"/>
              </w:rPr>
              <w:t>6月</w:t>
            </w:r>
            <w:r>
              <w:rPr>
                <w:rFonts w:asciiTheme="minorEastAsia" w:hAnsiTheme="minorEastAsia" w:eastAsiaTheme="minorEastAsia"/>
                <w:sz w:val="18"/>
                <w:szCs w:val="18"/>
              </w:rPr>
              <w:t>22日</w:t>
            </w:r>
          </w:p>
        </w:tc>
        <w:tc>
          <w:tcPr>
            <w:tcW w:w="1843" w:type="dxa"/>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r>
              <w:rPr>
                <w:rFonts w:asciiTheme="minorEastAsia" w:hAnsiTheme="minorEastAsia" w:eastAsiaTheme="minorEastAsia"/>
                <w:sz w:val="18"/>
                <w:szCs w:val="18"/>
              </w:rPr>
              <w:t>022年</w:t>
            </w:r>
            <w:r>
              <w:rPr>
                <w:rFonts w:hint="eastAsia" w:asciiTheme="minorEastAsia" w:hAnsiTheme="minorEastAsia" w:eastAsiaTheme="minorEastAsia"/>
                <w:sz w:val="18"/>
                <w:szCs w:val="18"/>
              </w:rPr>
              <w:t>6月</w:t>
            </w:r>
            <w:r>
              <w:rPr>
                <w:rFonts w:asciiTheme="minorEastAsia" w:hAnsiTheme="minorEastAsia" w:eastAsiaTheme="minorEastAsia"/>
                <w:sz w:val="18"/>
                <w:szCs w:val="18"/>
              </w:rPr>
              <w:t>9</w:t>
            </w:r>
            <w:r>
              <w:rPr>
                <w:rFonts w:hint="eastAsia" w:asciiTheme="minorEastAsia" w:hAnsiTheme="minorEastAsia" w:eastAsiaTheme="minorEastAsia"/>
                <w:sz w:val="18"/>
                <w:szCs w:val="18"/>
              </w:rPr>
              <w:t>日</w:t>
            </w:r>
          </w:p>
        </w:tc>
        <w:tc>
          <w:tcPr>
            <w:tcW w:w="850" w:type="dxa"/>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7%</w:t>
            </w:r>
          </w:p>
        </w:tc>
        <w:tc>
          <w:tcPr>
            <w:tcW w:w="993" w:type="dxa"/>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r>
              <w:rPr>
                <w:rFonts w:asciiTheme="minorEastAsia" w:hAnsiTheme="minorEastAsia" w:eastAsiaTheme="minorEastAsia"/>
                <w:sz w:val="18"/>
                <w:szCs w:val="18"/>
              </w:rPr>
              <w:t>02.52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276" w:lineRule="auto"/>
              <w:jc w:val="center"/>
              <w:rPr>
                <w:rFonts w:asciiTheme="minorEastAsia" w:hAnsiTheme="minorEastAsia" w:eastAsiaTheme="minorEastAsia"/>
                <w:sz w:val="18"/>
                <w:szCs w:val="18"/>
              </w:rPr>
            </w:pPr>
            <w:r>
              <w:rPr>
                <w:rFonts w:asciiTheme="minorEastAsia" w:hAnsiTheme="minorEastAsia" w:eastAsiaTheme="minorEastAsia"/>
                <w:sz w:val="18"/>
                <w:szCs w:val="18"/>
              </w:rPr>
              <w:t>3</w:t>
            </w:r>
          </w:p>
        </w:tc>
        <w:tc>
          <w:tcPr>
            <w:tcW w:w="1560" w:type="dxa"/>
            <w:vAlign w:val="center"/>
          </w:tcPr>
          <w:p>
            <w:pPr>
              <w:spacing w:line="276" w:lineRule="auto"/>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山东金融资产交易中心有限公司</w:t>
            </w:r>
          </w:p>
        </w:tc>
        <w:tc>
          <w:tcPr>
            <w:tcW w:w="1417" w:type="dxa"/>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保本</w:t>
            </w:r>
            <w:r>
              <w:rPr>
                <w:rFonts w:asciiTheme="minorEastAsia" w:hAnsiTheme="minorEastAsia" w:eastAsiaTheme="minorEastAsia"/>
                <w:color w:val="000000"/>
                <w:sz w:val="18"/>
                <w:szCs w:val="18"/>
              </w:rPr>
              <w:t>保息型</w:t>
            </w:r>
          </w:p>
        </w:tc>
        <w:tc>
          <w:tcPr>
            <w:tcW w:w="992" w:type="dxa"/>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w:t>
            </w:r>
            <w:r>
              <w:rPr>
                <w:rFonts w:asciiTheme="minorEastAsia" w:hAnsiTheme="minorEastAsia" w:eastAsiaTheme="minorEastAsia"/>
                <w:color w:val="000000"/>
                <w:sz w:val="18"/>
                <w:szCs w:val="18"/>
              </w:rPr>
              <w:t>000.00</w:t>
            </w:r>
          </w:p>
        </w:tc>
        <w:tc>
          <w:tcPr>
            <w:tcW w:w="1843" w:type="dxa"/>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r>
              <w:rPr>
                <w:rFonts w:asciiTheme="minorEastAsia" w:hAnsiTheme="minorEastAsia" w:eastAsiaTheme="minorEastAsia"/>
                <w:sz w:val="18"/>
                <w:szCs w:val="18"/>
              </w:rPr>
              <w:t>021年</w:t>
            </w:r>
            <w:r>
              <w:rPr>
                <w:rFonts w:hint="eastAsia" w:asciiTheme="minorEastAsia" w:hAnsiTheme="minorEastAsia" w:eastAsiaTheme="minorEastAsia"/>
                <w:sz w:val="18"/>
                <w:szCs w:val="18"/>
              </w:rPr>
              <w:t>6月</w:t>
            </w:r>
            <w:r>
              <w:rPr>
                <w:rFonts w:asciiTheme="minorEastAsia" w:hAnsiTheme="minorEastAsia" w:eastAsiaTheme="minorEastAsia"/>
                <w:sz w:val="18"/>
                <w:szCs w:val="18"/>
              </w:rPr>
              <w:t>24日</w:t>
            </w:r>
          </w:p>
        </w:tc>
        <w:tc>
          <w:tcPr>
            <w:tcW w:w="1843" w:type="dxa"/>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r>
              <w:rPr>
                <w:rFonts w:asciiTheme="minorEastAsia" w:hAnsiTheme="minorEastAsia" w:eastAsiaTheme="minorEastAsia"/>
                <w:sz w:val="18"/>
                <w:szCs w:val="18"/>
              </w:rPr>
              <w:t>022年</w:t>
            </w:r>
            <w:r>
              <w:rPr>
                <w:rFonts w:hint="eastAsia" w:asciiTheme="minorEastAsia" w:hAnsiTheme="minorEastAsia" w:eastAsiaTheme="minorEastAsia"/>
                <w:sz w:val="18"/>
                <w:szCs w:val="18"/>
              </w:rPr>
              <w:t>6月</w:t>
            </w:r>
            <w:r>
              <w:rPr>
                <w:rFonts w:asciiTheme="minorEastAsia" w:hAnsiTheme="minorEastAsia" w:eastAsiaTheme="minorEastAsia"/>
                <w:sz w:val="18"/>
                <w:szCs w:val="18"/>
              </w:rPr>
              <w:t>10</w:t>
            </w:r>
            <w:r>
              <w:rPr>
                <w:rFonts w:hint="eastAsia" w:asciiTheme="minorEastAsia" w:hAnsiTheme="minorEastAsia" w:eastAsiaTheme="minorEastAsia"/>
                <w:sz w:val="18"/>
                <w:szCs w:val="18"/>
              </w:rPr>
              <w:t>日</w:t>
            </w:r>
          </w:p>
        </w:tc>
        <w:tc>
          <w:tcPr>
            <w:tcW w:w="850" w:type="dxa"/>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7%</w:t>
            </w:r>
          </w:p>
        </w:tc>
        <w:tc>
          <w:tcPr>
            <w:tcW w:w="993" w:type="dxa"/>
            <w:vAlign w:val="center"/>
          </w:tcPr>
          <w:p>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w:t>
            </w:r>
            <w:r>
              <w:rPr>
                <w:rFonts w:asciiTheme="minorEastAsia" w:hAnsiTheme="minorEastAsia" w:eastAsiaTheme="minorEastAsia"/>
                <w:sz w:val="18"/>
                <w:szCs w:val="18"/>
              </w:rPr>
              <w:t>01.95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gridSpan w:val="3"/>
            <w:vAlign w:val="center"/>
          </w:tcPr>
          <w:p>
            <w:pPr>
              <w:spacing w:line="276" w:lineRule="auto"/>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合计</w:t>
            </w:r>
          </w:p>
        </w:tc>
        <w:tc>
          <w:tcPr>
            <w:tcW w:w="992" w:type="dxa"/>
            <w:vAlign w:val="center"/>
          </w:tcPr>
          <w:p>
            <w:pPr>
              <w:spacing w:line="276" w:lineRule="auto"/>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9,00</w:t>
            </w:r>
            <w:r>
              <w:rPr>
                <w:rFonts w:asciiTheme="minorEastAsia" w:hAnsiTheme="minorEastAsia" w:eastAsiaTheme="minorEastAsia"/>
                <w:b/>
                <w:sz w:val="18"/>
                <w:szCs w:val="18"/>
              </w:rPr>
              <w:t>0.00</w:t>
            </w:r>
          </w:p>
        </w:tc>
        <w:tc>
          <w:tcPr>
            <w:tcW w:w="1843" w:type="dxa"/>
            <w:vAlign w:val="center"/>
          </w:tcPr>
          <w:p>
            <w:pPr>
              <w:spacing w:line="276" w:lineRule="auto"/>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w:t>
            </w:r>
          </w:p>
        </w:tc>
        <w:tc>
          <w:tcPr>
            <w:tcW w:w="1843" w:type="dxa"/>
            <w:vAlign w:val="center"/>
          </w:tcPr>
          <w:p>
            <w:pPr>
              <w:spacing w:line="276" w:lineRule="auto"/>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w:t>
            </w:r>
          </w:p>
        </w:tc>
        <w:tc>
          <w:tcPr>
            <w:tcW w:w="850" w:type="dxa"/>
            <w:vAlign w:val="center"/>
          </w:tcPr>
          <w:p>
            <w:pPr>
              <w:spacing w:line="276" w:lineRule="auto"/>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w:t>
            </w:r>
          </w:p>
        </w:tc>
        <w:tc>
          <w:tcPr>
            <w:tcW w:w="993" w:type="dxa"/>
            <w:vAlign w:val="center"/>
          </w:tcPr>
          <w:p>
            <w:pPr>
              <w:spacing w:line="276" w:lineRule="auto"/>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6</w:t>
            </w:r>
            <w:r>
              <w:rPr>
                <w:rFonts w:asciiTheme="minorEastAsia" w:hAnsiTheme="minorEastAsia" w:eastAsiaTheme="minorEastAsia"/>
                <w:b/>
                <w:sz w:val="18"/>
                <w:szCs w:val="18"/>
              </w:rPr>
              <w:t>05.26</w:t>
            </w:r>
          </w:p>
        </w:tc>
      </w:tr>
    </w:tbl>
    <w:p>
      <w:pPr>
        <w:spacing w:line="460" w:lineRule="exact"/>
        <w:rPr>
          <w:rFonts w:asciiTheme="minorEastAsia" w:hAnsiTheme="minorEastAsia" w:eastAsiaTheme="minorEastAsia"/>
          <w:sz w:val="24"/>
        </w:rPr>
      </w:pPr>
    </w:p>
    <w:p>
      <w:pPr>
        <w:widowControl/>
        <w:spacing w:line="360" w:lineRule="auto"/>
        <w:ind w:firstLine="482" w:firstLineChars="200"/>
        <w:rPr>
          <w:rFonts w:cs="宋体" w:asciiTheme="minorEastAsia" w:hAnsiTheme="minorEastAsia" w:eastAsiaTheme="minorEastAsia"/>
          <w:b/>
          <w:color w:val="000000"/>
          <w:kern w:val="0"/>
          <w:sz w:val="24"/>
        </w:rPr>
      </w:pPr>
      <w:r>
        <w:rPr>
          <w:rFonts w:hint="eastAsia" w:cs="宋体" w:asciiTheme="minorEastAsia" w:hAnsiTheme="minorEastAsia" w:eastAsiaTheme="minorEastAsia"/>
          <w:b/>
          <w:color w:val="000000"/>
          <w:kern w:val="0"/>
          <w:sz w:val="24"/>
        </w:rPr>
        <w:t>二、截至本公告日，公司最近十二个月使用自有资金现金管理的情况</w:t>
      </w:r>
    </w:p>
    <w:p>
      <w:pPr>
        <w:tabs>
          <w:tab w:val="left" w:pos="1080"/>
        </w:tabs>
        <w:adjustRightInd w:val="0"/>
        <w:snapToGrid w:val="0"/>
        <w:spacing w:line="560" w:lineRule="exact"/>
        <w:ind w:firstLine="420" w:firstLineChars="200"/>
        <w:jc w:val="right"/>
        <w:rPr>
          <w:rFonts w:asciiTheme="minorEastAsia" w:hAnsiTheme="minorEastAsia" w:eastAsiaTheme="minorEastAsia"/>
          <w:bCs/>
          <w:szCs w:val="21"/>
        </w:rPr>
      </w:pPr>
      <w:r>
        <w:rPr>
          <w:rFonts w:hint="eastAsia" w:asciiTheme="minorEastAsia" w:hAnsiTheme="minorEastAsia" w:eastAsiaTheme="minorEastAsia"/>
          <w:bCs/>
          <w:szCs w:val="21"/>
        </w:rPr>
        <w:t>金额：万元</w:t>
      </w:r>
    </w:p>
    <w:tbl>
      <w:tblPr>
        <w:tblStyle w:val="7"/>
        <w:tblW w:w="8407" w:type="dxa"/>
        <w:jc w:val="center"/>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410"/>
        <w:gridCol w:w="1134"/>
        <w:gridCol w:w="1276"/>
        <w:gridCol w:w="1378"/>
        <w:gridCol w:w="1449"/>
      </w:tblGrid>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60" w:type="dxa"/>
            <w:shd w:val="clear" w:color="auto" w:fill="auto"/>
            <w:vAlign w:val="center"/>
          </w:tcPr>
          <w:p>
            <w:pPr>
              <w:autoSpaceDE w:val="0"/>
              <w:autoSpaceDN w:val="0"/>
              <w:adjustRightInd w:val="0"/>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序号</w:t>
            </w:r>
          </w:p>
        </w:tc>
        <w:tc>
          <w:tcPr>
            <w:tcW w:w="2410" w:type="dxa"/>
            <w:shd w:val="clear" w:color="auto" w:fill="auto"/>
            <w:vAlign w:val="center"/>
          </w:tcPr>
          <w:p>
            <w:pPr>
              <w:autoSpaceDE w:val="0"/>
              <w:autoSpaceDN w:val="0"/>
              <w:adjustRightInd w:val="0"/>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理财产品类型</w:t>
            </w:r>
          </w:p>
        </w:tc>
        <w:tc>
          <w:tcPr>
            <w:tcW w:w="1134" w:type="dxa"/>
            <w:shd w:val="clear" w:color="auto" w:fill="auto"/>
            <w:vAlign w:val="center"/>
          </w:tcPr>
          <w:p>
            <w:pPr>
              <w:autoSpaceDE w:val="0"/>
              <w:autoSpaceDN w:val="0"/>
              <w:adjustRightInd w:val="0"/>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实际投入金额</w:t>
            </w:r>
          </w:p>
        </w:tc>
        <w:tc>
          <w:tcPr>
            <w:tcW w:w="1276" w:type="dxa"/>
            <w:shd w:val="clear" w:color="auto" w:fill="auto"/>
            <w:vAlign w:val="center"/>
          </w:tcPr>
          <w:p>
            <w:pPr>
              <w:autoSpaceDE w:val="0"/>
              <w:autoSpaceDN w:val="0"/>
              <w:adjustRightInd w:val="0"/>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实际收回</w:t>
            </w:r>
          </w:p>
          <w:p>
            <w:pPr>
              <w:autoSpaceDE w:val="0"/>
              <w:autoSpaceDN w:val="0"/>
              <w:adjustRightInd w:val="0"/>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本金</w:t>
            </w:r>
          </w:p>
        </w:tc>
        <w:tc>
          <w:tcPr>
            <w:tcW w:w="1378" w:type="dxa"/>
            <w:shd w:val="clear" w:color="auto" w:fill="auto"/>
            <w:vAlign w:val="center"/>
          </w:tcPr>
          <w:p>
            <w:pPr>
              <w:autoSpaceDE w:val="0"/>
              <w:autoSpaceDN w:val="0"/>
              <w:adjustRightInd w:val="0"/>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实际收益</w:t>
            </w:r>
          </w:p>
        </w:tc>
        <w:tc>
          <w:tcPr>
            <w:tcW w:w="1449" w:type="dxa"/>
          </w:tcPr>
          <w:p>
            <w:pPr>
              <w:autoSpaceDE w:val="0"/>
              <w:autoSpaceDN w:val="0"/>
              <w:adjustRightInd w:val="0"/>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尚未收回</w:t>
            </w:r>
          </w:p>
          <w:p>
            <w:pPr>
              <w:autoSpaceDE w:val="0"/>
              <w:autoSpaceDN w:val="0"/>
              <w:adjustRightInd w:val="0"/>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本金金额</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0" w:type="dxa"/>
            <w:shd w:val="clear" w:color="auto" w:fill="auto"/>
            <w:noWrap/>
            <w:vAlign w:val="center"/>
          </w:tcPr>
          <w:p>
            <w:pPr>
              <w:autoSpaceDE w:val="0"/>
              <w:autoSpaceDN w:val="0"/>
              <w:adjustRightIn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2410" w:type="dxa"/>
            <w:shd w:val="clear" w:color="auto" w:fill="auto"/>
            <w:noWrap/>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山东金融资产交易中心</w:t>
            </w:r>
          </w:p>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sz w:val="18"/>
                <w:szCs w:val="18"/>
              </w:rPr>
              <w:t>有限公司理财产品</w:t>
            </w:r>
          </w:p>
        </w:tc>
        <w:tc>
          <w:tcPr>
            <w:tcW w:w="1134" w:type="dxa"/>
            <w:shd w:val="clear" w:color="auto" w:fill="auto"/>
            <w:noWrap/>
            <w:vAlign w:val="center"/>
          </w:tcPr>
          <w:p>
            <w:pPr>
              <w:widowControl/>
              <w:jc w:val="center"/>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2</w:t>
            </w:r>
            <w:r>
              <w:rPr>
                <w:rFonts w:hint="eastAsia" w:asciiTheme="minorEastAsia" w:hAnsiTheme="minorEastAsia" w:eastAsiaTheme="minorEastAsia"/>
                <w:color w:val="000000"/>
                <w:sz w:val="18"/>
                <w:szCs w:val="18"/>
              </w:rPr>
              <w:t>5,</w:t>
            </w:r>
            <w:r>
              <w:rPr>
                <w:rFonts w:asciiTheme="minorEastAsia" w:hAnsiTheme="minorEastAsia" w:eastAsiaTheme="minorEastAsia"/>
                <w:color w:val="000000"/>
                <w:sz w:val="18"/>
                <w:szCs w:val="18"/>
              </w:rPr>
              <w:t>000.00</w:t>
            </w:r>
          </w:p>
        </w:tc>
        <w:tc>
          <w:tcPr>
            <w:tcW w:w="1276" w:type="dxa"/>
            <w:shd w:val="clear" w:color="auto" w:fill="auto"/>
            <w:noWrap/>
            <w:vAlign w:val="center"/>
          </w:tcPr>
          <w:p>
            <w:pPr>
              <w:widowControl/>
              <w:jc w:val="center"/>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17,000.00</w:t>
            </w:r>
          </w:p>
        </w:tc>
        <w:tc>
          <w:tcPr>
            <w:tcW w:w="1378" w:type="dxa"/>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w:t>
            </w:r>
            <w:r>
              <w:rPr>
                <w:rFonts w:asciiTheme="minorEastAsia" w:hAnsiTheme="minorEastAsia" w:eastAsiaTheme="minorEastAsia"/>
                <w:color w:val="000000"/>
                <w:sz w:val="18"/>
                <w:szCs w:val="18"/>
              </w:rPr>
              <w:t>145.32</w:t>
            </w:r>
          </w:p>
        </w:tc>
        <w:tc>
          <w:tcPr>
            <w:tcW w:w="1449" w:type="dxa"/>
            <w:vAlign w:val="center"/>
          </w:tcPr>
          <w:p>
            <w:pPr>
              <w:widowControl/>
              <w:jc w:val="center"/>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8,000.00</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70" w:type="dxa"/>
            <w:gridSpan w:val="2"/>
            <w:tcBorders>
              <w:bottom w:val="thinThickSmallGap" w:color="auto" w:sz="24" w:space="0"/>
            </w:tcBorders>
            <w:shd w:val="clear" w:color="auto" w:fill="auto"/>
            <w:noWrap/>
            <w:vAlign w:val="center"/>
          </w:tcPr>
          <w:p>
            <w:pPr>
              <w:autoSpaceDE w:val="0"/>
              <w:autoSpaceDN w:val="0"/>
              <w:adjustRightIn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合计</w:t>
            </w:r>
          </w:p>
        </w:tc>
        <w:tc>
          <w:tcPr>
            <w:tcW w:w="1134" w:type="dxa"/>
            <w:tcBorders>
              <w:bottom w:val="thinThickSmallGap" w:color="auto" w:sz="24" w:space="0"/>
            </w:tcBorders>
            <w:shd w:val="clear" w:color="auto" w:fill="auto"/>
            <w:vAlign w:val="center"/>
          </w:tcPr>
          <w:p>
            <w:pPr>
              <w:widowControl/>
              <w:jc w:val="center"/>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2</w:t>
            </w:r>
            <w:r>
              <w:rPr>
                <w:rFonts w:hint="eastAsia" w:asciiTheme="minorEastAsia" w:hAnsiTheme="minorEastAsia" w:eastAsiaTheme="minorEastAsia"/>
                <w:color w:val="000000"/>
                <w:sz w:val="18"/>
                <w:szCs w:val="18"/>
              </w:rPr>
              <w:t>5,</w:t>
            </w:r>
            <w:r>
              <w:rPr>
                <w:rFonts w:asciiTheme="minorEastAsia" w:hAnsiTheme="minorEastAsia" w:eastAsiaTheme="minorEastAsia"/>
                <w:color w:val="000000"/>
                <w:sz w:val="18"/>
                <w:szCs w:val="18"/>
              </w:rPr>
              <w:t>000.00</w:t>
            </w:r>
          </w:p>
        </w:tc>
        <w:tc>
          <w:tcPr>
            <w:tcW w:w="1276" w:type="dxa"/>
            <w:tcBorders>
              <w:bottom w:val="thinThickSmallGap" w:color="auto" w:sz="24" w:space="0"/>
            </w:tcBorders>
            <w:shd w:val="clear" w:color="auto" w:fill="auto"/>
            <w:vAlign w:val="center"/>
          </w:tcPr>
          <w:p>
            <w:pPr>
              <w:widowControl/>
              <w:jc w:val="center"/>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17,000.00</w:t>
            </w:r>
          </w:p>
        </w:tc>
        <w:tc>
          <w:tcPr>
            <w:tcW w:w="1378" w:type="dxa"/>
            <w:tcBorders>
              <w:bottom w:val="thinThickSmallGap" w:color="auto" w:sz="24" w:space="0"/>
            </w:tcBorders>
            <w:shd w:val="clear" w:color="auto" w:fill="auto"/>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w:t>
            </w:r>
            <w:r>
              <w:rPr>
                <w:rFonts w:asciiTheme="minorEastAsia" w:hAnsiTheme="minorEastAsia" w:eastAsiaTheme="minorEastAsia"/>
                <w:color w:val="000000"/>
                <w:sz w:val="18"/>
                <w:szCs w:val="18"/>
              </w:rPr>
              <w:t>145.32</w:t>
            </w:r>
          </w:p>
        </w:tc>
        <w:tc>
          <w:tcPr>
            <w:tcW w:w="1449" w:type="dxa"/>
            <w:tcBorders>
              <w:bottom w:val="thinThickSmallGap" w:color="auto" w:sz="24" w:space="0"/>
            </w:tcBorders>
            <w:vAlign w:val="center"/>
          </w:tcPr>
          <w:p>
            <w:pPr>
              <w:widowControl/>
              <w:jc w:val="center"/>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8,000.00</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580" w:type="dxa"/>
            <w:gridSpan w:val="4"/>
            <w:tcBorders>
              <w:top w:val="thinThickSmallGap" w:color="auto" w:sz="24" w:space="0"/>
              <w:bottom w:val="single" w:color="auto" w:sz="4" w:space="0"/>
            </w:tcBorders>
            <w:shd w:val="clear" w:color="auto" w:fill="auto"/>
            <w:vAlign w:val="center"/>
          </w:tcPr>
          <w:p>
            <w:pPr>
              <w:autoSpaceDE w:val="0"/>
              <w:autoSpaceDN w:val="0"/>
              <w:adjustRightIn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最近12个月内单日最高投入金额</w:t>
            </w:r>
          </w:p>
        </w:tc>
        <w:tc>
          <w:tcPr>
            <w:tcW w:w="2827" w:type="dxa"/>
            <w:gridSpan w:val="2"/>
            <w:tcBorders>
              <w:top w:val="thinThickSmallGap" w:color="auto" w:sz="24" w:space="0"/>
              <w:bottom w:val="single" w:color="auto" w:sz="4" w:space="0"/>
            </w:tcBorders>
            <w:shd w:val="clear" w:color="auto" w:fill="auto"/>
            <w:vAlign w:val="center"/>
          </w:tcPr>
          <w:p>
            <w:pPr>
              <w:autoSpaceDE w:val="0"/>
              <w:autoSpaceDN w:val="0"/>
              <w:adjustRightIn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r>
              <w:rPr>
                <w:rFonts w:cs="宋体" w:asciiTheme="minorEastAsia" w:hAnsiTheme="minorEastAsia" w:eastAsiaTheme="minorEastAsia"/>
                <w:color w:val="000000"/>
                <w:kern w:val="0"/>
                <w:sz w:val="18"/>
                <w:szCs w:val="18"/>
              </w:rPr>
              <w:t>7</w:t>
            </w:r>
            <w:r>
              <w:rPr>
                <w:rFonts w:hint="eastAsia" w:cs="宋体" w:asciiTheme="minorEastAsia" w:hAnsiTheme="minorEastAsia" w:eastAsiaTheme="minorEastAsia"/>
                <w:color w:val="000000"/>
                <w:kern w:val="0"/>
                <w:sz w:val="18"/>
                <w:szCs w:val="18"/>
              </w:rPr>
              <w:t>,</w:t>
            </w:r>
            <w:r>
              <w:rPr>
                <w:rFonts w:cs="宋体" w:asciiTheme="minorEastAsia" w:hAnsiTheme="minorEastAsia" w:eastAsiaTheme="minorEastAsia"/>
                <w:color w:val="000000"/>
                <w:kern w:val="0"/>
                <w:sz w:val="18"/>
                <w:szCs w:val="18"/>
              </w:rPr>
              <w:t>000.00</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580" w:type="dxa"/>
            <w:gridSpan w:val="4"/>
            <w:tcBorders>
              <w:top w:val="single" w:color="auto" w:sz="4" w:space="0"/>
            </w:tcBorders>
            <w:shd w:val="clear" w:color="auto" w:fill="auto"/>
            <w:vAlign w:val="center"/>
          </w:tcPr>
          <w:p>
            <w:pPr>
              <w:autoSpaceDE w:val="0"/>
              <w:autoSpaceDN w:val="0"/>
              <w:adjustRightIn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最近12个月内单日最高投入金额/最近一年净资产（%）　</w:t>
            </w:r>
          </w:p>
        </w:tc>
        <w:tc>
          <w:tcPr>
            <w:tcW w:w="2827" w:type="dxa"/>
            <w:gridSpan w:val="2"/>
            <w:tcBorders>
              <w:top w:val="single" w:color="auto" w:sz="4" w:space="0"/>
            </w:tcBorders>
            <w:shd w:val="clear" w:color="auto" w:fill="auto"/>
            <w:vAlign w:val="center"/>
          </w:tcPr>
          <w:p>
            <w:pPr>
              <w:autoSpaceDE w:val="0"/>
              <w:autoSpaceDN w:val="0"/>
              <w:adjustRightInd w:val="0"/>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9</w:t>
            </w:r>
            <w:r>
              <w:rPr>
                <w:rFonts w:asciiTheme="minorEastAsia" w:hAnsiTheme="minorEastAsia" w:eastAsiaTheme="minorEastAsia"/>
                <w:color w:val="000000"/>
                <w:sz w:val="18"/>
                <w:szCs w:val="18"/>
              </w:rPr>
              <w:t>.16</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5580" w:type="dxa"/>
            <w:gridSpan w:val="4"/>
            <w:shd w:val="clear" w:color="auto" w:fill="auto"/>
            <w:vAlign w:val="center"/>
          </w:tcPr>
          <w:p>
            <w:pPr>
              <w:autoSpaceDE w:val="0"/>
              <w:autoSpaceDN w:val="0"/>
              <w:adjustRightIn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最近12个月现金管理累计收益/最近一年净利润（%）　</w:t>
            </w:r>
          </w:p>
        </w:tc>
        <w:tc>
          <w:tcPr>
            <w:tcW w:w="2827" w:type="dxa"/>
            <w:gridSpan w:val="2"/>
            <w:shd w:val="clear" w:color="auto" w:fill="auto"/>
            <w:vAlign w:val="center"/>
          </w:tcPr>
          <w:p>
            <w:pPr>
              <w:autoSpaceDE w:val="0"/>
              <w:autoSpaceDN w:val="0"/>
              <w:adjustRightInd w:val="0"/>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50.42</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580" w:type="dxa"/>
            <w:gridSpan w:val="4"/>
            <w:shd w:val="clear" w:color="auto" w:fill="auto"/>
            <w:vAlign w:val="center"/>
          </w:tcPr>
          <w:p>
            <w:pPr>
              <w:autoSpaceDE w:val="0"/>
              <w:autoSpaceDN w:val="0"/>
              <w:adjustRightIn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目前已使用的现金管理额度</w:t>
            </w:r>
          </w:p>
        </w:tc>
        <w:tc>
          <w:tcPr>
            <w:tcW w:w="2827" w:type="dxa"/>
            <w:gridSpan w:val="2"/>
            <w:shd w:val="clear" w:color="auto" w:fill="auto"/>
            <w:vAlign w:val="center"/>
          </w:tcPr>
          <w:p>
            <w:pPr>
              <w:autoSpaceDE w:val="0"/>
              <w:autoSpaceDN w:val="0"/>
              <w:adjustRightIn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w:t>
            </w:r>
            <w:r>
              <w:rPr>
                <w:rFonts w:cs="宋体" w:asciiTheme="minorEastAsia" w:hAnsiTheme="minorEastAsia" w:eastAsiaTheme="minorEastAsia"/>
                <w:color w:val="000000"/>
                <w:kern w:val="0"/>
                <w:sz w:val="18"/>
                <w:szCs w:val="18"/>
              </w:rPr>
              <w:t>,000.00</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580" w:type="dxa"/>
            <w:gridSpan w:val="4"/>
            <w:shd w:val="clear" w:color="auto" w:fill="auto"/>
            <w:vAlign w:val="center"/>
          </w:tcPr>
          <w:p>
            <w:pPr>
              <w:autoSpaceDE w:val="0"/>
              <w:autoSpaceDN w:val="0"/>
              <w:adjustRightIn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尚未使用的现金管理额度　</w:t>
            </w:r>
          </w:p>
        </w:tc>
        <w:tc>
          <w:tcPr>
            <w:tcW w:w="2827" w:type="dxa"/>
            <w:gridSpan w:val="2"/>
            <w:shd w:val="clear" w:color="auto" w:fill="auto"/>
            <w:vAlign w:val="center"/>
          </w:tcPr>
          <w:p>
            <w:pPr>
              <w:autoSpaceDE w:val="0"/>
              <w:autoSpaceDN w:val="0"/>
              <w:adjustRightIn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w:t>
            </w:r>
            <w:r>
              <w:rPr>
                <w:rFonts w:cs="宋体" w:asciiTheme="minorEastAsia" w:hAnsiTheme="minorEastAsia" w:eastAsiaTheme="minorEastAsia"/>
                <w:color w:val="000000"/>
                <w:kern w:val="0"/>
                <w:sz w:val="18"/>
                <w:szCs w:val="18"/>
              </w:rPr>
              <w:t>4,000.00</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580" w:type="dxa"/>
            <w:gridSpan w:val="4"/>
            <w:shd w:val="clear" w:color="auto" w:fill="auto"/>
            <w:vAlign w:val="center"/>
          </w:tcPr>
          <w:p>
            <w:pPr>
              <w:autoSpaceDE w:val="0"/>
              <w:autoSpaceDN w:val="0"/>
              <w:adjustRightIn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现金管理总额度</w:t>
            </w:r>
          </w:p>
        </w:tc>
        <w:tc>
          <w:tcPr>
            <w:tcW w:w="2827" w:type="dxa"/>
            <w:gridSpan w:val="2"/>
            <w:shd w:val="clear" w:color="auto" w:fill="auto"/>
            <w:vAlign w:val="center"/>
          </w:tcPr>
          <w:p>
            <w:pPr>
              <w:autoSpaceDE w:val="0"/>
              <w:autoSpaceDN w:val="0"/>
              <w:adjustRightInd w:val="0"/>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w:t>
            </w:r>
            <w:r>
              <w:rPr>
                <w:rFonts w:cs="宋体" w:asciiTheme="minorEastAsia" w:hAnsiTheme="minorEastAsia" w:eastAsiaTheme="minorEastAsia"/>
                <w:color w:val="000000"/>
                <w:kern w:val="0"/>
                <w:sz w:val="18"/>
                <w:szCs w:val="18"/>
              </w:rPr>
              <w:t>2,000.00</w:t>
            </w:r>
          </w:p>
        </w:tc>
      </w:tr>
    </w:tbl>
    <w:p>
      <w:pPr>
        <w:autoSpaceDE w:val="0"/>
        <w:autoSpaceDN w:val="0"/>
        <w:adjustRightInd w:val="0"/>
        <w:spacing w:line="360" w:lineRule="auto"/>
        <w:ind w:firstLine="480"/>
        <w:rPr>
          <w:rFonts w:asciiTheme="minorEastAsia" w:hAnsiTheme="minorEastAsia" w:eastAsiaTheme="minorEastAsia"/>
          <w:color w:val="000000"/>
          <w:sz w:val="24"/>
        </w:rPr>
      </w:pPr>
    </w:p>
    <w:p>
      <w:pPr>
        <w:autoSpaceDE w:val="0"/>
        <w:autoSpaceDN w:val="0"/>
        <w:adjustRightInd w:val="0"/>
        <w:spacing w:line="360" w:lineRule="auto"/>
        <w:ind w:firstLine="480"/>
        <w:rPr>
          <w:rFonts w:asciiTheme="minorEastAsia" w:hAnsiTheme="minorEastAsia" w:eastAsiaTheme="minorEastAsia"/>
          <w:color w:val="000000"/>
          <w:sz w:val="24"/>
        </w:rPr>
      </w:pPr>
      <w:r>
        <w:rPr>
          <w:rFonts w:hint="eastAsia" w:asciiTheme="minorEastAsia" w:hAnsiTheme="minorEastAsia" w:eastAsiaTheme="minorEastAsia"/>
          <w:color w:val="000000"/>
          <w:sz w:val="24"/>
        </w:rPr>
        <w:t>特此公告。</w:t>
      </w:r>
    </w:p>
    <w:p>
      <w:pPr>
        <w:autoSpaceDE w:val="0"/>
        <w:autoSpaceDN w:val="0"/>
        <w:adjustRightInd w:val="0"/>
        <w:spacing w:line="360" w:lineRule="auto"/>
        <w:rPr>
          <w:rFonts w:asciiTheme="minorEastAsia" w:hAnsiTheme="minorEastAsia" w:eastAsiaTheme="minorEastAsia"/>
          <w:color w:val="000000"/>
          <w:sz w:val="24"/>
        </w:rPr>
      </w:pPr>
    </w:p>
    <w:p>
      <w:pPr>
        <w:spacing w:line="360" w:lineRule="auto"/>
        <w:ind w:firstLine="4320" w:firstLineChars="1800"/>
        <w:jc w:val="right"/>
        <w:rPr>
          <w:rFonts w:ascii="宋体" w:hAnsi="宋体"/>
          <w:sz w:val="24"/>
        </w:rPr>
      </w:pPr>
      <w:r>
        <w:rPr>
          <w:rFonts w:hint="eastAsia" w:ascii="宋体" w:hAnsi="宋体"/>
          <w:sz w:val="24"/>
        </w:rPr>
        <w:t>江苏吴中医药发展股份有限公司</w:t>
      </w:r>
    </w:p>
    <w:p>
      <w:pPr>
        <w:spacing w:line="360" w:lineRule="auto"/>
        <w:ind w:right="1200" w:firstLine="4320" w:firstLineChars="1800"/>
        <w:jc w:val="right"/>
        <w:rPr>
          <w:rFonts w:ascii="宋体" w:hAnsi="宋体"/>
          <w:sz w:val="24"/>
        </w:rPr>
      </w:pPr>
      <w:r>
        <w:rPr>
          <w:rFonts w:hint="eastAsia" w:ascii="宋体" w:hAnsi="宋体"/>
          <w:sz w:val="24"/>
        </w:rPr>
        <w:t xml:space="preserve">董事会      </w:t>
      </w:r>
    </w:p>
    <w:p>
      <w:pPr>
        <w:spacing w:line="360" w:lineRule="auto"/>
        <w:ind w:right="480" w:firstLine="5220" w:firstLineChars="2175"/>
        <w:jc w:val="center"/>
        <w:rPr>
          <w:rFonts w:ascii="宋体" w:hAnsi="宋体"/>
          <w:sz w:val="24"/>
        </w:rPr>
      </w:pPr>
      <w:r>
        <w:rPr>
          <w:rFonts w:hint="eastAsia" w:ascii="宋体" w:hAnsi="宋体"/>
          <w:sz w:val="24"/>
        </w:rPr>
        <w:t xml:space="preserve">    2022年6月11日</w:t>
      </w:r>
    </w:p>
    <w:p>
      <w:pPr>
        <w:pStyle w:val="6"/>
        <w:adjustRightInd w:val="0"/>
        <w:snapToGrid w:val="0"/>
        <w:spacing w:before="0" w:beforeAutospacing="0" w:after="0" w:afterAutospacing="0" w:line="360" w:lineRule="auto"/>
        <w:ind w:right="960"/>
        <w:rPr>
          <w:rFonts w:cs="Arial" w:asciiTheme="minorEastAsia" w:hAnsiTheme="minorEastAsia" w:eastAsiaTheme="minorEastAsia"/>
        </w:rPr>
      </w:pPr>
    </w:p>
    <w:p>
      <w:pPr>
        <w:pStyle w:val="6"/>
        <w:adjustRightInd w:val="0"/>
        <w:snapToGrid w:val="0"/>
        <w:spacing w:before="0" w:beforeAutospacing="0" w:after="0" w:afterAutospacing="0" w:line="360" w:lineRule="auto"/>
        <w:ind w:right="480"/>
        <w:rPr>
          <w:rFonts w:cs="Arial" w:asciiTheme="minorEastAsia" w:hAnsiTheme="minorEastAsia"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NjFmNzExYjIxOGZkYmIzZDZjMzU4MDM2MDNkODEifQ=="/>
  </w:docVars>
  <w:rsids>
    <w:rsidRoot w:val="00DE679D"/>
    <w:rsid w:val="0001153F"/>
    <w:rsid w:val="00015559"/>
    <w:rsid w:val="00025446"/>
    <w:rsid w:val="000300CF"/>
    <w:rsid w:val="0003171D"/>
    <w:rsid w:val="0003301D"/>
    <w:rsid w:val="00035736"/>
    <w:rsid w:val="000377FA"/>
    <w:rsid w:val="000422F6"/>
    <w:rsid w:val="000514F9"/>
    <w:rsid w:val="000554CA"/>
    <w:rsid w:val="0005683D"/>
    <w:rsid w:val="00065077"/>
    <w:rsid w:val="00075B3B"/>
    <w:rsid w:val="0008103F"/>
    <w:rsid w:val="00094591"/>
    <w:rsid w:val="000967D6"/>
    <w:rsid w:val="000A4392"/>
    <w:rsid w:val="000B28D2"/>
    <w:rsid w:val="000C1EBF"/>
    <w:rsid w:val="000D00D4"/>
    <w:rsid w:val="000D5160"/>
    <w:rsid w:val="000E5928"/>
    <w:rsid w:val="001044FC"/>
    <w:rsid w:val="00113924"/>
    <w:rsid w:val="00115DE0"/>
    <w:rsid w:val="00125EB5"/>
    <w:rsid w:val="00130BA2"/>
    <w:rsid w:val="0014033A"/>
    <w:rsid w:val="00141A30"/>
    <w:rsid w:val="0014235B"/>
    <w:rsid w:val="001449C0"/>
    <w:rsid w:val="00155642"/>
    <w:rsid w:val="00157BB6"/>
    <w:rsid w:val="00163205"/>
    <w:rsid w:val="00167B35"/>
    <w:rsid w:val="00172243"/>
    <w:rsid w:val="00177BFE"/>
    <w:rsid w:val="0018178A"/>
    <w:rsid w:val="00184711"/>
    <w:rsid w:val="001A4232"/>
    <w:rsid w:val="001A6F91"/>
    <w:rsid w:val="001F54F8"/>
    <w:rsid w:val="001F698F"/>
    <w:rsid w:val="002222B5"/>
    <w:rsid w:val="00237984"/>
    <w:rsid w:val="002442A3"/>
    <w:rsid w:val="00251C73"/>
    <w:rsid w:val="00252231"/>
    <w:rsid w:val="002569A4"/>
    <w:rsid w:val="0025726D"/>
    <w:rsid w:val="0025795B"/>
    <w:rsid w:val="0026261A"/>
    <w:rsid w:val="0027220C"/>
    <w:rsid w:val="002808AB"/>
    <w:rsid w:val="002831FB"/>
    <w:rsid w:val="00284CD2"/>
    <w:rsid w:val="00294B77"/>
    <w:rsid w:val="002958E4"/>
    <w:rsid w:val="002A2786"/>
    <w:rsid w:val="002A5411"/>
    <w:rsid w:val="002B7CCB"/>
    <w:rsid w:val="002C71E7"/>
    <w:rsid w:val="002D2369"/>
    <w:rsid w:val="002F4925"/>
    <w:rsid w:val="002F74DC"/>
    <w:rsid w:val="00316A22"/>
    <w:rsid w:val="00324EB8"/>
    <w:rsid w:val="00341125"/>
    <w:rsid w:val="0037077F"/>
    <w:rsid w:val="0037324C"/>
    <w:rsid w:val="00373349"/>
    <w:rsid w:val="00377410"/>
    <w:rsid w:val="003870CC"/>
    <w:rsid w:val="003B14BB"/>
    <w:rsid w:val="003B5345"/>
    <w:rsid w:val="003C607D"/>
    <w:rsid w:val="003D0C3B"/>
    <w:rsid w:val="003D3FFF"/>
    <w:rsid w:val="003E355B"/>
    <w:rsid w:val="003F2D49"/>
    <w:rsid w:val="00405BD7"/>
    <w:rsid w:val="00414FE1"/>
    <w:rsid w:val="0041720E"/>
    <w:rsid w:val="00420ADB"/>
    <w:rsid w:val="00424481"/>
    <w:rsid w:val="00426716"/>
    <w:rsid w:val="004377BA"/>
    <w:rsid w:val="004502F4"/>
    <w:rsid w:val="00451350"/>
    <w:rsid w:val="00453EAC"/>
    <w:rsid w:val="004660EC"/>
    <w:rsid w:val="004703D9"/>
    <w:rsid w:val="00472785"/>
    <w:rsid w:val="00477761"/>
    <w:rsid w:val="00480C5E"/>
    <w:rsid w:val="004813DD"/>
    <w:rsid w:val="00487072"/>
    <w:rsid w:val="00496E8A"/>
    <w:rsid w:val="004A1B29"/>
    <w:rsid w:val="004C0AFB"/>
    <w:rsid w:val="004C1FE4"/>
    <w:rsid w:val="004C27B9"/>
    <w:rsid w:val="004C3DB4"/>
    <w:rsid w:val="004C4BB6"/>
    <w:rsid w:val="004C7E60"/>
    <w:rsid w:val="004E363D"/>
    <w:rsid w:val="004F1ED6"/>
    <w:rsid w:val="004F1F15"/>
    <w:rsid w:val="00504BCE"/>
    <w:rsid w:val="005325FB"/>
    <w:rsid w:val="00536045"/>
    <w:rsid w:val="0054311D"/>
    <w:rsid w:val="00556B4C"/>
    <w:rsid w:val="005604D5"/>
    <w:rsid w:val="00561119"/>
    <w:rsid w:val="005712CB"/>
    <w:rsid w:val="00577CBB"/>
    <w:rsid w:val="005865B8"/>
    <w:rsid w:val="00590078"/>
    <w:rsid w:val="005A3383"/>
    <w:rsid w:val="005B4F18"/>
    <w:rsid w:val="005C3668"/>
    <w:rsid w:val="005D4ACB"/>
    <w:rsid w:val="005D5E55"/>
    <w:rsid w:val="005D5E8F"/>
    <w:rsid w:val="00611BBF"/>
    <w:rsid w:val="0061270B"/>
    <w:rsid w:val="00615D49"/>
    <w:rsid w:val="00633DD2"/>
    <w:rsid w:val="006412D7"/>
    <w:rsid w:val="00662769"/>
    <w:rsid w:val="006726C6"/>
    <w:rsid w:val="0067711D"/>
    <w:rsid w:val="00683AED"/>
    <w:rsid w:val="00695D72"/>
    <w:rsid w:val="006B29CA"/>
    <w:rsid w:val="006B2B65"/>
    <w:rsid w:val="006C4E9D"/>
    <w:rsid w:val="006D6F5B"/>
    <w:rsid w:val="006D7D04"/>
    <w:rsid w:val="007001F0"/>
    <w:rsid w:val="007014FC"/>
    <w:rsid w:val="00714494"/>
    <w:rsid w:val="00716A88"/>
    <w:rsid w:val="0073282E"/>
    <w:rsid w:val="00741CCC"/>
    <w:rsid w:val="00755976"/>
    <w:rsid w:val="00755DF0"/>
    <w:rsid w:val="007564B5"/>
    <w:rsid w:val="0076243E"/>
    <w:rsid w:val="00765E5F"/>
    <w:rsid w:val="00766EEB"/>
    <w:rsid w:val="00772A33"/>
    <w:rsid w:val="007738CA"/>
    <w:rsid w:val="0079266D"/>
    <w:rsid w:val="0079586B"/>
    <w:rsid w:val="0079776C"/>
    <w:rsid w:val="007A5E41"/>
    <w:rsid w:val="007A79B5"/>
    <w:rsid w:val="007B4367"/>
    <w:rsid w:val="007C7BAF"/>
    <w:rsid w:val="007D0E34"/>
    <w:rsid w:val="007D2914"/>
    <w:rsid w:val="007D5712"/>
    <w:rsid w:val="007D7DBC"/>
    <w:rsid w:val="007F2C22"/>
    <w:rsid w:val="00802A0A"/>
    <w:rsid w:val="008152DB"/>
    <w:rsid w:val="008205CD"/>
    <w:rsid w:val="00843409"/>
    <w:rsid w:val="00876135"/>
    <w:rsid w:val="00887485"/>
    <w:rsid w:val="00887DA0"/>
    <w:rsid w:val="00893296"/>
    <w:rsid w:val="008935D4"/>
    <w:rsid w:val="008A328C"/>
    <w:rsid w:val="008A4038"/>
    <w:rsid w:val="008A466C"/>
    <w:rsid w:val="008B33E8"/>
    <w:rsid w:val="008E57CC"/>
    <w:rsid w:val="008E6126"/>
    <w:rsid w:val="008F5155"/>
    <w:rsid w:val="008F6AB5"/>
    <w:rsid w:val="00902356"/>
    <w:rsid w:val="00917D71"/>
    <w:rsid w:val="00933FA5"/>
    <w:rsid w:val="00934104"/>
    <w:rsid w:val="009416C6"/>
    <w:rsid w:val="00942CC2"/>
    <w:rsid w:val="00955A3F"/>
    <w:rsid w:val="00960430"/>
    <w:rsid w:val="00961FA7"/>
    <w:rsid w:val="00965A81"/>
    <w:rsid w:val="00967AA4"/>
    <w:rsid w:val="00974576"/>
    <w:rsid w:val="00982F2F"/>
    <w:rsid w:val="009A4F17"/>
    <w:rsid w:val="009A6A96"/>
    <w:rsid w:val="009C4F44"/>
    <w:rsid w:val="009E5EED"/>
    <w:rsid w:val="00A05A16"/>
    <w:rsid w:val="00A17AFB"/>
    <w:rsid w:val="00A267F9"/>
    <w:rsid w:val="00A26B2F"/>
    <w:rsid w:val="00A304E2"/>
    <w:rsid w:val="00A32786"/>
    <w:rsid w:val="00A3294E"/>
    <w:rsid w:val="00A40F40"/>
    <w:rsid w:val="00A42D2C"/>
    <w:rsid w:val="00A6550B"/>
    <w:rsid w:val="00A77120"/>
    <w:rsid w:val="00A842DF"/>
    <w:rsid w:val="00A87335"/>
    <w:rsid w:val="00AA10D4"/>
    <w:rsid w:val="00AA59F2"/>
    <w:rsid w:val="00AB16D9"/>
    <w:rsid w:val="00AB2664"/>
    <w:rsid w:val="00AC4369"/>
    <w:rsid w:val="00AC4433"/>
    <w:rsid w:val="00AC7ABF"/>
    <w:rsid w:val="00AD4A2F"/>
    <w:rsid w:val="00B07E79"/>
    <w:rsid w:val="00B27291"/>
    <w:rsid w:val="00B31A8D"/>
    <w:rsid w:val="00B338B5"/>
    <w:rsid w:val="00B34AA1"/>
    <w:rsid w:val="00B4020D"/>
    <w:rsid w:val="00B42C0B"/>
    <w:rsid w:val="00B47649"/>
    <w:rsid w:val="00B52013"/>
    <w:rsid w:val="00B54D3B"/>
    <w:rsid w:val="00B54DCA"/>
    <w:rsid w:val="00B87AB6"/>
    <w:rsid w:val="00BA5D08"/>
    <w:rsid w:val="00BB5C59"/>
    <w:rsid w:val="00BB5F62"/>
    <w:rsid w:val="00BC7D27"/>
    <w:rsid w:val="00BD6AFB"/>
    <w:rsid w:val="00BE21A4"/>
    <w:rsid w:val="00BF38D5"/>
    <w:rsid w:val="00BF68F7"/>
    <w:rsid w:val="00C01D90"/>
    <w:rsid w:val="00C12145"/>
    <w:rsid w:val="00C14435"/>
    <w:rsid w:val="00C350E9"/>
    <w:rsid w:val="00C36C64"/>
    <w:rsid w:val="00C678DA"/>
    <w:rsid w:val="00C71DAA"/>
    <w:rsid w:val="00C77455"/>
    <w:rsid w:val="00C927C8"/>
    <w:rsid w:val="00C92CD0"/>
    <w:rsid w:val="00CA5DED"/>
    <w:rsid w:val="00CC65AD"/>
    <w:rsid w:val="00CD0600"/>
    <w:rsid w:val="00CD2A4D"/>
    <w:rsid w:val="00CD5891"/>
    <w:rsid w:val="00CD6B1C"/>
    <w:rsid w:val="00CD6EAB"/>
    <w:rsid w:val="00CE3918"/>
    <w:rsid w:val="00CF2676"/>
    <w:rsid w:val="00CF42BE"/>
    <w:rsid w:val="00D04CBB"/>
    <w:rsid w:val="00D21B8D"/>
    <w:rsid w:val="00D26D15"/>
    <w:rsid w:val="00D45281"/>
    <w:rsid w:val="00D53DC4"/>
    <w:rsid w:val="00D80D1A"/>
    <w:rsid w:val="00D825C4"/>
    <w:rsid w:val="00D86A2F"/>
    <w:rsid w:val="00D90BC6"/>
    <w:rsid w:val="00D97355"/>
    <w:rsid w:val="00DB0520"/>
    <w:rsid w:val="00DB4079"/>
    <w:rsid w:val="00DB5DCB"/>
    <w:rsid w:val="00DC7DEA"/>
    <w:rsid w:val="00DD080C"/>
    <w:rsid w:val="00DE679D"/>
    <w:rsid w:val="00E003D0"/>
    <w:rsid w:val="00E025CD"/>
    <w:rsid w:val="00E05034"/>
    <w:rsid w:val="00E2160E"/>
    <w:rsid w:val="00E220DE"/>
    <w:rsid w:val="00E3384B"/>
    <w:rsid w:val="00E73C8A"/>
    <w:rsid w:val="00E74755"/>
    <w:rsid w:val="00E77D37"/>
    <w:rsid w:val="00E9529E"/>
    <w:rsid w:val="00E96761"/>
    <w:rsid w:val="00EA2B34"/>
    <w:rsid w:val="00EA3830"/>
    <w:rsid w:val="00EA6444"/>
    <w:rsid w:val="00EB7D35"/>
    <w:rsid w:val="00EB7FBA"/>
    <w:rsid w:val="00EC7A56"/>
    <w:rsid w:val="00ED0C3B"/>
    <w:rsid w:val="00EF67AA"/>
    <w:rsid w:val="00F03FA2"/>
    <w:rsid w:val="00F14823"/>
    <w:rsid w:val="00F163A1"/>
    <w:rsid w:val="00F168FB"/>
    <w:rsid w:val="00F21312"/>
    <w:rsid w:val="00F23D77"/>
    <w:rsid w:val="00F41613"/>
    <w:rsid w:val="00F41C27"/>
    <w:rsid w:val="00F47CEC"/>
    <w:rsid w:val="00F642E6"/>
    <w:rsid w:val="00F67C00"/>
    <w:rsid w:val="00F95AD5"/>
    <w:rsid w:val="00FA5496"/>
    <w:rsid w:val="00FB56C5"/>
    <w:rsid w:val="00FB79DD"/>
    <w:rsid w:val="00FD0FE4"/>
    <w:rsid w:val="00FD2466"/>
    <w:rsid w:val="00FE4FBE"/>
    <w:rsid w:val="00FE5ACA"/>
    <w:rsid w:val="00FF2717"/>
    <w:rsid w:val="00FF413D"/>
    <w:rsid w:val="1EAA4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link w:val="13"/>
    <w:qFormat/>
    <w:uiPriority w:val="0"/>
    <w:pPr>
      <w:spacing w:after="120"/>
    </w:pPr>
    <w:rPr>
      <w:sz w:val="28"/>
      <w:szCs w:val="20"/>
    </w:rPr>
  </w:style>
  <w:style w:type="paragraph" w:styleId="3">
    <w:name w:val="Date"/>
    <w:basedOn w:val="1"/>
    <w:next w:val="1"/>
    <w:link w:val="14"/>
    <w:semiHidden/>
    <w:unhideWhenUsed/>
    <w:qFormat/>
    <w:uiPriority w:val="99"/>
    <w:pPr>
      <w:ind w:left="100" w:leftChars="2500"/>
    </w:p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13">
    <w:name w:val="正文文本 Char"/>
    <w:basedOn w:val="9"/>
    <w:link w:val="2"/>
    <w:qFormat/>
    <w:uiPriority w:val="0"/>
    <w:rPr>
      <w:rFonts w:ascii="Times New Roman" w:hAnsi="Times New Roman" w:eastAsia="宋体" w:cs="Times New Roman"/>
      <w:sz w:val="28"/>
      <w:szCs w:val="20"/>
    </w:rPr>
  </w:style>
  <w:style w:type="character" w:customStyle="1" w:styleId="14">
    <w:name w:val="日期 Char"/>
    <w:basedOn w:val="9"/>
    <w:link w:val="3"/>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1093</Words>
  <Characters>1325</Characters>
  <Lines>10</Lines>
  <Paragraphs>2</Paragraphs>
  <TotalTime>771</TotalTime>
  <ScaleCrop>false</ScaleCrop>
  <LinksUpToDate>false</LinksUpToDate>
  <CharactersWithSpaces>1353</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2019-11-19T00:52:00Z</dcterms:created>
  <dc:creator>李锐</dc:creator>
  <cp:lastModifiedBy>王雅杰</cp:lastModifiedBy>
  <cp:lastPrinted>2020-12-03T07:45:00Z</cp:lastPrinted>
  <dcterms:modified xsi:type="dcterms:W3CDTF">2022-06-10T07:56:28Z</dcterms:modified>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40E5050C3CB3486093EEDC74C8099011</vt:lpwstr>
  </property>
</Properties>
</file>