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1C" w:rsidRPr="00657A6C" w:rsidRDefault="00C65E1C" w:rsidP="00C65E1C">
      <w:pPr>
        <w:autoSpaceDE w:val="0"/>
        <w:autoSpaceDN w:val="0"/>
        <w:adjustRightInd w:val="0"/>
        <w:spacing w:line="360" w:lineRule="auto"/>
        <w:rPr>
          <w:rFonts w:ascii="宋体" w:hAnsi="宋体" w:cs="Arial"/>
          <w:kern w:val="0"/>
          <w:sz w:val="24"/>
        </w:rPr>
      </w:pPr>
      <w:r w:rsidRPr="00657A6C">
        <w:rPr>
          <w:rFonts w:ascii="宋体" w:hAnsi="宋体" w:cs="宋体" w:hint="eastAsia"/>
          <w:kern w:val="0"/>
          <w:sz w:val="24"/>
        </w:rPr>
        <w:t>证券代码：</w:t>
      </w:r>
      <w:r w:rsidRPr="00657A6C">
        <w:rPr>
          <w:rFonts w:ascii="宋体" w:hAnsi="宋体" w:cs="Arial"/>
          <w:kern w:val="0"/>
          <w:sz w:val="24"/>
        </w:rPr>
        <w:t>600</w:t>
      </w:r>
      <w:r w:rsidRPr="00657A6C">
        <w:rPr>
          <w:rFonts w:ascii="宋体" w:hAnsi="宋体" w:cs="Arial" w:hint="eastAsia"/>
          <w:kern w:val="0"/>
          <w:sz w:val="24"/>
        </w:rPr>
        <w:t xml:space="preserve">200  </w:t>
      </w:r>
      <w:r w:rsidRPr="00657A6C">
        <w:rPr>
          <w:rFonts w:ascii="宋体" w:hAnsi="宋体" w:cs="Arial"/>
          <w:kern w:val="0"/>
          <w:sz w:val="24"/>
        </w:rPr>
        <w:t xml:space="preserve"> </w:t>
      </w:r>
      <w:r w:rsidRPr="00657A6C">
        <w:rPr>
          <w:rFonts w:ascii="宋体" w:hAnsi="宋体" w:cs="Arial" w:hint="eastAsia"/>
          <w:kern w:val="0"/>
          <w:sz w:val="24"/>
        </w:rPr>
        <w:t xml:space="preserve">      </w:t>
      </w:r>
      <w:r w:rsidRPr="00657A6C">
        <w:rPr>
          <w:rFonts w:ascii="宋体" w:hAnsi="宋体" w:cs="宋体" w:hint="eastAsia"/>
          <w:kern w:val="0"/>
          <w:sz w:val="24"/>
        </w:rPr>
        <w:t>证券简称：江苏吴中</w:t>
      </w:r>
      <w:r w:rsidRPr="00657A6C">
        <w:rPr>
          <w:rFonts w:ascii="宋体" w:hAnsi="宋体" w:cs="宋体"/>
          <w:kern w:val="0"/>
          <w:sz w:val="24"/>
        </w:rPr>
        <w:t xml:space="preserve"> </w:t>
      </w:r>
      <w:r w:rsidRPr="00657A6C">
        <w:rPr>
          <w:rFonts w:ascii="宋体" w:hAnsi="宋体" w:cs="宋体" w:hint="eastAsia"/>
          <w:kern w:val="0"/>
          <w:sz w:val="24"/>
        </w:rPr>
        <w:t xml:space="preserve">      </w:t>
      </w:r>
      <w:r w:rsidRPr="00243A95">
        <w:rPr>
          <w:rFonts w:ascii="宋体" w:hAnsi="宋体" w:cs="Arial" w:hint="eastAsia"/>
          <w:kern w:val="0"/>
          <w:sz w:val="24"/>
        </w:rPr>
        <w:t>公告编号：临201</w:t>
      </w:r>
      <w:r w:rsidR="00C32F0C" w:rsidRPr="00243A95">
        <w:rPr>
          <w:rFonts w:ascii="宋体" w:hAnsi="宋体" w:cs="Arial" w:hint="eastAsia"/>
          <w:kern w:val="0"/>
          <w:sz w:val="24"/>
        </w:rPr>
        <w:t>9</w:t>
      </w:r>
      <w:r w:rsidRPr="00243A95">
        <w:rPr>
          <w:rFonts w:ascii="宋体" w:hAnsi="宋体" w:cs="Arial" w:hint="eastAsia"/>
          <w:kern w:val="0"/>
          <w:sz w:val="24"/>
        </w:rPr>
        <w:t>-</w:t>
      </w:r>
      <w:r w:rsidR="00D70BFB" w:rsidRPr="00243A95">
        <w:rPr>
          <w:rFonts w:ascii="宋体" w:hAnsi="宋体" w:cs="Arial" w:hint="eastAsia"/>
          <w:kern w:val="0"/>
          <w:sz w:val="24"/>
        </w:rPr>
        <w:t>006</w:t>
      </w:r>
    </w:p>
    <w:p w:rsidR="00C65E1C" w:rsidRPr="00657A6C" w:rsidRDefault="00C65E1C" w:rsidP="00C65E1C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黑体"/>
          <w:kern w:val="0"/>
          <w:sz w:val="30"/>
          <w:szCs w:val="30"/>
        </w:rPr>
      </w:pPr>
    </w:p>
    <w:p w:rsidR="00C65E1C" w:rsidRPr="002335C1" w:rsidRDefault="00C65E1C" w:rsidP="00C65E1C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江苏吴中实业股份有限公司</w:t>
      </w:r>
    </w:p>
    <w:p w:rsidR="00C65E1C" w:rsidRPr="002335C1" w:rsidRDefault="00C65E1C" w:rsidP="00C65E1C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201</w:t>
      </w:r>
      <w:r w:rsidR="0088296D"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8</w:t>
      </w: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年年度</w:t>
      </w:r>
      <w:proofErr w:type="gramStart"/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业绩预</w:t>
      </w:r>
      <w:r w:rsidR="0088296D"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减</w:t>
      </w: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公告</w:t>
      </w:r>
      <w:proofErr w:type="gramEnd"/>
    </w:p>
    <w:p w:rsidR="00C65E1C" w:rsidRDefault="00C65E1C" w:rsidP="00C65E1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</w:p>
    <w:p w:rsidR="00C65E1C" w:rsidRPr="00467916" w:rsidRDefault="00C65E1C" w:rsidP="00C65E1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  <w:r w:rsidRPr="00467916">
        <w:rPr>
          <w:rFonts w:ascii="ˎ̥" w:hAnsi="ˎ̥" w:hint="eastAsia"/>
          <w:b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C65E1C" w:rsidRDefault="00C65E1C" w:rsidP="00C65E1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ˎ̥" w:hAnsi="ˎ̥" w:hint="eastAsia"/>
          <w:color w:val="000000"/>
          <w:sz w:val="24"/>
        </w:rPr>
      </w:pPr>
    </w:p>
    <w:p w:rsidR="005712CB" w:rsidRDefault="00C65E1C" w:rsidP="00562905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8D57C6">
        <w:rPr>
          <w:rFonts w:ascii="宋体" w:hAnsi="宋体" w:cs="宋体" w:hint="eastAsia"/>
          <w:b/>
          <w:color w:val="000000"/>
          <w:kern w:val="0"/>
          <w:sz w:val="24"/>
        </w:rPr>
        <w:t>重要内容提示：</w:t>
      </w:r>
    </w:p>
    <w:p w:rsidR="00881A6E" w:rsidRPr="00243A95" w:rsidRDefault="00881A6E" w:rsidP="00803F6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243A95">
        <w:rPr>
          <w:rFonts w:ascii="宋体" w:hAnsi="宋体" w:cs="宋体" w:hint="eastAsia"/>
          <w:color w:val="000000"/>
          <w:kern w:val="0"/>
          <w:sz w:val="24"/>
        </w:rPr>
        <w:t>江苏吴中实业股份有限公司（以下简称“公司”或“上市公司”）</w:t>
      </w:r>
      <w:r w:rsidR="003643D7">
        <w:rPr>
          <w:rFonts w:ascii="宋体" w:hAnsi="宋体" w:cs="宋体" w:hint="eastAsia"/>
          <w:color w:val="000000"/>
          <w:kern w:val="0"/>
          <w:sz w:val="24"/>
        </w:rPr>
        <w:t>业绩</w:t>
      </w:r>
      <w:r w:rsidR="003643D7"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预计</w:t>
      </w:r>
      <w:r w:rsidR="003643D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为4,200万元至7,200万元</w:t>
      </w:r>
      <w:r w:rsidR="00C237BB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，</w:t>
      </w:r>
      <w:r w:rsidR="003643D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与上年同期相比</w:t>
      </w:r>
      <w:r w:rsidRPr="00243A95">
        <w:rPr>
          <w:rFonts w:ascii="宋体" w:hAnsi="宋体" w:cs="宋体" w:hint="eastAsia"/>
          <w:color w:val="000000"/>
          <w:kern w:val="0"/>
          <w:sz w:val="24"/>
        </w:rPr>
        <w:t>减少</w:t>
      </w:r>
      <w:r w:rsidR="00466A4E" w:rsidRPr="00243A95">
        <w:rPr>
          <w:rFonts w:ascii="宋体" w:hAnsi="宋体" w:cs="宋体" w:hint="eastAsia"/>
          <w:color w:val="000000"/>
          <w:kern w:val="0"/>
          <w:sz w:val="24"/>
        </w:rPr>
        <w:t>6</w:t>
      </w:r>
      <w:r w:rsidR="00243A95" w:rsidRPr="00243A95">
        <w:rPr>
          <w:rFonts w:ascii="宋体" w:hAnsi="宋体" w:cs="宋体" w:hint="eastAsia"/>
          <w:color w:val="000000"/>
          <w:kern w:val="0"/>
          <w:sz w:val="24"/>
        </w:rPr>
        <w:t>,</w:t>
      </w:r>
      <w:r w:rsidR="00466A4E" w:rsidRPr="00243A95">
        <w:rPr>
          <w:rFonts w:ascii="宋体" w:hAnsi="宋体" w:cs="宋体" w:hint="eastAsia"/>
          <w:color w:val="000000"/>
          <w:kern w:val="0"/>
          <w:sz w:val="24"/>
        </w:rPr>
        <w:t>1</w:t>
      </w:r>
      <w:r w:rsidR="003643D7">
        <w:rPr>
          <w:rFonts w:ascii="宋体" w:hAnsi="宋体" w:cs="宋体" w:hint="eastAsia"/>
          <w:color w:val="000000"/>
          <w:kern w:val="0"/>
          <w:sz w:val="24"/>
        </w:rPr>
        <w:t>11</w:t>
      </w:r>
      <w:r w:rsidRPr="00243A95">
        <w:rPr>
          <w:rFonts w:ascii="宋体" w:hAnsi="宋体" w:cs="宋体" w:hint="eastAsia"/>
          <w:color w:val="000000"/>
          <w:kern w:val="0"/>
          <w:sz w:val="24"/>
        </w:rPr>
        <w:t>万元到</w:t>
      </w:r>
      <w:r w:rsidR="00466A4E" w:rsidRPr="00243A95">
        <w:rPr>
          <w:rFonts w:ascii="宋体" w:hAnsi="宋体" w:cs="宋体" w:hint="eastAsia"/>
          <w:color w:val="000000"/>
          <w:kern w:val="0"/>
          <w:sz w:val="24"/>
        </w:rPr>
        <w:t>9</w:t>
      </w:r>
      <w:r w:rsidR="00243A95" w:rsidRPr="00243A95">
        <w:rPr>
          <w:rFonts w:ascii="宋体" w:hAnsi="宋体" w:cs="宋体" w:hint="eastAsia"/>
          <w:color w:val="000000"/>
          <w:kern w:val="0"/>
          <w:sz w:val="24"/>
        </w:rPr>
        <w:t>,</w:t>
      </w:r>
      <w:r w:rsidR="00466A4E" w:rsidRPr="00243A95">
        <w:rPr>
          <w:rFonts w:ascii="宋体" w:hAnsi="宋体" w:cs="宋体" w:hint="eastAsia"/>
          <w:color w:val="000000"/>
          <w:kern w:val="0"/>
          <w:sz w:val="24"/>
        </w:rPr>
        <w:t>1</w:t>
      </w:r>
      <w:r w:rsidR="003643D7">
        <w:rPr>
          <w:rFonts w:ascii="宋体" w:hAnsi="宋体" w:cs="宋体" w:hint="eastAsia"/>
          <w:color w:val="000000"/>
          <w:kern w:val="0"/>
          <w:sz w:val="24"/>
        </w:rPr>
        <w:t>11</w:t>
      </w:r>
      <w:r w:rsidRPr="00243A95">
        <w:rPr>
          <w:rFonts w:ascii="宋体" w:hAnsi="宋体" w:cs="宋体" w:hint="eastAsia"/>
          <w:color w:val="000000"/>
          <w:kern w:val="0"/>
          <w:sz w:val="24"/>
        </w:rPr>
        <w:t>万元，同比减少</w:t>
      </w:r>
      <w:r w:rsidR="00466A4E" w:rsidRPr="00243A95">
        <w:rPr>
          <w:rFonts w:ascii="宋体" w:hAnsi="宋体" w:cs="宋体" w:hint="eastAsia"/>
          <w:color w:val="000000"/>
          <w:kern w:val="0"/>
          <w:sz w:val="24"/>
        </w:rPr>
        <w:t>46</w:t>
      </w:r>
      <w:r w:rsidRPr="00243A95">
        <w:rPr>
          <w:rFonts w:ascii="宋体" w:hAnsi="宋体" w:cs="宋体" w:hint="eastAsia"/>
          <w:color w:val="000000"/>
          <w:kern w:val="0"/>
          <w:sz w:val="24"/>
        </w:rPr>
        <w:t>%到</w:t>
      </w:r>
      <w:r w:rsidR="00466A4E" w:rsidRPr="00243A95">
        <w:rPr>
          <w:rFonts w:ascii="宋体" w:hAnsi="宋体" w:cs="宋体" w:hint="eastAsia"/>
          <w:color w:val="000000"/>
          <w:kern w:val="0"/>
          <w:sz w:val="24"/>
        </w:rPr>
        <w:t>68</w:t>
      </w:r>
      <w:r w:rsidRPr="00243A95">
        <w:rPr>
          <w:rFonts w:ascii="宋体" w:hAnsi="宋体" w:cs="宋体" w:hint="eastAsia"/>
          <w:color w:val="000000"/>
          <w:kern w:val="0"/>
          <w:sz w:val="24"/>
        </w:rPr>
        <w:t>%。</w:t>
      </w:r>
    </w:p>
    <w:p w:rsidR="00881A6E" w:rsidRPr="00243A95" w:rsidRDefault="00881A6E" w:rsidP="00803F6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243A95">
        <w:rPr>
          <w:rFonts w:ascii="宋体" w:hAnsi="宋体" w:cs="宋体" w:hint="eastAsia"/>
          <w:color w:val="000000"/>
          <w:kern w:val="0"/>
          <w:sz w:val="24"/>
        </w:rPr>
        <w:t>扣除非经常性损益事项后，公司业绩预计</w:t>
      </w:r>
      <w:r w:rsidR="003643D7">
        <w:rPr>
          <w:rFonts w:ascii="宋体" w:hAnsi="宋体" w:cs="宋体" w:hint="eastAsia"/>
          <w:color w:val="000000"/>
          <w:kern w:val="0"/>
          <w:sz w:val="24"/>
        </w:rPr>
        <w:t>为-12,800万元至-15,800万元</w:t>
      </w:r>
      <w:r w:rsidR="00C237BB">
        <w:rPr>
          <w:rFonts w:ascii="宋体" w:hAnsi="宋体" w:cs="宋体" w:hint="eastAsia"/>
          <w:color w:val="000000"/>
          <w:kern w:val="0"/>
          <w:sz w:val="24"/>
        </w:rPr>
        <w:t>，</w:t>
      </w:r>
      <w:r w:rsidR="001526BB"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与上年同期相比</w:t>
      </w:r>
      <w:r w:rsidR="003643D7" w:rsidRPr="00142290">
        <w:rPr>
          <w:rFonts w:ascii="宋体" w:hAnsi="宋体" w:cs="宋体" w:hint="eastAsia"/>
          <w:color w:val="000000"/>
          <w:kern w:val="0"/>
          <w:sz w:val="24"/>
        </w:rPr>
        <w:t>预计</w:t>
      </w:r>
      <w:r w:rsidRPr="00142290">
        <w:rPr>
          <w:rFonts w:ascii="宋体" w:hAnsi="宋体" w:cs="宋体" w:hint="eastAsia"/>
          <w:color w:val="000000"/>
          <w:kern w:val="0"/>
          <w:sz w:val="24"/>
        </w:rPr>
        <w:t>减少</w:t>
      </w:r>
      <w:r w:rsidR="00243995" w:rsidRPr="00142290">
        <w:rPr>
          <w:rFonts w:ascii="宋体" w:hAnsi="宋体" w:cs="宋体" w:hint="eastAsia"/>
          <w:color w:val="000000"/>
          <w:kern w:val="0"/>
          <w:sz w:val="24"/>
        </w:rPr>
        <w:t>18</w:t>
      </w:r>
      <w:r w:rsidR="00243A95" w:rsidRPr="00142290">
        <w:rPr>
          <w:rFonts w:ascii="宋体" w:hAnsi="宋体" w:cs="宋体" w:hint="eastAsia"/>
          <w:color w:val="000000"/>
          <w:kern w:val="0"/>
          <w:sz w:val="24"/>
        </w:rPr>
        <w:t>,</w:t>
      </w:r>
      <w:r w:rsidR="003643D7" w:rsidRPr="00142290">
        <w:rPr>
          <w:rFonts w:ascii="宋体" w:hAnsi="宋体" w:cs="宋体" w:hint="eastAsia"/>
          <w:color w:val="000000"/>
          <w:kern w:val="0"/>
          <w:sz w:val="24"/>
        </w:rPr>
        <w:t>875</w:t>
      </w:r>
      <w:r w:rsidRPr="00142290">
        <w:rPr>
          <w:rFonts w:ascii="宋体" w:hAnsi="宋体" w:cs="宋体" w:hint="eastAsia"/>
          <w:color w:val="000000"/>
          <w:kern w:val="0"/>
          <w:sz w:val="24"/>
        </w:rPr>
        <w:t>万元到</w:t>
      </w:r>
      <w:r w:rsidR="00243995" w:rsidRPr="00142290">
        <w:rPr>
          <w:rFonts w:ascii="宋体" w:hAnsi="宋体" w:cs="宋体" w:hint="eastAsia"/>
          <w:color w:val="000000"/>
          <w:kern w:val="0"/>
          <w:sz w:val="24"/>
        </w:rPr>
        <w:t>2</w:t>
      </w:r>
      <w:r w:rsidR="00080C1B" w:rsidRPr="00142290">
        <w:rPr>
          <w:rFonts w:ascii="宋体" w:hAnsi="宋体" w:cs="宋体" w:hint="eastAsia"/>
          <w:color w:val="000000"/>
          <w:kern w:val="0"/>
          <w:sz w:val="24"/>
        </w:rPr>
        <w:t>1</w:t>
      </w:r>
      <w:r w:rsidR="00243A95" w:rsidRPr="00142290">
        <w:rPr>
          <w:rFonts w:ascii="宋体" w:hAnsi="宋体" w:cs="宋体" w:hint="eastAsia"/>
          <w:color w:val="000000"/>
          <w:kern w:val="0"/>
          <w:sz w:val="24"/>
        </w:rPr>
        <w:t>,</w:t>
      </w:r>
      <w:r w:rsidR="003643D7" w:rsidRPr="00142290">
        <w:rPr>
          <w:rFonts w:ascii="宋体" w:hAnsi="宋体" w:cs="宋体" w:hint="eastAsia"/>
          <w:color w:val="000000"/>
          <w:kern w:val="0"/>
          <w:sz w:val="24"/>
        </w:rPr>
        <w:t>875</w:t>
      </w:r>
      <w:r w:rsidRPr="00142290">
        <w:rPr>
          <w:rFonts w:ascii="宋体" w:hAnsi="宋体" w:cs="宋体" w:hint="eastAsia"/>
          <w:color w:val="000000"/>
          <w:kern w:val="0"/>
          <w:sz w:val="24"/>
        </w:rPr>
        <w:t>万元</w:t>
      </w:r>
      <w:r w:rsidRPr="00243A95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160532" w:rsidRDefault="00160532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</w:pPr>
    </w:p>
    <w:p w:rsidR="00881A6E" w:rsidRPr="00243A95" w:rsidRDefault="00881A6E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一、本期业绩预告情况</w:t>
      </w:r>
    </w:p>
    <w:p w:rsidR="00881A6E" w:rsidRPr="00243A95" w:rsidRDefault="00881A6E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（一）业绩预告期间</w:t>
      </w:r>
    </w:p>
    <w:p w:rsidR="00881A6E" w:rsidRPr="00243A95" w:rsidRDefault="00881A6E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2018年</w:t>
      </w:r>
      <w:r w:rsidRPr="00243A95">
        <w:rPr>
          <w:rFonts w:asciiTheme="minorEastAsia" w:eastAsiaTheme="minorEastAsia" w:hAnsiTheme="minorEastAsia" w:cs="宋体"/>
          <w:color w:val="000000"/>
          <w:kern w:val="0"/>
          <w:sz w:val="24"/>
        </w:rPr>
        <w:t>1</w:t>
      </w: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月</w:t>
      </w:r>
      <w:r w:rsidRPr="00243A95">
        <w:rPr>
          <w:rFonts w:asciiTheme="minorEastAsia" w:eastAsiaTheme="minorEastAsia" w:hAnsiTheme="minorEastAsia" w:cs="宋体"/>
          <w:color w:val="000000"/>
          <w:kern w:val="0"/>
          <w:sz w:val="24"/>
        </w:rPr>
        <w:t>1</w:t>
      </w: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日至2018年</w:t>
      </w:r>
      <w:r w:rsidRPr="00243A95">
        <w:rPr>
          <w:rFonts w:asciiTheme="minorEastAsia" w:eastAsiaTheme="minorEastAsia" w:hAnsiTheme="minorEastAsia" w:cs="宋体"/>
          <w:color w:val="000000"/>
          <w:kern w:val="0"/>
          <w:sz w:val="24"/>
        </w:rPr>
        <w:t>12</w:t>
      </w: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月</w:t>
      </w:r>
      <w:r w:rsidRPr="00243A95">
        <w:rPr>
          <w:rFonts w:asciiTheme="minorEastAsia" w:eastAsiaTheme="minorEastAsia" w:hAnsiTheme="minorEastAsia" w:cs="宋体"/>
          <w:color w:val="000000"/>
          <w:kern w:val="0"/>
          <w:sz w:val="24"/>
        </w:rPr>
        <w:t>31</w:t>
      </w: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日。</w:t>
      </w:r>
    </w:p>
    <w:p w:rsidR="00881A6E" w:rsidRPr="00243A95" w:rsidRDefault="00881A6E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（二）业绩预告情况</w:t>
      </w:r>
    </w:p>
    <w:p w:rsidR="00881A6E" w:rsidRPr="00243A95" w:rsidRDefault="002630B8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1、</w:t>
      </w:r>
      <w:r w:rsidR="00881A6E"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经</w:t>
      </w:r>
      <w:r w:rsidR="00803F6E"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公司财务管理中心</w:t>
      </w:r>
      <w:r w:rsidR="00881A6E"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初步测算，预计</w:t>
      </w:r>
      <w:r w:rsidR="00FE2BAB"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2018</w:t>
      </w:r>
      <w:r w:rsidR="00881A6E"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年年度实现归属于上市公司股东的净利润</w:t>
      </w:r>
      <w:r w:rsidR="003643D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为4,200万元至7,200万元,</w:t>
      </w:r>
      <w:r w:rsidR="00881A6E"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与上年同期（法定披露数据）相比，将</w:t>
      </w:r>
      <w:r w:rsidR="00DF54C7" w:rsidRPr="00243A95">
        <w:rPr>
          <w:rFonts w:ascii="宋体" w:hAnsi="宋体" w:cs="宋体" w:hint="eastAsia"/>
          <w:color w:val="000000"/>
          <w:kern w:val="0"/>
          <w:sz w:val="24"/>
        </w:rPr>
        <w:t>减少</w:t>
      </w:r>
      <w:r w:rsidR="003643D7" w:rsidRPr="00243A95">
        <w:rPr>
          <w:rFonts w:ascii="宋体" w:hAnsi="宋体" w:cs="宋体" w:hint="eastAsia"/>
          <w:color w:val="000000"/>
          <w:kern w:val="0"/>
          <w:sz w:val="24"/>
        </w:rPr>
        <w:t>6,1</w:t>
      </w:r>
      <w:r w:rsidR="003643D7">
        <w:rPr>
          <w:rFonts w:ascii="宋体" w:hAnsi="宋体" w:cs="宋体" w:hint="eastAsia"/>
          <w:color w:val="000000"/>
          <w:kern w:val="0"/>
          <w:sz w:val="24"/>
        </w:rPr>
        <w:t>11</w:t>
      </w:r>
      <w:r w:rsidR="003643D7" w:rsidRPr="00243A95">
        <w:rPr>
          <w:rFonts w:ascii="宋体" w:hAnsi="宋体" w:cs="宋体" w:hint="eastAsia"/>
          <w:color w:val="000000"/>
          <w:kern w:val="0"/>
          <w:sz w:val="24"/>
        </w:rPr>
        <w:t>万元到9,1</w:t>
      </w:r>
      <w:r w:rsidR="003643D7">
        <w:rPr>
          <w:rFonts w:ascii="宋体" w:hAnsi="宋体" w:cs="宋体" w:hint="eastAsia"/>
          <w:color w:val="000000"/>
          <w:kern w:val="0"/>
          <w:sz w:val="24"/>
        </w:rPr>
        <w:t>11</w:t>
      </w:r>
      <w:r w:rsidR="003643D7" w:rsidRPr="00243A95">
        <w:rPr>
          <w:rFonts w:ascii="宋体" w:hAnsi="宋体" w:cs="宋体" w:hint="eastAsia"/>
          <w:color w:val="000000"/>
          <w:kern w:val="0"/>
          <w:sz w:val="24"/>
        </w:rPr>
        <w:t>万元</w:t>
      </w:r>
      <w:r w:rsidR="00DF54C7" w:rsidRPr="00243A95">
        <w:rPr>
          <w:rFonts w:ascii="宋体" w:hAnsi="宋体" w:cs="宋体" w:hint="eastAsia"/>
          <w:color w:val="000000"/>
          <w:kern w:val="0"/>
          <w:sz w:val="24"/>
        </w:rPr>
        <w:t>，同比减少46%到68%</w:t>
      </w:r>
      <w:r w:rsidR="00881A6E"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</w:t>
      </w:r>
    </w:p>
    <w:p w:rsidR="00881A6E" w:rsidRPr="00243A95" w:rsidRDefault="002630B8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2、</w:t>
      </w:r>
      <w:r w:rsidR="00881A6E"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归属于上市公司股东的扣除非经常性损益的净利润</w:t>
      </w:r>
      <w:r w:rsidR="003643D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预计为</w:t>
      </w:r>
      <w:r w:rsidR="003643D7">
        <w:rPr>
          <w:rFonts w:ascii="宋体" w:hAnsi="宋体" w:cs="宋体" w:hint="eastAsia"/>
          <w:color w:val="000000"/>
          <w:kern w:val="0"/>
          <w:sz w:val="24"/>
        </w:rPr>
        <w:t>-12,800万元至-15,800万元,</w:t>
      </w:r>
      <w:r w:rsidR="00881A6E"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与上年同期（法定披露数据）相比，将</w:t>
      </w:r>
      <w:r w:rsidR="00FE2BAB"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减少</w:t>
      </w:r>
      <w:r w:rsidR="003643D7" w:rsidRPr="00243A95">
        <w:rPr>
          <w:rFonts w:ascii="宋体" w:hAnsi="宋体" w:cs="宋体" w:hint="eastAsia"/>
          <w:color w:val="000000"/>
          <w:kern w:val="0"/>
          <w:sz w:val="24"/>
        </w:rPr>
        <w:t>18,</w:t>
      </w:r>
      <w:r w:rsidR="003643D7">
        <w:rPr>
          <w:rFonts w:ascii="宋体" w:hAnsi="宋体" w:cs="宋体" w:hint="eastAsia"/>
          <w:color w:val="000000"/>
          <w:kern w:val="0"/>
          <w:sz w:val="24"/>
        </w:rPr>
        <w:t>875</w:t>
      </w:r>
      <w:r w:rsidR="003643D7" w:rsidRPr="00243A95">
        <w:rPr>
          <w:rFonts w:ascii="宋体" w:hAnsi="宋体" w:cs="宋体" w:hint="eastAsia"/>
          <w:color w:val="000000"/>
          <w:kern w:val="0"/>
          <w:sz w:val="24"/>
        </w:rPr>
        <w:t>万元到21,</w:t>
      </w:r>
      <w:r w:rsidR="003643D7">
        <w:rPr>
          <w:rFonts w:ascii="宋体" w:hAnsi="宋体" w:cs="宋体" w:hint="eastAsia"/>
          <w:color w:val="000000"/>
          <w:kern w:val="0"/>
          <w:sz w:val="24"/>
        </w:rPr>
        <w:t>875</w:t>
      </w:r>
      <w:r w:rsidR="00DF54C7" w:rsidRPr="00243A95">
        <w:rPr>
          <w:rFonts w:ascii="宋体" w:hAnsi="宋体" w:cs="宋体" w:hint="eastAsia"/>
          <w:color w:val="000000"/>
          <w:kern w:val="0"/>
          <w:sz w:val="24"/>
        </w:rPr>
        <w:t>万元</w:t>
      </w:r>
      <w:r w:rsidR="00881A6E" w:rsidRPr="00160532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</w:t>
      </w:r>
    </w:p>
    <w:p w:rsidR="00881A6E" w:rsidRDefault="00881A6E" w:rsidP="00881A6E">
      <w:pPr>
        <w:widowControl/>
        <w:spacing w:line="360" w:lineRule="auto"/>
        <w:ind w:firstLine="480"/>
        <w:jc w:val="left"/>
        <w:rPr>
          <w:rFonts w:ascii="宋体" w:hAnsi="宋体"/>
          <w:sz w:val="24"/>
        </w:rPr>
      </w:pPr>
      <w:r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（三）</w:t>
      </w:r>
      <w:r w:rsidR="0057275C" w:rsidRPr="00243A95">
        <w:rPr>
          <w:rFonts w:ascii="宋体" w:hAnsi="宋体" w:hint="eastAsia"/>
          <w:sz w:val="24"/>
        </w:rPr>
        <w:t>本次所预计业绩未经注册会计师</w:t>
      </w:r>
      <w:bookmarkStart w:id="0" w:name="_GoBack"/>
      <w:bookmarkEnd w:id="0"/>
      <w:r w:rsidR="0057275C" w:rsidRPr="00243A95">
        <w:rPr>
          <w:rFonts w:ascii="宋体" w:hAnsi="宋体" w:hint="eastAsia"/>
          <w:sz w:val="24"/>
        </w:rPr>
        <w:t>审计。</w:t>
      </w:r>
    </w:p>
    <w:p w:rsidR="00160532" w:rsidRDefault="00160532" w:rsidP="00803F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</w:pPr>
    </w:p>
    <w:p w:rsidR="00160532" w:rsidRDefault="00160532" w:rsidP="00803F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</w:pPr>
    </w:p>
    <w:p w:rsidR="00881A6E" w:rsidRDefault="00881A6E" w:rsidP="00803F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lastRenderedPageBreak/>
        <w:t>二、上年同期业绩情况</w:t>
      </w:r>
    </w:p>
    <w:p w:rsidR="00881A6E" w:rsidRPr="00DD235C" w:rsidRDefault="00881A6E" w:rsidP="00881A6E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DD235C">
        <w:rPr>
          <w:rFonts w:asciiTheme="minorEastAsia" w:eastAsiaTheme="minorEastAsia" w:hAnsiTheme="minorEastAsia" w:cs="宋体" w:hint="eastAsia"/>
          <w:kern w:val="0"/>
          <w:sz w:val="24"/>
        </w:rPr>
        <w:t>（一）归属于上市公司股东的净利润：</w:t>
      </w:r>
      <w:r w:rsidR="00870679" w:rsidRPr="00DD235C">
        <w:rPr>
          <w:rFonts w:asciiTheme="minorEastAsia" w:eastAsiaTheme="minorEastAsia" w:hAnsiTheme="minorEastAsia" w:cs="宋体"/>
          <w:kern w:val="0"/>
          <w:sz w:val="24"/>
        </w:rPr>
        <w:t>133,105,250.48</w:t>
      </w:r>
      <w:r w:rsidRPr="00DD235C">
        <w:rPr>
          <w:rFonts w:asciiTheme="minorEastAsia" w:eastAsiaTheme="minorEastAsia" w:hAnsiTheme="minorEastAsia" w:cs="宋体" w:hint="eastAsia"/>
          <w:kern w:val="0"/>
          <w:sz w:val="24"/>
        </w:rPr>
        <w:t>元。归属于上市公司股东的扣除非经常性损益的净利润：</w:t>
      </w:r>
      <w:r w:rsidR="00870679" w:rsidRPr="00DD235C">
        <w:rPr>
          <w:rFonts w:asciiTheme="minorEastAsia" w:eastAsiaTheme="minorEastAsia" w:hAnsiTheme="minorEastAsia" w:cs="宋体"/>
          <w:kern w:val="0"/>
          <w:sz w:val="24"/>
        </w:rPr>
        <w:t>60,745,524.23</w:t>
      </w:r>
      <w:r w:rsidRPr="00DD235C">
        <w:rPr>
          <w:rFonts w:asciiTheme="minorEastAsia" w:eastAsiaTheme="minorEastAsia" w:hAnsiTheme="minorEastAsia" w:cs="宋体" w:hint="eastAsia"/>
          <w:kern w:val="0"/>
          <w:sz w:val="24"/>
        </w:rPr>
        <w:t>元</w:t>
      </w:r>
      <w:r w:rsidR="00870679" w:rsidRPr="00DD235C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881A6E" w:rsidRDefault="00881A6E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DD235C">
        <w:rPr>
          <w:rFonts w:asciiTheme="minorEastAsia" w:eastAsiaTheme="minorEastAsia" w:hAnsiTheme="minorEastAsia" w:cs="宋体" w:hint="eastAsia"/>
          <w:kern w:val="0"/>
          <w:sz w:val="24"/>
        </w:rPr>
        <w:t>（二）每股收益：</w:t>
      </w:r>
      <w:r w:rsidR="00870679" w:rsidRPr="00DD235C">
        <w:rPr>
          <w:rFonts w:asciiTheme="minorEastAsia" w:eastAsiaTheme="minorEastAsia" w:hAnsiTheme="minorEastAsia" w:cs="宋体"/>
          <w:kern w:val="0"/>
          <w:sz w:val="24"/>
        </w:rPr>
        <w:t>0.185</w:t>
      </w:r>
      <w:r w:rsidRPr="00DD235C">
        <w:rPr>
          <w:rFonts w:asciiTheme="minorEastAsia" w:eastAsiaTheme="minorEastAsia" w:hAnsiTheme="minorEastAsia" w:cs="宋体" w:hint="eastAsia"/>
          <w:kern w:val="0"/>
          <w:sz w:val="24"/>
        </w:rPr>
        <w:t>元。</w:t>
      </w:r>
    </w:p>
    <w:p w:rsidR="00160532" w:rsidRDefault="00160532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</w:pPr>
    </w:p>
    <w:p w:rsidR="00881A6E" w:rsidRPr="00AD4BC7" w:rsidRDefault="00881A6E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三、本期</w:t>
      </w:r>
      <w:proofErr w:type="gramStart"/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业绩</w:t>
      </w:r>
      <w:r w:rsidR="00846733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预减</w:t>
      </w:r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的</w:t>
      </w:r>
      <w:proofErr w:type="gramEnd"/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主要原因</w:t>
      </w:r>
    </w:p>
    <w:p w:rsidR="00017AB9" w:rsidRDefault="00D70BFB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（一）主营业务影响</w:t>
      </w:r>
    </w:p>
    <w:p w:rsidR="00846733" w:rsidRDefault="002630B8" w:rsidP="00881A6E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</w:t>
      </w:r>
      <w:r w:rsidR="00AA5792" w:rsidRPr="00A904EA">
        <w:rPr>
          <w:rFonts w:ascii="宋体" w:hAnsi="宋体" w:cs="宋体" w:hint="eastAsia"/>
          <w:kern w:val="0"/>
          <w:sz w:val="24"/>
        </w:rPr>
        <w:t>本报告期公司全资子公司响水</w:t>
      </w:r>
      <w:proofErr w:type="gramStart"/>
      <w:r w:rsidR="00AA5792" w:rsidRPr="00A904EA">
        <w:rPr>
          <w:rFonts w:ascii="宋体" w:hAnsi="宋体" w:cs="宋体" w:hint="eastAsia"/>
          <w:kern w:val="0"/>
          <w:sz w:val="24"/>
        </w:rPr>
        <w:t>恒</w:t>
      </w:r>
      <w:proofErr w:type="gramEnd"/>
      <w:r w:rsidR="00AA5792" w:rsidRPr="00A904EA">
        <w:rPr>
          <w:rFonts w:ascii="宋体" w:hAnsi="宋体" w:cs="宋体" w:hint="eastAsia"/>
          <w:kern w:val="0"/>
          <w:sz w:val="24"/>
        </w:rPr>
        <w:t>利达科技化工有限公司</w:t>
      </w:r>
      <w:r w:rsidR="00CF138B">
        <w:rPr>
          <w:rFonts w:ascii="宋体" w:hAnsi="宋体" w:cs="宋体" w:hint="eastAsia"/>
          <w:kern w:val="0"/>
          <w:sz w:val="24"/>
        </w:rPr>
        <w:t>受</w:t>
      </w:r>
      <w:r w:rsidR="00243A95">
        <w:rPr>
          <w:rFonts w:ascii="宋体" w:hAnsi="宋体" w:cs="宋体" w:hint="eastAsia"/>
          <w:kern w:val="0"/>
          <w:sz w:val="24"/>
        </w:rPr>
        <w:t>所处园区</w:t>
      </w:r>
      <w:r w:rsidR="00CF138B">
        <w:rPr>
          <w:rFonts w:ascii="宋体" w:hAnsi="宋体" w:hint="eastAsia"/>
          <w:sz w:val="24"/>
        </w:rPr>
        <w:t>排查整治</w:t>
      </w:r>
      <w:r w:rsidR="00CF138B" w:rsidRPr="0003034D">
        <w:rPr>
          <w:rFonts w:ascii="宋体" w:hAnsi="宋体" w:hint="eastAsia"/>
          <w:sz w:val="24"/>
        </w:rPr>
        <w:t>环保</w:t>
      </w:r>
      <w:r w:rsidR="00CF138B">
        <w:rPr>
          <w:rFonts w:ascii="宋体" w:hAnsi="宋体" w:hint="eastAsia"/>
          <w:sz w:val="24"/>
        </w:rPr>
        <w:t>问题的影响，</w:t>
      </w:r>
      <w:r w:rsidR="00AC03B1">
        <w:rPr>
          <w:rFonts w:ascii="宋体" w:hAnsi="宋体" w:cs="宋体" w:hint="eastAsia"/>
          <w:kern w:val="0"/>
          <w:sz w:val="24"/>
        </w:rPr>
        <w:t>停产整改时间较长,利润与去年同期相比将出现大幅下滑。</w:t>
      </w:r>
      <w:r w:rsidR="00AC03B1">
        <w:rPr>
          <w:rFonts w:ascii="宋体" w:hAnsi="宋体" w:hint="eastAsia"/>
          <w:sz w:val="24"/>
        </w:rPr>
        <w:t>具体见</w:t>
      </w:r>
      <w:r w:rsidR="00AC03B1" w:rsidRPr="00AC03B1">
        <w:rPr>
          <w:rFonts w:ascii="宋体" w:hAnsi="宋体" w:hint="eastAsia"/>
          <w:sz w:val="24"/>
        </w:rPr>
        <w:t>公司</w:t>
      </w:r>
      <w:r w:rsidR="00AC03B1">
        <w:rPr>
          <w:rFonts w:ascii="宋体" w:hAnsi="宋体" w:hint="eastAsia"/>
          <w:sz w:val="24"/>
        </w:rPr>
        <w:t>于2018年5月3日</w:t>
      </w:r>
      <w:r w:rsidR="00160532">
        <w:rPr>
          <w:rFonts w:ascii="宋体" w:hAnsi="宋体" w:hint="eastAsia"/>
          <w:sz w:val="24"/>
        </w:rPr>
        <w:t>至</w:t>
      </w:r>
      <w:r w:rsidR="00AC03B1">
        <w:rPr>
          <w:rFonts w:ascii="宋体" w:hAnsi="宋体" w:hint="eastAsia"/>
          <w:sz w:val="24"/>
        </w:rPr>
        <w:t>12月29日</w:t>
      </w:r>
      <w:r w:rsidR="00AC03B1" w:rsidRPr="00AC03B1">
        <w:rPr>
          <w:rFonts w:ascii="宋体" w:hAnsi="宋体" w:hint="eastAsia"/>
          <w:sz w:val="24"/>
        </w:rPr>
        <w:t>在《中国证券报》、《上海证券报》及上海证券交易所网站上披露</w:t>
      </w:r>
      <w:r w:rsidR="00AC03B1">
        <w:rPr>
          <w:rFonts w:ascii="宋体" w:hAnsi="宋体" w:hint="eastAsia"/>
          <w:sz w:val="24"/>
        </w:rPr>
        <w:t>的</w:t>
      </w:r>
      <w:r w:rsidR="00160532" w:rsidRPr="00A904EA">
        <w:rPr>
          <w:rFonts w:ascii="宋体" w:hAnsi="宋体" w:cs="宋体" w:hint="eastAsia"/>
          <w:kern w:val="0"/>
          <w:sz w:val="24"/>
        </w:rPr>
        <w:t>响水</w:t>
      </w:r>
      <w:proofErr w:type="gramStart"/>
      <w:r w:rsidR="00160532" w:rsidRPr="00A904EA">
        <w:rPr>
          <w:rFonts w:ascii="宋体" w:hAnsi="宋体" w:cs="宋体" w:hint="eastAsia"/>
          <w:kern w:val="0"/>
          <w:sz w:val="24"/>
        </w:rPr>
        <w:t>恒</w:t>
      </w:r>
      <w:proofErr w:type="gramEnd"/>
      <w:r w:rsidR="00160532" w:rsidRPr="00A904EA">
        <w:rPr>
          <w:rFonts w:ascii="宋体" w:hAnsi="宋体" w:cs="宋体" w:hint="eastAsia"/>
          <w:kern w:val="0"/>
          <w:sz w:val="24"/>
        </w:rPr>
        <w:t>利达科技化工有限公司</w:t>
      </w:r>
      <w:r w:rsidR="00160532">
        <w:rPr>
          <w:rFonts w:ascii="宋体" w:hAnsi="宋体" w:hint="eastAsia"/>
          <w:sz w:val="24"/>
        </w:rPr>
        <w:t>临时停产、进展及</w:t>
      </w:r>
      <w:r w:rsidR="00AC03B1" w:rsidRPr="00AC03B1">
        <w:rPr>
          <w:rFonts w:ascii="宋体" w:hAnsi="宋体" w:hint="eastAsia"/>
          <w:sz w:val="24"/>
        </w:rPr>
        <w:t>恢复生产</w:t>
      </w:r>
      <w:r w:rsidR="00160532">
        <w:rPr>
          <w:rFonts w:ascii="宋体" w:hAnsi="宋体" w:hint="eastAsia"/>
          <w:sz w:val="24"/>
        </w:rPr>
        <w:t>等</w:t>
      </w:r>
      <w:r w:rsidR="00AC03B1" w:rsidRPr="00AC03B1">
        <w:rPr>
          <w:rFonts w:ascii="宋体" w:hAnsi="宋体" w:hint="eastAsia"/>
          <w:sz w:val="24"/>
        </w:rPr>
        <w:t>公告。</w:t>
      </w:r>
    </w:p>
    <w:p w:rsidR="00AA5792" w:rsidRDefault="002630B8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</w:t>
      </w:r>
      <w:r w:rsidR="00AA5792">
        <w:rPr>
          <w:rFonts w:ascii="宋体" w:hAnsi="宋体" w:cs="宋体" w:hint="eastAsia"/>
          <w:kern w:val="0"/>
          <w:sz w:val="24"/>
        </w:rPr>
        <w:t>根据证监会《会计监管风险提示第8号——商誉减值》相关要求，公司对收购</w:t>
      </w:r>
      <w:r w:rsidR="00AA5792" w:rsidRPr="00A904EA">
        <w:rPr>
          <w:rFonts w:ascii="宋体" w:hAnsi="宋体" w:cs="宋体" w:hint="eastAsia"/>
          <w:kern w:val="0"/>
          <w:sz w:val="24"/>
        </w:rPr>
        <w:t>响水恒利达科技化工有限公司</w:t>
      </w:r>
      <w:r w:rsidR="00AA5792">
        <w:rPr>
          <w:rFonts w:ascii="宋体" w:hAnsi="宋体" w:cs="宋体" w:hint="eastAsia"/>
          <w:kern w:val="0"/>
          <w:sz w:val="24"/>
        </w:rPr>
        <w:t>100%股权所形成的商誉进行了初步减值测试，</w:t>
      </w:r>
      <w:r w:rsidR="00AA5792" w:rsidRPr="00AC03B1">
        <w:rPr>
          <w:rFonts w:ascii="宋体" w:hAnsi="宋体" w:cs="宋体" w:hint="eastAsia"/>
          <w:kern w:val="0"/>
          <w:sz w:val="24"/>
        </w:rPr>
        <w:t>报告期拟计提商誉减值准备</w:t>
      </w:r>
      <w:r w:rsidR="00D93028" w:rsidRPr="00AC03B1">
        <w:rPr>
          <w:rFonts w:ascii="宋体" w:hAnsi="宋体" w:cs="宋体" w:hint="eastAsia"/>
          <w:kern w:val="0"/>
          <w:sz w:val="24"/>
        </w:rPr>
        <w:t>约</w:t>
      </w:r>
      <w:r w:rsidR="00DF54C7" w:rsidRPr="00AC03B1">
        <w:rPr>
          <w:rFonts w:ascii="宋体" w:hAnsi="宋体" w:cs="宋体" w:hint="eastAsia"/>
          <w:kern w:val="0"/>
          <w:sz w:val="24"/>
        </w:rPr>
        <w:t>7</w:t>
      </w:r>
      <w:r w:rsidR="009E44BA" w:rsidRPr="00AC03B1">
        <w:rPr>
          <w:rFonts w:ascii="宋体" w:hAnsi="宋体" w:cs="宋体" w:hint="eastAsia"/>
          <w:kern w:val="0"/>
          <w:sz w:val="24"/>
        </w:rPr>
        <w:t>,</w:t>
      </w:r>
      <w:r w:rsidR="00DF54C7" w:rsidRPr="00AC03B1">
        <w:rPr>
          <w:rFonts w:ascii="宋体" w:hAnsi="宋体" w:cs="宋体" w:hint="eastAsia"/>
          <w:kern w:val="0"/>
          <w:sz w:val="24"/>
        </w:rPr>
        <w:t>5</w:t>
      </w:r>
      <w:r w:rsidR="00017AB9" w:rsidRPr="00AC03B1">
        <w:rPr>
          <w:rFonts w:ascii="宋体" w:hAnsi="宋体" w:cs="宋体" w:hint="eastAsia"/>
          <w:kern w:val="0"/>
          <w:sz w:val="24"/>
        </w:rPr>
        <w:t>00</w:t>
      </w:r>
      <w:r w:rsidR="00AA5792" w:rsidRPr="00AC03B1">
        <w:rPr>
          <w:rFonts w:ascii="宋体" w:hAnsi="宋体" w:cs="宋体" w:hint="eastAsia"/>
          <w:kern w:val="0"/>
          <w:sz w:val="24"/>
        </w:rPr>
        <w:t>万元至</w:t>
      </w:r>
      <w:r w:rsidR="00017AB9" w:rsidRPr="00AC03B1">
        <w:rPr>
          <w:rFonts w:ascii="宋体" w:hAnsi="宋体" w:cs="宋体" w:hint="eastAsia"/>
          <w:kern w:val="0"/>
          <w:sz w:val="24"/>
        </w:rPr>
        <w:t>1</w:t>
      </w:r>
      <w:r w:rsidR="00DF54C7" w:rsidRPr="00AC03B1">
        <w:rPr>
          <w:rFonts w:ascii="宋体" w:hAnsi="宋体" w:cs="宋体" w:hint="eastAsia"/>
          <w:kern w:val="0"/>
          <w:sz w:val="24"/>
        </w:rPr>
        <w:t>0</w:t>
      </w:r>
      <w:r w:rsidR="009E44BA" w:rsidRPr="00AC03B1">
        <w:rPr>
          <w:rFonts w:ascii="宋体" w:hAnsi="宋体" w:cs="宋体" w:hint="eastAsia"/>
          <w:kern w:val="0"/>
          <w:sz w:val="24"/>
        </w:rPr>
        <w:t>,</w:t>
      </w:r>
      <w:r w:rsidR="00DF54C7" w:rsidRPr="00AC03B1">
        <w:rPr>
          <w:rFonts w:ascii="宋体" w:hAnsi="宋体" w:cs="宋体" w:hint="eastAsia"/>
          <w:kern w:val="0"/>
          <w:sz w:val="24"/>
        </w:rPr>
        <w:t>5</w:t>
      </w:r>
      <w:r w:rsidR="00017AB9" w:rsidRPr="00AC03B1">
        <w:rPr>
          <w:rFonts w:ascii="宋体" w:hAnsi="宋体" w:cs="宋体" w:hint="eastAsia"/>
          <w:kern w:val="0"/>
          <w:sz w:val="24"/>
        </w:rPr>
        <w:t>00</w:t>
      </w:r>
      <w:r w:rsidR="00AA5792" w:rsidRPr="00AC03B1">
        <w:rPr>
          <w:rFonts w:ascii="宋体" w:hAnsi="宋体" w:cs="宋体" w:hint="eastAsia"/>
          <w:kern w:val="0"/>
          <w:sz w:val="24"/>
        </w:rPr>
        <w:t>万元</w:t>
      </w:r>
      <w:r w:rsidR="005C7003" w:rsidRPr="00AC03B1">
        <w:rPr>
          <w:rFonts w:ascii="宋体" w:hAnsi="宋体" w:cs="宋体" w:hint="eastAsia"/>
          <w:kern w:val="0"/>
          <w:sz w:val="24"/>
        </w:rPr>
        <w:t>，</w:t>
      </w:r>
      <w:r w:rsidR="005C7003" w:rsidRPr="00243A95">
        <w:rPr>
          <w:rFonts w:ascii="宋体" w:hAnsi="宋体" w:cs="宋体" w:hint="eastAsia"/>
          <w:kern w:val="0"/>
          <w:sz w:val="24"/>
        </w:rPr>
        <w:t>相应减少公司本年度</w:t>
      </w:r>
      <w:r w:rsidR="005C7003" w:rsidRPr="00243A9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归属于上市公司股东的扣除非经常性损益的净利润。</w:t>
      </w:r>
    </w:p>
    <w:p w:rsidR="00881A6E" w:rsidRDefault="00D70BFB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（二）非经营性损益的影响</w:t>
      </w:r>
    </w:p>
    <w:p w:rsidR="00AA5792" w:rsidRDefault="00AA5792" w:rsidP="00AA5792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A904EA">
        <w:rPr>
          <w:rFonts w:ascii="宋体" w:hAnsi="宋体" w:cs="宋体" w:hint="eastAsia"/>
          <w:kern w:val="0"/>
          <w:sz w:val="24"/>
        </w:rPr>
        <w:t>201</w:t>
      </w:r>
      <w:r>
        <w:rPr>
          <w:rFonts w:ascii="宋体" w:hAnsi="宋体" w:cs="宋体" w:hint="eastAsia"/>
          <w:kern w:val="0"/>
          <w:sz w:val="24"/>
        </w:rPr>
        <w:t>8</w:t>
      </w:r>
      <w:r w:rsidRPr="00A904EA">
        <w:rPr>
          <w:rFonts w:ascii="宋体" w:hAnsi="宋体" w:cs="宋体" w:hint="eastAsia"/>
          <w:kern w:val="0"/>
          <w:sz w:val="24"/>
        </w:rPr>
        <w:t>年度非经常性</w:t>
      </w:r>
      <w:proofErr w:type="gramStart"/>
      <w:r w:rsidRPr="00A904EA">
        <w:rPr>
          <w:rFonts w:ascii="宋体" w:hAnsi="宋体" w:cs="宋体" w:hint="eastAsia"/>
          <w:kern w:val="0"/>
          <w:sz w:val="24"/>
        </w:rPr>
        <w:t>损益较</w:t>
      </w:r>
      <w:proofErr w:type="gramEnd"/>
      <w:r w:rsidRPr="00A904EA">
        <w:rPr>
          <w:rFonts w:ascii="宋体" w:hAnsi="宋体" w:cs="宋体" w:hint="eastAsia"/>
          <w:kern w:val="0"/>
          <w:sz w:val="24"/>
        </w:rPr>
        <w:t>上年同期有较大增长,主要为出售江苏银行股票增加所致，</w:t>
      </w:r>
      <w:r w:rsidR="00760396">
        <w:rPr>
          <w:rFonts w:ascii="宋体" w:hAnsi="宋体" w:cs="宋体" w:hint="eastAsia"/>
          <w:kern w:val="0"/>
          <w:sz w:val="24"/>
        </w:rPr>
        <w:t>该事项</w:t>
      </w:r>
      <w:r w:rsidR="00442ADB">
        <w:rPr>
          <w:rFonts w:ascii="宋体" w:hAnsi="宋体" w:cs="宋体" w:hint="eastAsia"/>
          <w:kern w:val="0"/>
          <w:sz w:val="24"/>
        </w:rPr>
        <w:t>预计</w:t>
      </w:r>
      <w:r w:rsidR="00571B3A">
        <w:rPr>
          <w:rFonts w:ascii="宋体" w:hAnsi="宋体" w:cs="宋体" w:hint="eastAsia"/>
          <w:kern w:val="0"/>
          <w:sz w:val="24"/>
        </w:rPr>
        <w:t>增加</w:t>
      </w:r>
      <w:r w:rsidR="00AC03B1">
        <w:rPr>
          <w:rFonts w:ascii="宋体" w:hAnsi="宋体" w:cs="宋体" w:hint="eastAsia"/>
          <w:kern w:val="0"/>
          <w:sz w:val="24"/>
        </w:rPr>
        <w:t>公司</w:t>
      </w:r>
      <w:r w:rsidR="00017AB9">
        <w:rPr>
          <w:rFonts w:ascii="宋体" w:hAnsi="宋体" w:cs="宋体" w:hint="eastAsia"/>
          <w:kern w:val="0"/>
          <w:sz w:val="24"/>
        </w:rPr>
        <w:t>本年度</w:t>
      </w:r>
      <w:r w:rsidR="00AC03B1">
        <w:rPr>
          <w:rFonts w:ascii="宋体" w:hAnsi="宋体" w:cs="宋体" w:hint="eastAsia"/>
          <w:kern w:val="0"/>
          <w:sz w:val="24"/>
        </w:rPr>
        <w:t>投资净收益(</w:t>
      </w:r>
      <w:r w:rsidR="00017AB9">
        <w:rPr>
          <w:rFonts w:ascii="宋体" w:hAnsi="宋体" w:cs="宋体" w:hint="eastAsia"/>
          <w:kern w:val="0"/>
          <w:sz w:val="24"/>
        </w:rPr>
        <w:t>非经常性损益</w:t>
      </w:r>
      <w:r w:rsidR="00AC03B1">
        <w:rPr>
          <w:rFonts w:ascii="宋体" w:hAnsi="宋体" w:cs="宋体" w:hint="eastAsia"/>
          <w:kern w:val="0"/>
          <w:sz w:val="24"/>
        </w:rPr>
        <w:t>)</w:t>
      </w:r>
      <w:r w:rsidR="00017AB9">
        <w:rPr>
          <w:rFonts w:ascii="宋体" w:hAnsi="宋体" w:cs="宋体" w:hint="eastAsia"/>
          <w:kern w:val="0"/>
          <w:sz w:val="24"/>
        </w:rPr>
        <w:t>17,646万元。</w:t>
      </w:r>
      <w:r w:rsidR="00AC03B1">
        <w:rPr>
          <w:rFonts w:ascii="宋体" w:hAnsi="宋体" w:hint="eastAsia"/>
          <w:sz w:val="24"/>
        </w:rPr>
        <w:t>具体见</w:t>
      </w:r>
      <w:r w:rsidR="00AC03B1" w:rsidRPr="00AC03B1">
        <w:rPr>
          <w:rFonts w:ascii="宋体" w:hAnsi="宋体" w:hint="eastAsia"/>
          <w:sz w:val="24"/>
        </w:rPr>
        <w:t>公司</w:t>
      </w:r>
      <w:r w:rsidR="00AC03B1">
        <w:rPr>
          <w:rFonts w:ascii="宋体" w:hAnsi="宋体" w:hint="eastAsia"/>
          <w:sz w:val="24"/>
        </w:rPr>
        <w:t>于</w:t>
      </w:r>
      <w:r w:rsidR="00AC03B1">
        <w:rPr>
          <w:rFonts w:ascii="宋体" w:hAnsi="宋体" w:hint="eastAsia"/>
          <w:sz w:val="24"/>
        </w:rPr>
        <w:t>2018年6月29日、</w:t>
      </w:r>
      <w:r w:rsidR="00160532">
        <w:rPr>
          <w:rFonts w:ascii="宋体" w:hAnsi="宋体" w:hint="eastAsia"/>
          <w:sz w:val="24"/>
        </w:rPr>
        <w:t>9月14日及12月8日</w:t>
      </w:r>
      <w:r w:rsidR="00160532" w:rsidRPr="00AC03B1">
        <w:rPr>
          <w:rFonts w:ascii="宋体" w:hAnsi="宋体" w:hint="eastAsia"/>
          <w:sz w:val="24"/>
        </w:rPr>
        <w:t>在《中国证券报》、《上海证券报》及上海证券交易所网站上披露</w:t>
      </w:r>
      <w:r w:rsidR="00160532">
        <w:rPr>
          <w:rFonts w:ascii="宋体" w:hAnsi="宋体" w:hint="eastAsia"/>
          <w:sz w:val="24"/>
        </w:rPr>
        <w:t>的</w:t>
      </w:r>
      <w:r w:rsidR="00160532">
        <w:rPr>
          <w:rFonts w:ascii="宋体" w:hAnsi="宋体" w:hint="eastAsia"/>
          <w:sz w:val="24"/>
        </w:rPr>
        <w:t>相关公告。</w:t>
      </w:r>
    </w:p>
    <w:p w:rsidR="00160532" w:rsidRDefault="00160532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</w:pPr>
    </w:p>
    <w:p w:rsidR="00881A6E" w:rsidRPr="00B250B6" w:rsidRDefault="00881A6E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666F1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四、风险提示</w:t>
      </w:r>
    </w:p>
    <w:p w:rsidR="00D76454" w:rsidRDefault="009E44BA" w:rsidP="00D76454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FD3255">
        <w:rPr>
          <w:rFonts w:ascii="宋体" w:hAnsi="宋体" w:cs="宋体" w:hint="eastAsia"/>
          <w:kern w:val="0"/>
          <w:sz w:val="24"/>
        </w:rPr>
        <w:t>由于公司全资子公司响水恒利达科技化工有限公司</w:t>
      </w:r>
      <w:r w:rsidR="00664F73">
        <w:rPr>
          <w:rFonts w:ascii="宋体" w:hAnsi="宋体" w:cs="宋体" w:hint="eastAsia"/>
          <w:kern w:val="0"/>
          <w:sz w:val="24"/>
        </w:rPr>
        <w:t>于</w:t>
      </w:r>
      <w:r w:rsidRPr="00FD3255">
        <w:rPr>
          <w:rFonts w:ascii="宋体" w:hAnsi="宋体" w:cs="宋体" w:hint="eastAsia"/>
          <w:kern w:val="0"/>
          <w:sz w:val="24"/>
        </w:rPr>
        <w:t>报告期末刚逐步恢复生产</w:t>
      </w:r>
      <w:r w:rsidR="00D76454" w:rsidRPr="00857E11">
        <w:rPr>
          <w:rFonts w:ascii="宋体" w:hAnsi="宋体" w:cs="宋体" w:hint="eastAsia"/>
          <w:kern w:val="0"/>
          <w:sz w:val="24"/>
        </w:rPr>
        <w:t>，</w:t>
      </w:r>
      <w:r w:rsidR="00243A95" w:rsidRPr="00857E11">
        <w:rPr>
          <w:rFonts w:ascii="宋体" w:hAnsi="宋体" w:cs="宋体" w:hint="eastAsia"/>
          <w:kern w:val="0"/>
          <w:sz w:val="24"/>
        </w:rPr>
        <w:t>公司经与评估机构和年审会计师初步沟通，</w:t>
      </w:r>
      <w:r w:rsidR="00CB2111" w:rsidRPr="00857E11">
        <w:rPr>
          <w:rFonts w:ascii="宋体" w:hAnsi="宋体" w:cs="宋体" w:hint="eastAsia"/>
          <w:kern w:val="0"/>
          <w:sz w:val="24"/>
        </w:rPr>
        <w:t>目前</w:t>
      </w:r>
      <w:r w:rsidR="00017AB9" w:rsidRPr="00FD3255">
        <w:rPr>
          <w:rFonts w:ascii="宋体" w:hAnsi="宋体" w:cs="宋体" w:hint="eastAsia"/>
          <w:kern w:val="0"/>
          <w:sz w:val="24"/>
        </w:rPr>
        <w:t>尚无法</w:t>
      </w:r>
      <w:r w:rsidR="00CB2111" w:rsidRPr="00FD3255">
        <w:rPr>
          <w:rFonts w:ascii="宋体" w:hAnsi="宋体" w:cs="宋体" w:hint="eastAsia"/>
          <w:kern w:val="0"/>
          <w:sz w:val="24"/>
        </w:rPr>
        <w:t>准确估计</w:t>
      </w:r>
      <w:r w:rsidR="00D76454" w:rsidRPr="00FD3255">
        <w:rPr>
          <w:rFonts w:ascii="宋体" w:hAnsi="宋体" w:cs="宋体" w:hint="eastAsia"/>
          <w:kern w:val="0"/>
          <w:sz w:val="24"/>
        </w:rPr>
        <w:t>商誉减值</w:t>
      </w:r>
      <w:r w:rsidR="00CB2111" w:rsidRPr="00FD3255">
        <w:rPr>
          <w:rFonts w:ascii="宋体" w:hAnsi="宋体" w:cs="宋体" w:hint="eastAsia"/>
          <w:kern w:val="0"/>
          <w:sz w:val="24"/>
        </w:rPr>
        <w:t>准备</w:t>
      </w:r>
      <w:r w:rsidR="00017AB9" w:rsidRPr="00FD3255">
        <w:rPr>
          <w:rFonts w:ascii="宋体" w:hAnsi="宋体" w:cs="宋体" w:hint="eastAsia"/>
          <w:kern w:val="0"/>
          <w:sz w:val="24"/>
        </w:rPr>
        <w:t>具体金额</w:t>
      </w:r>
      <w:r w:rsidR="00D76454" w:rsidRPr="00FD3255">
        <w:rPr>
          <w:rFonts w:ascii="宋体" w:hAnsi="宋体" w:cs="宋体" w:hint="eastAsia"/>
          <w:kern w:val="0"/>
          <w:sz w:val="24"/>
        </w:rPr>
        <w:t>，</w:t>
      </w:r>
      <w:r w:rsidR="00CB2111" w:rsidRPr="00FD3255">
        <w:rPr>
          <w:rFonts w:ascii="宋体" w:hAnsi="宋体" w:cs="宋体" w:hint="eastAsia"/>
          <w:kern w:val="0"/>
          <w:sz w:val="24"/>
        </w:rPr>
        <w:t>因此</w:t>
      </w:r>
      <w:r w:rsidR="00D76454" w:rsidRPr="00FD3255">
        <w:rPr>
          <w:rFonts w:ascii="宋体" w:hAnsi="宋体" w:cs="宋体" w:hint="eastAsia"/>
          <w:kern w:val="0"/>
          <w:sz w:val="24"/>
        </w:rPr>
        <w:t>本次</w:t>
      </w:r>
      <w:r w:rsidR="00CB2111" w:rsidRPr="00FD3255">
        <w:rPr>
          <w:rFonts w:ascii="宋体" w:hAnsi="宋体" w:cs="宋体" w:hint="eastAsia"/>
          <w:kern w:val="0"/>
          <w:sz w:val="24"/>
        </w:rPr>
        <w:t>预计的商誉减值准备</w:t>
      </w:r>
      <w:r w:rsidRPr="00FD3255">
        <w:rPr>
          <w:rFonts w:ascii="宋体" w:hAnsi="宋体" w:cs="宋体" w:hint="eastAsia"/>
          <w:kern w:val="0"/>
          <w:sz w:val="24"/>
        </w:rPr>
        <w:t>仅</w:t>
      </w:r>
      <w:r w:rsidR="00017AB9" w:rsidRPr="00FD3255">
        <w:rPr>
          <w:rFonts w:ascii="宋体" w:hAnsi="宋体" w:cs="宋体" w:hint="eastAsia"/>
          <w:kern w:val="0"/>
          <w:sz w:val="24"/>
        </w:rPr>
        <w:t>为初步测算</w:t>
      </w:r>
      <w:r w:rsidRPr="00FD3255">
        <w:rPr>
          <w:rFonts w:ascii="宋体" w:hAnsi="宋体" w:cs="宋体" w:hint="eastAsia"/>
          <w:kern w:val="0"/>
          <w:sz w:val="24"/>
        </w:rPr>
        <w:t>情况</w:t>
      </w:r>
      <w:r w:rsidR="00017AB9" w:rsidRPr="00FD3255">
        <w:rPr>
          <w:rFonts w:ascii="宋体" w:hAnsi="宋体" w:cs="宋体" w:hint="eastAsia"/>
          <w:kern w:val="0"/>
          <w:sz w:val="24"/>
        </w:rPr>
        <w:t>，</w:t>
      </w:r>
      <w:r w:rsidR="007A6C73">
        <w:rPr>
          <w:rFonts w:ascii="宋体" w:hAnsi="宋体" w:cs="宋体" w:hint="eastAsia"/>
          <w:kern w:val="0"/>
          <w:sz w:val="24"/>
        </w:rPr>
        <w:t>存在一定不确定性，</w:t>
      </w:r>
      <w:r w:rsidR="00017AB9" w:rsidRPr="00FD3255">
        <w:rPr>
          <w:rFonts w:ascii="宋体" w:hAnsi="宋体" w:cs="宋体" w:hint="eastAsia"/>
          <w:kern w:val="0"/>
          <w:sz w:val="24"/>
        </w:rPr>
        <w:t>具体准确的数据</w:t>
      </w:r>
      <w:r w:rsidRPr="00FD3255">
        <w:rPr>
          <w:rFonts w:ascii="宋体" w:hAnsi="宋体" w:cs="宋体" w:hint="eastAsia"/>
          <w:kern w:val="0"/>
          <w:sz w:val="24"/>
        </w:rPr>
        <w:t>需</w:t>
      </w:r>
      <w:r w:rsidR="00017AB9" w:rsidRPr="00FD3255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以公司正式披露的经审计后的2018年年报为准</w:t>
      </w:r>
      <w:r w:rsidR="00CB2111" w:rsidRPr="00FD3255">
        <w:rPr>
          <w:rFonts w:ascii="宋体" w:hAnsi="宋体" w:cs="宋体" w:hint="eastAsia"/>
          <w:kern w:val="0"/>
          <w:sz w:val="24"/>
        </w:rPr>
        <w:t>。</w:t>
      </w:r>
    </w:p>
    <w:p w:rsidR="00CA487C" w:rsidRDefault="007A6C73" w:rsidP="00D76454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除此之外，</w:t>
      </w:r>
      <w:r w:rsidR="009E44BA">
        <w:rPr>
          <w:rFonts w:ascii="宋体" w:hAnsi="宋体" w:cs="宋体" w:hint="eastAsia"/>
          <w:kern w:val="0"/>
          <w:sz w:val="24"/>
        </w:rPr>
        <w:t>截至本公告披露日</w:t>
      </w:r>
      <w:r>
        <w:rPr>
          <w:rFonts w:ascii="宋体" w:hAnsi="宋体" w:cs="宋体" w:hint="eastAsia"/>
          <w:kern w:val="0"/>
          <w:sz w:val="24"/>
        </w:rPr>
        <w:t>，</w:t>
      </w:r>
      <w:r w:rsidR="00CA487C" w:rsidRPr="00CA487C">
        <w:rPr>
          <w:rFonts w:ascii="宋体" w:hAnsi="宋体" w:cs="宋体" w:hint="eastAsia"/>
          <w:kern w:val="0"/>
          <w:sz w:val="24"/>
        </w:rPr>
        <w:t>公司不存在其他影响本次业绩预告内容准确性的重大不确定因素。</w:t>
      </w:r>
    </w:p>
    <w:p w:rsidR="00881A6E" w:rsidRPr="00AD4BC7" w:rsidRDefault="00881A6E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lastRenderedPageBreak/>
        <w:t>五</w:t>
      </w:r>
      <w:r w:rsidRPr="00AD4BC7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、其他说明事项</w:t>
      </w:r>
    </w:p>
    <w:p w:rsidR="00881A6E" w:rsidRPr="00AD4BC7" w:rsidRDefault="00881A6E" w:rsidP="00881A6E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以上预告数据仅为初步核算数据，具体准确的财务数据以公司正式披露的经审计后的</w:t>
      </w:r>
      <w:r w:rsidR="00846733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2018</w:t>
      </w: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年年报为准，敬请广大投资者注意投资风险。</w:t>
      </w:r>
    </w:p>
    <w:p w:rsidR="002F3A03" w:rsidRDefault="002F3A03" w:rsidP="00F326D5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</w:p>
    <w:p w:rsidR="00881A6E" w:rsidRPr="00AD4BC7" w:rsidRDefault="00881A6E" w:rsidP="00F326D5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特此公告。</w:t>
      </w:r>
    </w:p>
    <w:p w:rsidR="00160532" w:rsidRDefault="00160532" w:rsidP="00A42F9A">
      <w:pPr>
        <w:spacing w:line="360" w:lineRule="auto"/>
        <w:ind w:firstLineChars="1800" w:firstLine="4320"/>
        <w:jc w:val="right"/>
        <w:rPr>
          <w:rFonts w:ascii="宋体" w:hAnsi="宋体" w:hint="eastAsia"/>
          <w:sz w:val="24"/>
        </w:rPr>
      </w:pPr>
    </w:p>
    <w:p w:rsidR="00160532" w:rsidRDefault="00160532" w:rsidP="00A42F9A">
      <w:pPr>
        <w:spacing w:line="360" w:lineRule="auto"/>
        <w:ind w:firstLineChars="1800" w:firstLine="4320"/>
        <w:jc w:val="right"/>
        <w:rPr>
          <w:rFonts w:ascii="宋体" w:hAnsi="宋体" w:hint="eastAsia"/>
          <w:sz w:val="24"/>
        </w:rPr>
      </w:pPr>
    </w:p>
    <w:p w:rsidR="00A42F9A" w:rsidRDefault="00A42F9A" w:rsidP="00A42F9A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A42F9A" w:rsidRDefault="00A42F9A" w:rsidP="00A42F9A">
      <w:pPr>
        <w:spacing w:line="360" w:lineRule="auto"/>
        <w:ind w:right="72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A42F9A" w:rsidRDefault="00A42F9A" w:rsidP="00A42F9A">
      <w:pPr>
        <w:spacing w:line="360" w:lineRule="auto"/>
        <w:ind w:firstLineChars="2175" w:firstLine="5220"/>
        <w:jc w:val="right"/>
        <w:rPr>
          <w:rFonts w:ascii="宋体" w:hAnsi="宋体"/>
          <w:sz w:val="24"/>
        </w:rPr>
      </w:pPr>
      <w:r w:rsidRPr="000B0B90">
        <w:rPr>
          <w:rFonts w:ascii="宋体" w:hAnsi="宋体" w:hint="eastAsia"/>
          <w:sz w:val="24"/>
        </w:rPr>
        <w:t>2019年1月</w:t>
      </w:r>
      <w:r w:rsidR="009E44BA" w:rsidRPr="000B0B90">
        <w:rPr>
          <w:rFonts w:ascii="宋体" w:hAnsi="宋体" w:hint="eastAsia"/>
          <w:sz w:val="24"/>
        </w:rPr>
        <w:t>3</w:t>
      </w:r>
      <w:r w:rsidR="00C237BB" w:rsidRPr="000B0B90">
        <w:rPr>
          <w:rFonts w:ascii="宋体" w:hAnsi="宋体" w:hint="eastAsia"/>
          <w:sz w:val="24"/>
        </w:rPr>
        <w:t>1</w:t>
      </w:r>
      <w:r w:rsidRPr="000B0B90">
        <w:rPr>
          <w:rFonts w:ascii="宋体" w:hAnsi="宋体" w:hint="eastAsia"/>
          <w:sz w:val="24"/>
        </w:rPr>
        <w:t>日</w:t>
      </w:r>
    </w:p>
    <w:sectPr w:rsidR="00A42F9A" w:rsidSect="00734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F7E" w:rsidRDefault="001A2F7E" w:rsidP="00C65E1C">
      <w:r>
        <w:separator/>
      </w:r>
    </w:p>
  </w:endnote>
  <w:endnote w:type="continuationSeparator" w:id="0">
    <w:p w:rsidR="001A2F7E" w:rsidRDefault="001A2F7E" w:rsidP="00C6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F7E" w:rsidRDefault="001A2F7E" w:rsidP="00C65E1C">
      <w:r>
        <w:separator/>
      </w:r>
    </w:p>
  </w:footnote>
  <w:footnote w:type="continuationSeparator" w:id="0">
    <w:p w:rsidR="001A2F7E" w:rsidRDefault="001A2F7E" w:rsidP="00C6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215B"/>
    <w:multiLevelType w:val="hybridMultilevel"/>
    <w:tmpl w:val="3766926C"/>
    <w:lvl w:ilvl="0" w:tplc="557E16A0">
      <w:start w:val="1"/>
      <w:numFmt w:val="decimal"/>
      <w:lvlText w:val="%1."/>
      <w:lvlJc w:val="left"/>
      <w:pPr>
        <w:ind w:left="1293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1">
    <w:nsid w:val="25335A89"/>
    <w:multiLevelType w:val="hybridMultilevel"/>
    <w:tmpl w:val="E07A4EB2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03"/>
    <w:rsid w:val="00017AB9"/>
    <w:rsid w:val="0003171D"/>
    <w:rsid w:val="000377FA"/>
    <w:rsid w:val="00080C1B"/>
    <w:rsid w:val="00081349"/>
    <w:rsid w:val="000B0B90"/>
    <w:rsid w:val="000D3A03"/>
    <w:rsid w:val="000E64CD"/>
    <w:rsid w:val="00142290"/>
    <w:rsid w:val="001449C0"/>
    <w:rsid w:val="001526BB"/>
    <w:rsid w:val="00160532"/>
    <w:rsid w:val="001A2F7E"/>
    <w:rsid w:val="002335C1"/>
    <w:rsid w:val="00243995"/>
    <w:rsid w:val="002439F8"/>
    <w:rsid w:val="00243A95"/>
    <w:rsid w:val="002473A5"/>
    <w:rsid w:val="002630B8"/>
    <w:rsid w:val="002F0017"/>
    <w:rsid w:val="002F3A03"/>
    <w:rsid w:val="003643D7"/>
    <w:rsid w:val="003B5345"/>
    <w:rsid w:val="003D4762"/>
    <w:rsid w:val="003E36B4"/>
    <w:rsid w:val="003E6ABF"/>
    <w:rsid w:val="00442ADB"/>
    <w:rsid w:val="004460D6"/>
    <w:rsid w:val="004502F4"/>
    <w:rsid w:val="00466A4E"/>
    <w:rsid w:val="004E57CC"/>
    <w:rsid w:val="005176C5"/>
    <w:rsid w:val="00525A5B"/>
    <w:rsid w:val="0053208E"/>
    <w:rsid w:val="00562905"/>
    <w:rsid w:val="005712CB"/>
    <w:rsid w:val="00571B3A"/>
    <w:rsid w:val="0057275C"/>
    <w:rsid w:val="00581118"/>
    <w:rsid w:val="005C7003"/>
    <w:rsid w:val="00615D49"/>
    <w:rsid w:val="00662769"/>
    <w:rsid w:val="00664F73"/>
    <w:rsid w:val="00734354"/>
    <w:rsid w:val="007354A6"/>
    <w:rsid w:val="00744C48"/>
    <w:rsid w:val="00760396"/>
    <w:rsid w:val="007A6C73"/>
    <w:rsid w:val="007D0F4D"/>
    <w:rsid w:val="007E7BE5"/>
    <w:rsid w:val="00802A0A"/>
    <w:rsid w:val="00803F6E"/>
    <w:rsid w:val="0083464C"/>
    <w:rsid w:val="00846733"/>
    <w:rsid w:val="00857E11"/>
    <w:rsid w:val="00861E79"/>
    <w:rsid w:val="008666C2"/>
    <w:rsid w:val="00870679"/>
    <w:rsid w:val="00881A6E"/>
    <w:rsid w:val="0088296D"/>
    <w:rsid w:val="00893296"/>
    <w:rsid w:val="008B725B"/>
    <w:rsid w:val="008F3F4E"/>
    <w:rsid w:val="00921930"/>
    <w:rsid w:val="009E44BA"/>
    <w:rsid w:val="00A42F9A"/>
    <w:rsid w:val="00A51885"/>
    <w:rsid w:val="00AA5792"/>
    <w:rsid w:val="00AC03B1"/>
    <w:rsid w:val="00AE5F25"/>
    <w:rsid w:val="00B07E79"/>
    <w:rsid w:val="00B47F31"/>
    <w:rsid w:val="00B52B96"/>
    <w:rsid w:val="00BF68F7"/>
    <w:rsid w:val="00C237BB"/>
    <w:rsid w:val="00C32F0C"/>
    <w:rsid w:val="00C65E1C"/>
    <w:rsid w:val="00C6659B"/>
    <w:rsid w:val="00CA487C"/>
    <w:rsid w:val="00CB2111"/>
    <w:rsid w:val="00CB59C4"/>
    <w:rsid w:val="00CC65AD"/>
    <w:rsid w:val="00CC70A8"/>
    <w:rsid w:val="00CF138B"/>
    <w:rsid w:val="00D04CBB"/>
    <w:rsid w:val="00D222E2"/>
    <w:rsid w:val="00D35830"/>
    <w:rsid w:val="00D5798B"/>
    <w:rsid w:val="00D6155D"/>
    <w:rsid w:val="00D70BFB"/>
    <w:rsid w:val="00D76454"/>
    <w:rsid w:val="00D93028"/>
    <w:rsid w:val="00DC06D3"/>
    <w:rsid w:val="00DD235C"/>
    <w:rsid w:val="00DF54C7"/>
    <w:rsid w:val="00E220DE"/>
    <w:rsid w:val="00EB7FBA"/>
    <w:rsid w:val="00F1309B"/>
    <w:rsid w:val="00F326D5"/>
    <w:rsid w:val="00FB53E0"/>
    <w:rsid w:val="00FD3255"/>
    <w:rsid w:val="00FE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E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E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E1C"/>
    <w:rPr>
      <w:sz w:val="18"/>
      <w:szCs w:val="18"/>
    </w:rPr>
  </w:style>
  <w:style w:type="paragraph" w:styleId="a5">
    <w:name w:val="List Paragraph"/>
    <w:basedOn w:val="a"/>
    <w:uiPriority w:val="34"/>
    <w:qFormat/>
    <w:rsid w:val="00803F6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47F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7F3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E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E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E1C"/>
    <w:rPr>
      <w:sz w:val="18"/>
      <w:szCs w:val="18"/>
    </w:rPr>
  </w:style>
  <w:style w:type="paragraph" w:styleId="a5">
    <w:name w:val="List Paragraph"/>
    <w:basedOn w:val="a"/>
    <w:uiPriority w:val="34"/>
    <w:qFormat/>
    <w:rsid w:val="00803F6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47F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7F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215</Words>
  <Characters>1229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李锐</dc:creator>
  <cp:lastModifiedBy>李红仙</cp:lastModifiedBy>
  <cp:revision>5</cp:revision>
  <dcterms:created xsi:type="dcterms:W3CDTF">2019-01-30T05:10:00Z</dcterms:created>
  <dcterms:modified xsi:type="dcterms:W3CDTF">2019-01-30T07:34:00Z</dcterms:modified>
</cp:coreProperties>
</file>