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704" w:rsidRDefault="000B7625">
      <w:pPr>
        <w:spacing w:line="360" w:lineRule="auto"/>
        <w:ind w:rightChars="-73" w:right="-153"/>
        <w:jc w:val="center"/>
        <w:rPr>
          <w:rFonts w:ascii="黑体" w:eastAsia="黑体" w:hAnsi="宋体"/>
          <w:b/>
          <w:bCs/>
          <w:color w:val="FF0000"/>
          <w:sz w:val="32"/>
        </w:rPr>
      </w:pPr>
      <w:r>
        <w:rPr>
          <w:rFonts w:ascii="宋体" w:hAnsi="宋体" w:cs="宋体" w:hint="eastAsia"/>
          <w:color w:val="000000"/>
          <w:kern w:val="0"/>
          <w:sz w:val="24"/>
        </w:rPr>
        <w:t>证券代码：600200         证券简称：江苏吴中      公告编号：</w:t>
      </w:r>
      <w:r w:rsidRPr="00663BD6">
        <w:rPr>
          <w:rFonts w:ascii="宋体" w:hAnsi="宋体" w:cs="宋体" w:hint="eastAsia"/>
          <w:color w:val="000000"/>
          <w:kern w:val="0"/>
          <w:sz w:val="24"/>
        </w:rPr>
        <w:t>临2020-055</w:t>
      </w:r>
    </w:p>
    <w:p w:rsidR="00954704" w:rsidRDefault="00954704">
      <w:pPr>
        <w:spacing w:line="360" w:lineRule="auto"/>
        <w:ind w:rightChars="-73" w:right="-153"/>
        <w:jc w:val="center"/>
        <w:rPr>
          <w:rFonts w:ascii="黑体" w:eastAsia="黑体" w:hAnsi="宋体"/>
          <w:b/>
          <w:bCs/>
          <w:color w:val="FF0000"/>
          <w:sz w:val="32"/>
        </w:rPr>
      </w:pPr>
    </w:p>
    <w:p w:rsidR="00954704" w:rsidRDefault="000B7625">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江苏吴中实业股份有限公司</w:t>
      </w:r>
    </w:p>
    <w:p w:rsidR="00954704" w:rsidRDefault="000B7625">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关于控股股东部分股份解除质押的公告</w:t>
      </w:r>
    </w:p>
    <w:p w:rsidR="00954704" w:rsidRDefault="00954704">
      <w:pPr>
        <w:autoSpaceDE w:val="0"/>
        <w:autoSpaceDN w:val="0"/>
        <w:adjustRightInd w:val="0"/>
        <w:spacing w:line="360" w:lineRule="auto"/>
        <w:ind w:firstLineChars="200" w:firstLine="482"/>
        <w:rPr>
          <w:rFonts w:ascii="ˎ̥" w:hAnsi="ˎ̥" w:hint="eastAsia"/>
          <w:b/>
          <w:sz w:val="24"/>
        </w:rPr>
      </w:pPr>
    </w:p>
    <w:p w:rsidR="00954704" w:rsidRDefault="000B7625">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954704" w:rsidRDefault="00954704">
      <w:pPr>
        <w:spacing w:line="420" w:lineRule="exact"/>
        <w:rPr>
          <w:rFonts w:ascii="宋体" w:cs="宋体"/>
          <w:color w:val="000000"/>
          <w:kern w:val="0"/>
          <w:sz w:val="24"/>
        </w:rPr>
      </w:pPr>
    </w:p>
    <w:p w:rsidR="00954704" w:rsidRDefault="000B7625">
      <w:pPr>
        <w:autoSpaceDE w:val="0"/>
        <w:autoSpaceDN w:val="0"/>
        <w:adjustRightInd w:val="0"/>
        <w:spacing w:line="360" w:lineRule="auto"/>
        <w:ind w:firstLineChars="200" w:firstLine="482"/>
        <w:rPr>
          <w:rFonts w:ascii="宋体" w:hAnsi="宋体"/>
          <w:b/>
          <w:sz w:val="24"/>
        </w:rPr>
      </w:pPr>
      <w:r>
        <w:rPr>
          <w:rFonts w:ascii="宋体" w:hAnsi="宋体" w:hint="eastAsia"/>
          <w:b/>
          <w:sz w:val="24"/>
        </w:rPr>
        <w:t>重要内容提示：</w:t>
      </w:r>
    </w:p>
    <w:p w:rsidR="00954704" w:rsidRDefault="000B7625">
      <w:pPr>
        <w:numPr>
          <w:ilvl w:val="0"/>
          <w:numId w:val="1"/>
        </w:numPr>
        <w:adjustRightInd w:val="0"/>
        <w:snapToGrid w:val="0"/>
        <w:spacing w:line="360" w:lineRule="auto"/>
        <w:rPr>
          <w:rFonts w:ascii="宋体" w:hAnsi="宋体"/>
          <w:color w:val="000000"/>
          <w:sz w:val="24"/>
        </w:rPr>
      </w:pPr>
      <w:r>
        <w:rPr>
          <w:rFonts w:ascii="宋体" w:hAnsi="宋体" w:hint="eastAsia"/>
          <w:color w:val="000000"/>
          <w:sz w:val="24"/>
        </w:rPr>
        <w:t>截至本公告披露日，江苏吴中实业股份有限公司（以下简称“公司”）控股股东苏州吴中投资控股有限公司（以下简称“控股股东”）持有公司122,795,762股股份（均为无限</w:t>
      </w:r>
      <w:proofErr w:type="gramStart"/>
      <w:r>
        <w:rPr>
          <w:rFonts w:ascii="宋体" w:hAnsi="宋体" w:hint="eastAsia"/>
          <w:color w:val="000000"/>
          <w:sz w:val="24"/>
        </w:rPr>
        <w:t>售流通</w:t>
      </w:r>
      <w:proofErr w:type="gramEnd"/>
      <w:r>
        <w:rPr>
          <w:rFonts w:ascii="宋体" w:hAnsi="宋体" w:hint="eastAsia"/>
          <w:color w:val="000000"/>
          <w:sz w:val="24"/>
        </w:rPr>
        <w:t>股），占公司总股本的17.24%。</w:t>
      </w:r>
    </w:p>
    <w:p w:rsidR="00954704" w:rsidRDefault="000B7625">
      <w:pPr>
        <w:numPr>
          <w:ilvl w:val="0"/>
          <w:numId w:val="1"/>
        </w:numPr>
        <w:adjustRightInd w:val="0"/>
        <w:snapToGrid w:val="0"/>
        <w:spacing w:line="360" w:lineRule="auto"/>
        <w:rPr>
          <w:rFonts w:ascii="宋体" w:hAnsi="宋体"/>
          <w:color w:val="000000"/>
          <w:sz w:val="24"/>
        </w:rPr>
      </w:pPr>
      <w:r>
        <w:rPr>
          <w:rFonts w:ascii="宋体" w:hAnsi="宋体" w:hint="eastAsia"/>
          <w:color w:val="000000"/>
          <w:sz w:val="24"/>
        </w:rPr>
        <w:t>本次部分股份解除质押</w:t>
      </w:r>
      <w:r w:rsidRPr="00663BD6">
        <w:rPr>
          <w:rFonts w:ascii="宋体" w:hAnsi="宋体" w:hint="eastAsia"/>
          <w:color w:val="000000"/>
          <w:sz w:val="24"/>
        </w:rPr>
        <w:t>后，</w:t>
      </w:r>
      <w:r w:rsidR="00663BD6" w:rsidRPr="00663BD6">
        <w:rPr>
          <w:rFonts w:ascii="宋体" w:hAnsi="宋体" w:hint="eastAsia"/>
          <w:color w:val="000000"/>
          <w:sz w:val="24"/>
        </w:rPr>
        <w:t>控股股东累计质押股份数量</w:t>
      </w:r>
      <w:r w:rsidRPr="00663BD6">
        <w:rPr>
          <w:rFonts w:ascii="宋体" w:hAnsi="宋体" w:hint="eastAsia"/>
          <w:color w:val="000000"/>
          <w:sz w:val="24"/>
        </w:rPr>
        <w:t>83</w:t>
      </w:r>
      <w:r w:rsidR="00663BD6" w:rsidRPr="00663BD6">
        <w:rPr>
          <w:rFonts w:ascii="宋体" w:hAnsi="宋体" w:hint="eastAsia"/>
          <w:color w:val="000000"/>
          <w:sz w:val="24"/>
        </w:rPr>
        <w:t>,</w:t>
      </w:r>
      <w:r w:rsidRPr="00663BD6">
        <w:rPr>
          <w:rFonts w:ascii="宋体" w:hAnsi="宋体" w:hint="eastAsia"/>
          <w:color w:val="000000"/>
          <w:sz w:val="24"/>
        </w:rPr>
        <w:t>300</w:t>
      </w:r>
      <w:r w:rsidR="00663BD6" w:rsidRPr="00663BD6">
        <w:rPr>
          <w:rFonts w:ascii="宋体" w:hAnsi="宋体" w:hint="eastAsia"/>
          <w:color w:val="000000"/>
          <w:sz w:val="24"/>
        </w:rPr>
        <w:t>,</w:t>
      </w:r>
      <w:r w:rsidRPr="00663BD6">
        <w:rPr>
          <w:rFonts w:ascii="宋体" w:hAnsi="宋体" w:hint="eastAsia"/>
          <w:color w:val="000000"/>
          <w:sz w:val="24"/>
        </w:rPr>
        <w:t>000</w:t>
      </w:r>
      <w:r w:rsidR="00663BD6" w:rsidRPr="00663BD6">
        <w:rPr>
          <w:rFonts w:ascii="宋体" w:hAnsi="宋体" w:hint="eastAsia"/>
          <w:color w:val="000000"/>
          <w:sz w:val="24"/>
        </w:rPr>
        <w:t>股，占其持有公司股份总数的</w:t>
      </w:r>
      <w:r w:rsidRPr="00663BD6">
        <w:rPr>
          <w:rFonts w:ascii="宋体" w:hAnsi="宋体" w:hint="eastAsia"/>
          <w:color w:val="000000"/>
          <w:sz w:val="24"/>
        </w:rPr>
        <w:t>67.84%</w:t>
      </w:r>
      <w:r w:rsidR="00663BD6" w:rsidRPr="00663BD6">
        <w:rPr>
          <w:rFonts w:ascii="宋体" w:hAnsi="宋体" w:hint="eastAsia"/>
          <w:color w:val="000000"/>
          <w:sz w:val="24"/>
        </w:rPr>
        <w:t>，占公司总股本的</w:t>
      </w:r>
      <w:r w:rsidRPr="00663BD6">
        <w:rPr>
          <w:rFonts w:ascii="宋体" w:hAnsi="宋体" w:hint="eastAsia"/>
          <w:color w:val="000000"/>
          <w:sz w:val="24"/>
        </w:rPr>
        <w:t>11.69%。</w:t>
      </w:r>
    </w:p>
    <w:p w:rsidR="00954704" w:rsidRDefault="00954704">
      <w:pPr>
        <w:spacing w:line="420" w:lineRule="exact"/>
        <w:rPr>
          <w:rFonts w:ascii="宋体" w:cs="宋体"/>
          <w:color w:val="000000"/>
          <w:kern w:val="0"/>
          <w:sz w:val="24"/>
        </w:rPr>
      </w:pPr>
    </w:p>
    <w:p w:rsidR="00954704" w:rsidRDefault="000B7625">
      <w:pPr>
        <w:spacing w:line="420" w:lineRule="exact"/>
        <w:rPr>
          <w:rFonts w:ascii="宋体" w:cs="宋体"/>
          <w:b/>
          <w:color w:val="000000"/>
          <w:kern w:val="0"/>
          <w:sz w:val="24"/>
        </w:rPr>
      </w:pPr>
      <w:r>
        <w:rPr>
          <w:rFonts w:ascii="宋体" w:cs="宋体" w:hint="eastAsia"/>
          <w:color w:val="000000"/>
          <w:kern w:val="0"/>
          <w:sz w:val="24"/>
        </w:rPr>
        <w:t xml:space="preserve">    </w:t>
      </w:r>
      <w:r>
        <w:rPr>
          <w:rFonts w:ascii="宋体" w:cs="宋体" w:hint="eastAsia"/>
          <w:b/>
          <w:color w:val="000000"/>
          <w:kern w:val="0"/>
          <w:sz w:val="24"/>
        </w:rPr>
        <w:t>一、本次部分股份解除质押的情况</w:t>
      </w:r>
    </w:p>
    <w:p w:rsidR="00954704" w:rsidRDefault="000B7625">
      <w:pPr>
        <w:spacing w:line="420" w:lineRule="exact"/>
        <w:rPr>
          <w:rFonts w:asciiTheme="minorEastAsia" w:eastAsiaTheme="minorEastAsia" w:hAnsiTheme="minorEastAsia"/>
          <w:sz w:val="24"/>
        </w:rPr>
      </w:pPr>
      <w:r>
        <w:rPr>
          <w:rFonts w:hint="eastAsia"/>
          <w:sz w:val="24"/>
        </w:rPr>
        <w:t xml:space="preserve">    </w:t>
      </w:r>
      <w:r>
        <w:rPr>
          <w:rFonts w:asciiTheme="minorEastAsia" w:eastAsiaTheme="minorEastAsia" w:hAnsiTheme="minorEastAsia" w:hint="eastAsia"/>
          <w:sz w:val="24"/>
        </w:rPr>
        <w:t>公司于2020</w:t>
      </w:r>
      <w:r w:rsidRPr="00663BD6">
        <w:rPr>
          <w:rFonts w:asciiTheme="minorEastAsia" w:eastAsiaTheme="minorEastAsia" w:hAnsiTheme="minorEastAsia" w:hint="eastAsia"/>
          <w:sz w:val="24"/>
        </w:rPr>
        <w:t>年8月31日收</w:t>
      </w:r>
      <w:r>
        <w:rPr>
          <w:rFonts w:asciiTheme="minorEastAsia" w:eastAsiaTheme="minorEastAsia" w:hAnsiTheme="minorEastAsia" w:hint="eastAsia"/>
          <w:sz w:val="24"/>
        </w:rPr>
        <w:t>到控股股东苏州吴中投资控股有限公司关于部分股份解除质押的通知，控股股东将质</w:t>
      </w:r>
      <w:r w:rsidRPr="00E63018">
        <w:rPr>
          <w:rFonts w:asciiTheme="minorEastAsia" w:eastAsiaTheme="minorEastAsia" w:hAnsiTheme="minorEastAsia" w:hint="eastAsia"/>
          <w:sz w:val="24"/>
        </w:rPr>
        <w:t>押给</w:t>
      </w:r>
      <w:r w:rsidR="00E63018" w:rsidRPr="00E63018">
        <w:rPr>
          <w:rFonts w:asciiTheme="minorEastAsia" w:eastAsiaTheme="minorEastAsia" w:hAnsiTheme="minorEastAsia" w:hint="eastAsia"/>
          <w:sz w:val="24"/>
        </w:rPr>
        <w:t>江苏张家港农村商业银行股份有限公司苏州分行的共计10,000,000股股份</w:t>
      </w:r>
      <w:r>
        <w:rPr>
          <w:rFonts w:asciiTheme="minorEastAsia" w:eastAsiaTheme="minorEastAsia" w:hAnsiTheme="minorEastAsia" w:hint="eastAsia"/>
          <w:sz w:val="24"/>
        </w:rPr>
        <w:t>办理了质押解除手续。具体情况如下：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3732"/>
      </w:tblGrid>
      <w:tr w:rsidR="00954704">
        <w:tc>
          <w:tcPr>
            <w:tcW w:w="4644" w:type="dxa"/>
            <w:vAlign w:val="center"/>
          </w:tcPr>
          <w:p w:rsidR="00954704" w:rsidRDefault="000B7625">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股东名称</w:t>
            </w:r>
          </w:p>
        </w:tc>
        <w:tc>
          <w:tcPr>
            <w:tcW w:w="3732" w:type="dxa"/>
            <w:vAlign w:val="center"/>
          </w:tcPr>
          <w:p w:rsidR="00954704" w:rsidRDefault="000B7625">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苏州吴中投资控股有限公司</w:t>
            </w:r>
          </w:p>
        </w:tc>
      </w:tr>
      <w:tr w:rsidR="00954704" w:rsidRPr="00E63018">
        <w:tc>
          <w:tcPr>
            <w:tcW w:w="4644" w:type="dxa"/>
            <w:vAlign w:val="center"/>
          </w:tcPr>
          <w:p w:rsidR="00954704" w:rsidRPr="00E63018" w:rsidRDefault="000B7625">
            <w:pPr>
              <w:adjustRightInd w:val="0"/>
              <w:snapToGrid w:val="0"/>
              <w:spacing w:line="360" w:lineRule="auto"/>
              <w:jc w:val="left"/>
              <w:rPr>
                <w:rFonts w:asciiTheme="minorEastAsia" w:eastAsiaTheme="minorEastAsia" w:hAnsiTheme="minorEastAsia"/>
                <w:szCs w:val="21"/>
              </w:rPr>
            </w:pPr>
            <w:r w:rsidRPr="00E63018">
              <w:rPr>
                <w:rFonts w:asciiTheme="minorEastAsia" w:eastAsiaTheme="minorEastAsia" w:hAnsiTheme="minorEastAsia" w:hint="eastAsia"/>
                <w:szCs w:val="21"/>
              </w:rPr>
              <w:t>本次</w:t>
            </w:r>
            <w:r w:rsidRPr="00E63018">
              <w:rPr>
                <w:rFonts w:asciiTheme="minorEastAsia" w:eastAsiaTheme="minorEastAsia" w:hAnsiTheme="minorEastAsia"/>
                <w:szCs w:val="21"/>
              </w:rPr>
              <w:t>解质股份</w:t>
            </w:r>
          </w:p>
        </w:tc>
        <w:tc>
          <w:tcPr>
            <w:tcW w:w="3732" w:type="dxa"/>
            <w:vAlign w:val="center"/>
          </w:tcPr>
          <w:p w:rsidR="00954704" w:rsidRPr="00E63018" w:rsidRDefault="000B7625">
            <w:pPr>
              <w:adjustRightInd w:val="0"/>
              <w:snapToGrid w:val="0"/>
              <w:spacing w:line="360" w:lineRule="auto"/>
              <w:jc w:val="center"/>
              <w:rPr>
                <w:rFonts w:asciiTheme="minorEastAsia" w:eastAsiaTheme="minorEastAsia" w:hAnsiTheme="minorEastAsia"/>
                <w:szCs w:val="21"/>
              </w:rPr>
            </w:pPr>
            <w:r w:rsidRPr="00E63018">
              <w:rPr>
                <w:rFonts w:asciiTheme="minorEastAsia" w:eastAsiaTheme="minorEastAsia" w:hAnsiTheme="minorEastAsia" w:hint="eastAsia"/>
                <w:szCs w:val="21"/>
              </w:rPr>
              <w:t>10</w:t>
            </w:r>
            <w:r w:rsidR="00E63018" w:rsidRPr="00E63018">
              <w:rPr>
                <w:rFonts w:asciiTheme="minorEastAsia" w:eastAsiaTheme="minorEastAsia" w:hAnsiTheme="minorEastAsia" w:hint="eastAsia"/>
                <w:szCs w:val="21"/>
              </w:rPr>
              <w:t>,</w:t>
            </w:r>
            <w:r w:rsidRPr="00E63018">
              <w:rPr>
                <w:rFonts w:asciiTheme="minorEastAsia" w:eastAsiaTheme="minorEastAsia" w:hAnsiTheme="minorEastAsia" w:hint="eastAsia"/>
                <w:szCs w:val="21"/>
              </w:rPr>
              <w:t>000</w:t>
            </w:r>
            <w:r w:rsidR="00E63018" w:rsidRPr="00E63018">
              <w:rPr>
                <w:rFonts w:asciiTheme="minorEastAsia" w:eastAsiaTheme="minorEastAsia" w:hAnsiTheme="minorEastAsia" w:hint="eastAsia"/>
                <w:szCs w:val="21"/>
              </w:rPr>
              <w:t>,</w:t>
            </w:r>
            <w:r w:rsidRPr="00E63018">
              <w:rPr>
                <w:rFonts w:asciiTheme="minorEastAsia" w:eastAsiaTheme="minorEastAsia" w:hAnsiTheme="minorEastAsia" w:hint="eastAsia"/>
                <w:szCs w:val="21"/>
              </w:rPr>
              <w:t>000股</w:t>
            </w:r>
          </w:p>
        </w:tc>
      </w:tr>
      <w:tr w:rsidR="00954704" w:rsidRPr="00E63018">
        <w:tc>
          <w:tcPr>
            <w:tcW w:w="4644" w:type="dxa"/>
            <w:vAlign w:val="center"/>
          </w:tcPr>
          <w:p w:rsidR="00954704" w:rsidRPr="00E63018" w:rsidRDefault="000B7625">
            <w:pPr>
              <w:adjustRightInd w:val="0"/>
              <w:snapToGrid w:val="0"/>
              <w:spacing w:line="360" w:lineRule="auto"/>
              <w:jc w:val="left"/>
              <w:rPr>
                <w:rFonts w:asciiTheme="minorEastAsia" w:eastAsiaTheme="minorEastAsia" w:hAnsiTheme="minorEastAsia"/>
                <w:szCs w:val="21"/>
              </w:rPr>
            </w:pPr>
            <w:r w:rsidRPr="00E63018">
              <w:rPr>
                <w:rFonts w:asciiTheme="minorEastAsia" w:eastAsiaTheme="minorEastAsia" w:hAnsiTheme="minorEastAsia"/>
                <w:szCs w:val="21"/>
              </w:rPr>
              <w:t>占</w:t>
            </w:r>
            <w:r w:rsidRPr="00E63018">
              <w:rPr>
                <w:rFonts w:asciiTheme="minorEastAsia" w:eastAsiaTheme="minorEastAsia" w:hAnsiTheme="minorEastAsia" w:hint="eastAsia"/>
                <w:szCs w:val="21"/>
              </w:rPr>
              <w:t>其所持股份</w:t>
            </w:r>
            <w:r w:rsidRPr="00E63018">
              <w:rPr>
                <w:rFonts w:asciiTheme="minorEastAsia" w:eastAsiaTheme="minorEastAsia" w:hAnsiTheme="minorEastAsia"/>
                <w:szCs w:val="21"/>
              </w:rPr>
              <w:t>比例</w:t>
            </w:r>
          </w:p>
        </w:tc>
        <w:tc>
          <w:tcPr>
            <w:tcW w:w="3732" w:type="dxa"/>
            <w:vAlign w:val="center"/>
          </w:tcPr>
          <w:p w:rsidR="00954704" w:rsidRPr="00E63018" w:rsidRDefault="000B7625">
            <w:pPr>
              <w:adjustRightInd w:val="0"/>
              <w:snapToGrid w:val="0"/>
              <w:spacing w:line="360" w:lineRule="auto"/>
              <w:jc w:val="center"/>
              <w:rPr>
                <w:rFonts w:asciiTheme="minorEastAsia" w:eastAsiaTheme="minorEastAsia" w:hAnsiTheme="minorEastAsia"/>
                <w:szCs w:val="21"/>
              </w:rPr>
            </w:pPr>
            <w:r w:rsidRPr="00E63018">
              <w:rPr>
                <w:rFonts w:asciiTheme="minorEastAsia" w:eastAsiaTheme="minorEastAsia" w:hAnsiTheme="minorEastAsia" w:hint="eastAsia"/>
                <w:szCs w:val="21"/>
              </w:rPr>
              <w:t>8.14%</w:t>
            </w:r>
          </w:p>
        </w:tc>
      </w:tr>
      <w:tr w:rsidR="00954704" w:rsidRPr="00E63018">
        <w:tc>
          <w:tcPr>
            <w:tcW w:w="4644" w:type="dxa"/>
            <w:vAlign w:val="center"/>
          </w:tcPr>
          <w:p w:rsidR="00954704" w:rsidRPr="00E63018" w:rsidRDefault="000B7625">
            <w:pPr>
              <w:adjustRightInd w:val="0"/>
              <w:snapToGrid w:val="0"/>
              <w:spacing w:line="360" w:lineRule="auto"/>
              <w:jc w:val="left"/>
              <w:rPr>
                <w:rFonts w:asciiTheme="minorEastAsia" w:eastAsiaTheme="minorEastAsia" w:hAnsiTheme="minorEastAsia"/>
                <w:szCs w:val="21"/>
              </w:rPr>
            </w:pPr>
            <w:r w:rsidRPr="00E63018">
              <w:rPr>
                <w:rFonts w:asciiTheme="minorEastAsia" w:eastAsiaTheme="minorEastAsia" w:hAnsiTheme="minorEastAsia" w:hint="eastAsia"/>
                <w:szCs w:val="21"/>
              </w:rPr>
              <w:t>占公司总股本比例</w:t>
            </w:r>
          </w:p>
        </w:tc>
        <w:tc>
          <w:tcPr>
            <w:tcW w:w="3732" w:type="dxa"/>
            <w:vAlign w:val="center"/>
          </w:tcPr>
          <w:p w:rsidR="00954704" w:rsidRPr="00E63018" w:rsidRDefault="000B7625">
            <w:pPr>
              <w:adjustRightInd w:val="0"/>
              <w:snapToGrid w:val="0"/>
              <w:spacing w:line="360" w:lineRule="auto"/>
              <w:jc w:val="center"/>
              <w:rPr>
                <w:rFonts w:asciiTheme="minorEastAsia" w:eastAsiaTheme="minorEastAsia" w:hAnsiTheme="minorEastAsia"/>
                <w:szCs w:val="21"/>
              </w:rPr>
            </w:pPr>
            <w:r w:rsidRPr="00E63018">
              <w:rPr>
                <w:rFonts w:asciiTheme="minorEastAsia" w:eastAsiaTheme="minorEastAsia" w:hAnsiTheme="minorEastAsia" w:hint="eastAsia"/>
                <w:szCs w:val="21"/>
              </w:rPr>
              <w:t>1.4</w:t>
            </w:r>
            <w:r>
              <w:rPr>
                <w:rFonts w:asciiTheme="minorEastAsia" w:eastAsiaTheme="minorEastAsia" w:hAnsiTheme="minorEastAsia" w:hint="eastAsia"/>
                <w:szCs w:val="21"/>
              </w:rPr>
              <w:t>0</w:t>
            </w:r>
            <w:r w:rsidRPr="00E63018">
              <w:rPr>
                <w:rFonts w:asciiTheme="minorEastAsia" w:eastAsiaTheme="minorEastAsia" w:hAnsiTheme="minorEastAsia" w:hint="eastAsia"/>
                <w:szCs w:val="21"/>
              </w:rPr>
              <w:t>%</w:t>
            </w:r>
          </w:p>
        </w:tc>
      </w:tr>
      <w:tr w:rsidR="00954704" w:rsidRPr="00E63018">
        <w:tc>
          <w:tcPr>
            <w:tcW w:w="4644" w:type="dxa"/>
            <w:vAlign w:val="center"/>
          </w:tcPr>
          <w:p w:rsidR="00954704" w:rsidRPr="00E63018" w:rsidRDefault="000B7625">
            <w:pPr>
              <w:adjustRightInd w:val="0"/>
              <w:snapToGrid w:val="0"/>
              <w:spacing w:line="360" w:lineRule="auto"/>
              <w:jc w:val="left"/>
              <w:rPr>
                <w:rFonts w:asciiTheme="minorEastAsia" w:eastAsiaTheme="minorEastAsia" w:hAnsiTheme="minorEastAsia"/>
                <w:szCs w:val="21"/>
              </w:rPr>
            </w:pPr>
            <w:r w:rsidRPr="00E63018">
              <w:rPr>
                <w:rFonts w:asciiTheme="minorEastAsia" w:eastAsiaTheme="minorEastAsia" w:hAnsiTheme="minorEastAsia"/>
                <w:szCs w:val="21"/>
              </w:rPr>
              <w:t>解</w:t>
            </w:r>
            <w:proofErr w:type="gramStart"/>
            <w:r w:rsidRPr="00E63018">
              <w:rPr>
                <w:rFonts w:asciiTheme="minorEastAsia" w:eastAsiaTheme="minorEastAsia" w:hAnsiTheme="minorEastAsia"/>
                <w:szCs w:val="21"/>
              </w:rPr>
              <w:t>质时间</w:t>
            </w:r>
            <w:proofErr w:type="gramEnd"/>
          </w:p>
        </w:tc>
        <w:tc>
          <w:tcPr>
            <w:tcW w:w="3732" w:type="dxa"/>
            <w:vAlign w:val="center"/>
          </w:tcPr>
          <w:p w:rsidR="00954704" w:rsidRPr="00E63018" w:rsidRDefault="000B7625">
            <w:pPr>
              <w:adjustRightInd w:val="0"/>
              <w:snapToGrid w:val="0"/>
              <w:spacing w:line="360" w:lineRule="auto"/>
              <w:jc w:val="center"/>
              <w:rPr>
                <w:rFonts w:asciiTheme="minorEastAsia" w:eastAsiaTheme="minorEastAsia" w:hAnsiTheme="minorEastAsia"/>
                <w:szCs w:val="21"/>
              </w:rPr>
            </w:pPr>
            <w:r w:rsidRPr="00E63018">
              <w:rPr>
                <w:rFonts w:asciiTheme="minorEastAsia" w:eastAsiaTheme="minorEastAsia" w:hAnsiTheme="minorEastAsia" w:hint="eastAsia"/>
                <w:szCs w:val="21"/>
              </w:rPr>
              <w:t>2020</w:t>
            </w:r>
            <w:r w:rsidR="00E63018" w:rsidRPr="00E63018">
              <w:rPr>
                <w:rFonts w:asciiTheme="minorEastAsia" w:eastAsiaTheme="minorEastAsia" w:hAnsiTheme="minorEastAsia" w:hint="eastAsia"/>
                <w:szCs w:val="21"/>
              </w:rPr>
              <w:t>年</w:t>
            </w:r>
            <w:r w:rsidRPr="00E63018">
              <w:rPr>
                <w:rFonts w:asciiTheme="minorEastAsia" w:eastAsiaTheme="minorEastAsia" w:hAnsiTheme="minorEastAsia" w:hint="eastAsia"/>
                <w:szCs w:val="21"/>
              </w:rPr>
              <w:t>8</w:t>
            </w:r>
            <w:r w:rsidR="00E63018" w:rsidRPr="00E63018">
              <w:rPr>
                <w:rFonts w:asciiTheme="minorEastAsia" w:eastAsiaTheme="minorEastAsia" w:hAnsiTheme="minorEastAsia" w:hint="eastAsia"/>
                <w:szCs w:val="21"/>
              </w:rPr>
              <w:t>月</w:t>
            </w:r>
            <w:r w:rsidRPr="00E63018">
              <w:rPr>
                <w:rFonts w:asciiTheme="minorEastAsia" w:eastAsiaTheme="minorEastAsia" w:hAnsiTheme="minorEastAsia" w:hint="eastAsia"/>
                <w:szCs w:val="21"/>
              </w:rPr>
              <w:t>28日</w:t>
            </w:r>
          </w:p>
        </w:tc>
      </w:tr>
      <w:tr w:rsidR="00954704" w:rsidRPr="00E63018">
        <w:tc>
          <w:tcPr>
            <w:tcW w:w="4644" w:type="dxa"/>
            <w:vAlign w:val="center"/>
          </w:tcPr>
          <w:p w:rsidR="00954704" w:rsidRPr="00E63018" w:rsidRDefault="000B7625">
            <w:pPr>
              <w:adjustRightInd w:val="0"/>
              <w:snapToGrid w:val="0"/>
              <w:spacing w:line="360" w:lineRule="auto"/>
              <w:jc w:val="left"/>
              <w:rPr>
                <w:rFonts w:asciiTheme="minorEastAsia" w:eastAsiaTheme="minorEastAsia" w:hAnsiTheme="minorEastAsia"/>
                <w:szCs w:val="21"/>
              </w:rPr>
            </w:pPr>
            <w:r w:rsidRPr="00E63018">
              <w:rPr>
                <w:rFonts w:asciiTheme="minorEastAsia" w:eastAsiaTheme="minorEastAsia" w:hAnsiTheme="minorEastAsia" w:hint="eastAsia"/>
                <w:szCs w:val="21"/>
              </w:rPr>
              <w:t>持股数量</w:t>
            </w:r>
          </w:p>
        </w:tc>
        <w:tc>
          <w:tcPr>
            <w:tcW w:w="3732" w:type="dxa"/>
            <w:vAlign w:val="center"/>
          </w:tcPr>
          <w:p w:rsidR="00954704" w:rsidRPr="00E63018" w:rsidRDefault="000B7625">
            <w:pPr>
              <w:adjustRightInd w:val="0"/>
              <w:snapToGrid w:val="0"/>
              <w:spacing w:line="360" w:lineRule="auto"/>
              <w:jc w:val="center"/>
              <w:rPr>
                <w:rFonts w:asciiTheme="minorEastAsia" w:eastAsiaTheme="minorEastAsia" w:hAnsiTheme="minorEastAsia"/>
                <w:szCs w:val="21"/>
              </w:rPr>
            </w:pPr>
            <w:r w:rsidRPr="00E63018">
              <w:rPr>
                <w:rFonts w:asciiTheme="minorEastAsia" w:eastAsiaTheme="minorEastAsia" w:hAnsiTheme="minorEastAsia" w:hint="eastAsia"/>
                <w:szCs w:val="21"/>
              </w:rPr>
              <w:t>122,795,762股</w:t>
            </w:r>
          </w:p>
        </w:tc>
      </w:tr>
      <w:tr w:rsidR="00954704" w:rsidRPr="00E63018">
        <w:tc>
          <w:tcPr>
            <w:tcW w:w="4644" w:type="dxa"/>
            <w:vAlign w:val="center"/>
          </w:tcPr>
          <w:p w:rsidR="00954704" w:rsidRPr="00E63018" w:rsidRDefault="000B7625">
            <w:pPr>
              <w:adjustRightInd w:val="0"/>
              <w:snapToGrid w:val="0"/>
              <w:spacing w:line="360" w:lineRule="auto"/>
              <w:jc w:val="left"/>
              <w:rPr>
                <w:rFonts w:asciiTheme="minorEastAsia" w:eastAsiaTheme="minorEastAsia" w:hAnsiTheme="minorEastAsia"/>
                <w:szCs w:val="21"/>
              </w:rPr>
            </w:pPr>
            <w:r w:rsidRPr="00E63018">
              <w:rPr>
                <w:rFonts w:asciiTheme="minorEastAsia" w:eastAsiaTheme="minorEastAsia" w:hAnsiTheme="minorEastAsia" w:hint="eastAsia"/>
                <w:szCs w:val="21"/>
              </w:rPr>
              <w:t>持股比例</w:t>
            </w:r>
          </w:p>
        </w:tc>
        <w:tc>
          <w:tcPr>
            <w:tcW w:w="3732" w:type="dxa"/>
            <w:vAlign w:val="center"/>
          </w:tcPr>
          <w:p w:rsidR="00954704" w:rsidRPr="00E63018" w:rsidRDefault="000B7625">
            <w:pPr>
              <w:adjustRightInd w:val="0"/>
              <w:snapToGrid w:val="0"/>
              <w:spacing w:line="360" w:lineRule="auto"/>
              <w:jc w:val="center"/>
              <w:rPr>
                <w:rFonts w:asciiTheme="minorEastAsia" w:eastAsiaTheme="minorEastAsia" w:hAnsiTheme="minorEastAsia"/>
                <w:szCs w:val="21"/>
              </w:rPr>
            </w:pPr>
            <w:r w:rsidRPr="00E63018">
              <w:rPr>
                <w:rFonts w:asciiTheme="minorEastAsia" w:eastAsiaTheme="minorEastAsia" w:hAnsiTheme="minorEastAsia" w:hint="eastAsia"/>
                <w:szCs w:val="21"/>
              </w:rPr>
              <w:t>17.24%</w:t>
            </w:r>
          </w:p>
        </w:tc>
      </w:tr>
      <w:tr w:rsidR="00954704" w:rsidRPr="00E63018">
        <w:tc>
          <w:tcPr>
            <w:tcW w:w="4644" w:type="dxa"/>
            <w:vAlign w:val="center"/>
          </w:tcPr>
          <w:p w:rsidR="00954704" w:rsidRPr="00E63018" w:rsidRDefault="000B7625">
            <w:pPr>
              <w:adjustRightInd w:val="0"/>
              <w:snapToGrid w:val="0"/>
              <w:spacing w:line="360" w:lineRule="auto"/>
              <w:jc w:val="left"/>
              <w:rPr>
                <w:rFonts w:asciiTheme="minorEastAsia" w:eastAsiaTheme="minorEastAsia" w:hAnsiTheme="minorEastAsia"/>
                <w:szCs w:val="21"/>
              </w:rPr>
            </w:pPr>
            <w:r w:rsidRPr="00E63018">
              <w:rPr>
                <w:rFonts w:asciiTheme="minorEastAsia" w:eastAsiaTheme="minorEastAsia" w:hAnsiTheme="minorEastAsia"/>
                <w:szCs w:val="21"/>
              </w:rPr>
              <w:t>剩余被质押</w:t>
            </w:r>
            <w:r w:rsidRPr="00E63018">
              <w:rPr>
                <w:rFonts w:asciiTheme="minorEastAsia" w:eastAsiaTheme="minorEastAsia" w:hAnsiTheme="minorEastAsia" w:hint="eastAsia"/>
                <w:szCs w:val="21"/>
              </w:rPr>
              <w:t>股份数量</w:t>
            </w:r>
          </w:p>
        </w:tc>
        <w:tc>
          <w:tcPr>
            <w:tcW w:w="3732" w:type="dxa"/>
            <w:vAlign w:val="center"/>
          </w:tcPr>
          <w:p w:rsidR="00954704" w:rsidRPr="00E63018" w:rsidRDefault="000B7625">
            <w:pPr>
              <w:adjustRightInd w:val="0"/>
              <w:snapToGrid w:val="0"/>
              <w:spacing w:line="360" w:lineRule="auto"/>
              <w:jc w:val="center"/>
              <w:rPr>
                <w:rFonts w:asciiTheme="minorEastAsia" w:eastAsiaTheme="minorEastAsia" w:hAnsiTheme="minorEastAsia"/>
                <w:szCs w:val="21"/>
              </w:rPr>
            </w:pPr>
            <w:r w:rsidRPr="00E63018">
              <w:rPr>
                <w:rFonts w:asciiTheme="minorEastAsia" w:eastAsiaTheme="minorEastAsia" w:hAnsiTheme="minorEastAsia" w:hint="eastAsia"/>
                <w:szCs w:val="21"/>
              </w:rPr>
              <w:t>83</w:t>
            </w:r>
            <w:r w:rsidR="00E63018" w:rsidRPr="00E63018">
              <w:rPr>
                <w:rFonts w:asciiTheme="minorEastAsia" w:eastAsiaTheme="minorEastAsia" w:hAnsiTheme="minorEastAsia" w:hint="eastAsia"/>
                <w:szCs w:val="21"/>
              </w:rPr>
              <w:t>,</w:t>
            </w:r>
            <w:r w:rsidRPr="00E63018">
              <w:rPr>
                <w:rFonts w:asciiTheme="minorEastAsia" w:eastAsiaTheme="minorEastAsia" w:hAnsiTheme="minorEastAsia" w:hint="eastAsia"/>
                <w:szCs w:val="21"/>
              </w:rPr>
              <w:t>300</w:t>
            </w:r>
            <w:r w:rsidR="00E63018" w:rsidRPr="00E63018">
              <w:rPr>
                <w:rFonts w:asciiTheme="minorEastAsia" w:eastAsiaTheme="minorEastAsia" w:hAnsiTheme="minorEastAsia" w:hint="eastAsia"/>
                <w:szCs w:val="21"/>
              </w:rPr>
              <w:t>,</w:t>
            </w:r>
            <w:r w:rsidRPr="00E63018">
              <w:rPr>
                <w:rFonts w:asciiTheme="minorEastAsia" w:eastAsiaTheme="minorEastAsia" w:hAnsiTheme="minorEastAsia" w:hint="eastAsia"/>
                <w:szCs w:val="21"/>
              </w:rPr>
              <w:t>000股</w:t>
            </w:r>
          </w:p>
        </w:tc>
      </w:tr>
      <w:tr w:rsidR="00954704" w:rsidRPr="00E63018">
        <w:tc>
          <w:tcPr>
            <w:tcW w:w="4644" w:type="dxa"/>
            <w:vAlign w:val="center"/>
          </w:tcPr>
          <w:p w:rsidR="00954704" w:rsidRPr="00E63018" w:rsidRDefault="000B7625">
            <w:pPr>
              <w:adjustRightInd w:val="0"/>
              <w:snapToGrid w:val="0"/>
              <w:spacing w:line="360" w:lineRule="auto"/>
              <w:jc w:val="left"/>
              <w:rPr>
                <w:rFonts w:asciiTheme="minorEastAsia" w:eastAsiaTheme="minorEastAsia" w:hAnsiTheme="minorEastAsia"/>
                <w:szCs w:val="21"/>
              </w:rPr>
            </w:pPr>
            <w:r w:rsidRPr="00E63018">
              <w:rPr>
                <w:rFonts w:asciiTheme="minorEastAsia" w:eastAsiaTheme="minorEastAsia" w:hAnsiTheme="minorEastAsia"/>
                <w:szCs w:val="21"/>
              </w:rPr>
              <w:t>剩余被质押</w:t>
            </w:r>
            <w:r w:rsidRPr="00E63018">
              <w:rPr>
                <w:rFonts w:asciiTheme="minorEastAsia" w:eastAsiaTheme="minorEastAsia" w:hAnsiTheme="minorEastAsia" w:hint="eastAsia"/>
                <w:szCs w:val="21"/>
              </w:rPr>
              <w:t>股份数量</w:t>
            </w:r>
            <w:r w:rsidRPr="00E63018">
              <w:rPr>
                <w:rFonts w:asciiTheme="minorEastAsia" w:eastAsiaTheme="minorEastAsia" w:hAnsiTheme="minorEastAsia"/>
                <w:szCs w:val="21"/>
              </w:rPr>
              <w:t>占</w:t>
            </w:r>
            <w:r w:rsidRPr="00E63018">
              <w:rPr>
                <w:rFonts w:asciiTheme="minorEastAsia" w:eastAsiaTheme="minorEastAsia" w:hAnsiTheme="minorEastAsia" w:hint="eastAsia"/>
                <w:szCs w:val="21"/>
              </w:rPr>
              <w:t>其所持股份</w:t>
            </w:r>
            <w:r w:rsidRPr="00E63018">
              <w:rPr>
                <w:rFonts w:asciiTheme="minorEastAsia" w:eastAsiaTheme="minorEastAsia" w:hAnsiTheme="minorEastAsia"/>
                <w:szCs w:val="21"/>
              </w:rPr>
              <w:t>比例</w:t>
            </w:r>
          </w:p>
        </w:tc>
        <w:tc>
          <w:tcPr>
            <w:tcW w:w="3732" w:type="dxa"/>
            <w:vAlign w:val="center"/>
          </w:tcPr>
          <w:p w:rsidR="00954704" w:rsidRPr="00E63018" w:rsidRDefault="000B7625">
            <w:pPr>
              <w:adjustRightInd w:val="0"/>
              <w:snapToGrid w:val="0"/>
              <w:spacing w:line="360" w:lineRule="auto"/>
              <w:jc w:val="center"/>
              <w:rPr>
                <w:rFonts w:asciiTheme="minorEastAsia" w:eastAsiaTheme="minorEastAsia" w:hAnsiTheme="minorEastAsia"/>
                <w:szCs w:val="21"/>
              </w:rPr>
            </w:pPr>
            <w:r w:rsidRPr="00E63018">
              <w:rPr>
                <w:rFonts w:asciiTheme="minorEastAsia" w:eastAsiaTheme="minorEastAsia" w:hAnsiTheme="minorEastAsia" w:hint="eastAsia"/>
                <w:szCs w:val="21"/>
              </w:rPr>
              <w:t>67.84%</w:t>
            </w:r>
          </w:p>
        </w:tc>
      </w:tr>
      <w:tr w:rsidR="00954704" w:rsidRPr="00E63018">
        <w:tc>
          <w:tcPr>
            <w:tcW w:w="4644" w:type="dxa"/>
            <w:vAlign w:val="center"/>
          </w:tcPr>
          <w:p w:rsidR="00954704" w:rsidRPr="00E63018" w:rsidRDefault="000B7625">
            <w:pPr>
              <w:adjustRightInd w:val="0"/>
              <w:snapToGrid w:val="0"/>
              <w:spacing w:line="360" w:lineRule="auto"/>
              <w:jc w:val="left"/>
              <w:rPr>
                <w:rFonts w:asciiTheme="minorEastAsia" w:eastAsiaTheme="minorEastAsia" w:hAnsiTheme="minorEastAsia"/>
                <w:szCs w:val="21"/>
              </w:rPr>
            </w:pPr>
            <w:r w:rsidRPr="00E63018">
              <w:rPr>
                <w:rFonts w:asciiTheme="minorEastAsia" w:eastAsiaTheme="minorEastAsia" w:hAnsiTheme="minorEastAsia"/>
                <w:szCs w:val="21"/>
              </w:rPr>
              <w:t>剩余被质押</w:t>
            </w:r>
            <w:r w:rsidRPr="00E63018">
              <w:rPr>
                <w:rFonts w:asciiTheme="minorEastAsia" w:eastAsiaTheme="minorEastAsia" w:hAnsiTheme="minorEastAsia" w:hint="eastAsia"/>
                <w:szCs w:val="21"/>
              </w:rPr>
              <w:t>股份数量占公司总股本比例</w:t>
            </w:r>
          </w:p>
        </w:tc>
        <w:tc>
          <w:tcPr>
            <w:tcW w:w="3732" w:type="dxa"/>
            <w:vAlign w:val="center"/>
          </w:tcPr>
          <w:p w:rsidR="00954704" w:rsidRPr="00E63018" w:rsidRDefault="000B7625">
            <w:pPr>
              <w:adjustRightInd w:val="0"/>
              <w:snapToGrid w:val="0"/>
              <w:spacing w:line="360" w:lineRule="auto"/>
              <w:jc w:val="center"/>
              <w:rPr>
                <w:rFonts w:asciiTheme="minorEastAsia" w:eastAsiaTheme="minorEastAsia" w:hAnsiTheme="minorEastAsia"/>
                <w:szCs w:val="21"/>
              </w:rPr>
            </w:pPr>
            <w:r w:rsidRPr="00E63018">
              <w:rPr>
                <w:rFonts w:asciiTheme="minorEastAsia" w:eastAsiaTheme="minorEastAsia" w:hAnsiTheme="minorEastAsia" w:hint="eastAsia"/>
                <w:szCs w:val="21"/>
              </w:rPr>
              <w:t>11.69%</w:t>
            </w:r>
          </w:p>
        </w:tc>
      </w:tr>
    </w:tbl>
    <w:p w:rsidR="00954704" w:rsidRDefault="000B7625">
      <w:pPr>
        <w:spacing w:line="420" w:lineRule="exact"/>
        <w:ind w:firstLineChars="200" w:firstLine="480"/>
        <w:rPr>
          <w:sz w:val="24"/>
        </w:rPr>
      </w:pPr>
      <w:r w:rsidRPr="00E63018">
        <w:rPr>
          <w:rFonts w:hint="eastAsia"/>
          <w:sz w:val="24"/>
        </w:rPr>
        <w:t>经与控股股东确认，本次解除质押的股份</w:t>
      </w:r>
      <w:r w:rsidR="004007BD">
        <w:rPr>
          <w:rFonts w:hint="eastAsia"/>
          <w:sz w:val="24"/>
        </w:rPr>
        <w:t>目前没有</w:t>
      </w:r>
      <w:r w:rsidRPr="00E63018">
        <w:rPr>
          <w:rFonts w:hint="eastAsia"/>
          <w:sz w:val="24"/>
        </w:rPr>
        <w:t>用于后续质押的计划。</w:t>
      </w:r>
      <w:r>
        <w:rPr>
          <w:rFonts w:hint="eastAsia"/>
          <w:sz w:val="24"/>
        </w:rPr>
        <w:t>未</w:t>
      </w:r>
      <w:r>
        <w:rPr>
          <w:rFonts w:hint="eastAsia"/>
          <w:sz w:val="24"/>
        </w:rPr>
        <w:lastRenderedPageBreak/>
        <w:t>来如有变动，公司将根据后续质押情况和相关法律法规要求及时履行信息披露义务。</w:t>
      </w:r>
      <w:bookmarkStart w:id="0" w:name="_GoBack"/>
      <w:bookmarkEnd w:id="0"/>
    </w:p>
    <w:p w:rsidR="00954704" w:rsidRDefault="00954704">
      <w:pPr>
        <w:spacing w:line="420" w:lineRule="exact"/>
        <w:ind w:firstLineChars="200" w:firstLine="480"/>
        <w:rPr>
          <w:sz w:val="24"/>
        </w:rPr>
      </w:pPr>
    </w:p>
    <w:p w:rsidR="00954704" w:rsidRDefault="000B7625">
      <w:pPr>
        <w:spacing w:line="420" w:lineRule="exact"/>
        <w:ind w:firstLineChars="200" w:firstLine="482"/>
        <w:rPr>
          <w:b/>
          <w:sz w:val="24"/>
        </w:rPr>
      </w:pPr>
      <w:r>
        <w:rPr>
          <w:rFonts w:hint="eastAsia"/>
          <w:b/>
          <w:sz w:val="24"/>
        </w:rPr>
        <w:t>二、截至本公告披露日，控股股东累计质押情况</w:t>
      </w:r>
    </w:p>
    <w:p w:rsidR="00954704" w:rsidRDefault="000B7625">
      <w:pPr>
        <w:adjustRightInd w:val="0"/>
        <w:snapToGrid w:val="0"/>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截至公告披露日，控股股东累计质押股份情况如下：</w:t>
      </w:r>
    </w:p>
    <w:tbl>
      <w:tblPr>
        <w:tblW w:w="64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371"/>
        <w:gridCol w:w="846"/>
        <w:gridCol w:w="1266"/>
        <w:gridCol w:w="1267"/>
        <w:gridCol w:w="846"/>
        <w:gridCol w:w="846"/>
        <w:gridCol w:w="970"/>
        <w:gridCol w:w="848"/>
        <w:gridCol w:w="853"/>
        <w:gridCol w:w="899"/>
      </w:tblGrid>
      <w:tr w:rsidR="00954704" w:rsidRPr="00E63018">
        <w:trPr>
          <w:cantSplit/>
          <w:trHeight w:val="478"/>
          <w:jc w:val="center"/>
        </w:trPr>
        <w:tc>
          <w:tcPr>
            <w:tcW w:w="479" w:type="pct"/>
            <w:vMerge w:val="restart"/>
            <w:tcBorders>
              <w:top w:val="single" w:sz="4" w:space="0" w:color="auto"/>
              <w:left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股东名称</w:t>
            </w:r>
          </w:p>
        </w:tc>
        <w:tc>
          <w:tcPr>
            <w:tcW w:w="619" w:type="pct"/>
            <w:vMerge w:val="restart"/>
            <w:tcBorders>
              <w:top w:val="single" w:sz="4" w:space="0" w:color="auto"/>
              <w:left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持股数量(股)</w:t>
            </w:r>
          </w:p>
        </w:tc>
        <w:tc>
          <w:tcPr>
            <w:tcW w:w="382" w:type="pct"/>
            <w:vMerge w:val="restart"/>
            <w:tcBorders>
              <w:top w:val="single" w:sz="4" w:space="0" w:color="auto"/>
              <w:left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持股比例</w:t>
            </w:r>
          </w:p>
        </w:tc>
        <w:tc>
          <w:tcPr>
            <w:tcW w:w="572" w:type="pct"/>
            <w:vMerge w:val="restart"/>
            <w:tcBorders>
              <w:top w:val="single" w:sz="4" w:space="0" w:color="auto"/>
              <w:left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本次</w:t>
            </w:r>
            <w:r w:rsidR="00663BD6" w:rsidRPr="00E63018">
              <w:rPr>
                <w:rFonts w:asciiTheme="minorEastAsia" w:eastAsiaTheme="minorEastAsia" w:hAnsiTheme="minorEastAsia" w:hint="eastAsia"/>
                <w:szCs w:val="21"/>
              </w:rPr>
              <w:t>解</w:t>
            </w:r>
            <w:r w:rsidRPr="00E63018">
              <w:rPr>
                <w:rFonts w:asciiTheme="minorEastAsia" w:eastAsiaTheme="minorEastAsia" w:hAnsiTheme="minorEastAsia" w:hint="eastAsia"/>
                <w:szCs w:val="21"/>
              </w:rPr>
              <w:t>质押前累计质押数量(股)</w:t>
            </w:r>
          </w:p>
        </w:tc>
        <w:tc>
          <w:tcPr>
            <w:tcW w:w="572" w:type="pct"/>
            <w:vMerge w:val="restart"/>
            <w:tcBorders>
              <w:top w:val="single" w:sz="4" w:space="0" w:color="auto"/>
              <w:left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本次</w:t>
            </w:r>
            <w:r w:rsidR="00663BD6" w:rsidRPr="00E63018">
              <w:rPr>
                <w:rFonts w:asciiTheme="minorEastAsia" w:eastAsiaTheme="minorEastAsia" w:hAnsiTheme="minorEastAsia" w:hint="eastAsia"/>
                <w:szCs w:val="21"/>
              </w:rPr>
              <w:t>解</w:t>
            </w:r>
            <w:r w:rsidRPr="00E63018">
              <w:rPr>
                <w:rFonts w:asciiTheme="minorEastAsia" w:eastAsiaTheme="minorEastAsia" w:hAnsiTheme="minorEastAsia" w:hint="eastAsia"/>
                <w:szCs w:val="21"/>
              </w:rPr>
              <w:t>质押后累计质押数量(股)</w:t>
            </w:r>
          </w:p>
        </w:tc>
        <w:tc>
          <w:tcPr>
            <w:tcW w:w="382" w:type="pct"/>
            <w:vMerge w:val="restart"/>
            <w:tcBorders>
              <w:top w:val="single" w:sz="4" w:space="0" w:color="auto"/>
              <w:left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占其所持股份比例</w:t>
            </w:r>
          </w:p>
        </w:tc>
        <w:tc>
          <w:tcPr>
            <w:tcW w:w="382" w:type="pct"/>
            <w:vMerge w:val="restart"/>
            <w:tcBorders>
              <w:top w:val="single" w:sz="4" w:space="0" w:color="auto"/>
              <w:left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占公司总股本比例</w:t>
            </w:r>
          </w:p>
        </w:tc>
        <w:tc>
          <w:tcPr>
            <w:tcW w:w="821" w:type="pct"/>
            <w:gridSpan w:val="2"/>
            <w:tcBorders>
              <w:top w:val="single" w:sz="4" w:space="0" w:color="auto"/>
              <w:left w:val="single" w:sz="4" w:space="0" w:color="auto"/>
              <w:bottom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已质押股份情况</w:t>
            </w:r>
          </w:p>
        </w:tc>
        <w:tc>
          <w:tcPr>
            <w:tcW w:w="791" w:type="pct"/>
            <w:gridSpan w:val="2"/>
            <w:tcBorders>
              <w:top w:val="single" w:sz="4" w:space="0" w:color="auto"/>
              <w:left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未质押股份情况</w:t>
            </w:r>
          </w:p>
        </w:tc>
      </w:tr>
      <w:tr w:rsidR="00954704" w:rsidRPr="00E63018">
        <w:trPr>
          <w:cantSplit/>
          <w:trHeight w:val="478"/>
          <w:jc w:val="center"/>
        </w:trPr>
        <w:tc>
          <w:tcPr>
            <w:tcW w:w="479" w:type="pct"/>
            <w:vMerge/>
            <w:tcBorders>
              <w:left w:val="single" w:sz="4" w:space="0" w:color="auto"/>
              <w:bottom w:val="single" w:sz="4" w:space="0" w:color="auto"/>
              <w:right w:val="single" w:sz="4" w:space="0" w:color="auto"/>
            </w:tcBorders>
            <w:vAlign w:val="center"/>
          </w:tcPr>
          <w:p w:rsidR="00954704" w:rsidRPr="00E63018" w:rsidRDefault="00954704">
            <w:pPr>
              <w:jc w:val="center"/>
              <w:rPr>
                <w:rFonts w:asciiTheme="minorEastAsia" w:eastAsiaTheme="minorEastAsia" w:hAnsiTheme="minorEastAsia"/>
                <w:szCs w:val="21"/>
              </w:rPr>
            </w:pPr>
          </w:p>
        </w:tc>
        <w:tc>
          <w:tcPr>
            <w:tcW w:w="619" w:type="pct"/>
            <w:vMerge/>
            <w:tcBorders>
              <w:left w:val="single" w:sz="4" w:space="0" w:color="auto"/>
              <w:bottom w:val="single" w:sz="4" w:space="0" w:color="auto"/>
              <w:right w:val="single" w:sz="4" w:space="0" w:color="auto"/>
            </w:tcBorders>
            <w:vAlign w:val="center"/>
          </w:tcPr>
          <w:p w:rsidR="00954704" w:rsidRPr="00E63018" w:rsidRDefault="00954704">
            <w:pPr>
              <w:jc w:val="center"/>
              <w:rPr>
                <w:rFonts w:asciiTheme="minorEastAsia" w:eastAsiaTheme="minorEastAsia" w:hAnsiTheme="minorEastAsia"/>
                <w:szCs w:val="21"/>
              </w:rPr>
            </w:pPr>
          </w:p>
        </w:tc>
        <w:tc>
          <w:tcPr>
            <w:tcW w:w="382" w:type="pct"/>
            <w:vMerge/>
            <w:tcBorders>
              <w:left w:val="single" w:sz="4" w:space="0" w:color="auto"/>
              <w:bottom w:val="single" w:sz="4" w:space="0" w:color="auto"/>
              <w:right w:val="single" w:sz="4" w:space="0" w:color="auto"/>
            </w:tcBorders>
            <w:vAlign w:val="center"/>
          </w:tcPr>
          <w:p w:rsidR="00954704" w:rsidRPr="00E63018" w:rsidRDefault="00954704">
            <w:pPr>
              <w:jc w:val="center"/>
              <w:rPr>
                <w:rFonts w:asciiTheme="minorEastAsia" w:eastAsiaTheme="minorEastAsia" w:hAnsiTheme="minorEastAsia"/>
                <w:szCs w:val="21"/>
              </w:rPr>
            </w:pPr>
          </w:p>
        </w:tc>
        <w:tc>
          <w:tcPr>
            <w:tcW w:w="572" w:type="pct"/>
            <w:vMerge/>
            <w:tcBorders>
              <w:left w:val="single" w:sz="4" w:space="0" w:color="auto"/>
              <w:bottom w:val="single" w:sz="4" w:space="0" w:color="auto"/>
              <w:right w:val="single" w:sz="4" w:space="0" w:color="auto"/>
            </w:tcBorders>
          </w:tcPr>
          <w:p w:rsidR="00954704" w:rsidRPr="00E63018" w:rsidRDefault="00954704">
            <w:pPr>
              <w:jc w:val="center"/>
              <w:rPr>
                <w:rFonts w:asciiTheme="minorEastAsia" w:eastAsiaTheme="minorEastAsia" w:hAnsiTheme="minorEastAsia"/>
                <w:szCs w:val="21"/>
              </w:rPr>
            </w:pPr>
          </w:p>
        </w:tc>
        <w:tc>
          <w:tcPr>
            <w:tcW w:w="572" w:type="pct"/>
            <w:vMerge/>
            <w:tcBorders>
              <w:left w:val="single" w:sz="4" w:space="0" w:color="auto"/>
              <w:bottom w:val="single" w:sz="4" w:space="0" w:color="auto"/>
              <w:right w:val="single" w:sz="4" w:space="0" w:color="auto"/>
            </w:tcBorders>
            <w:vAlign w:val="center"/>
          </w:tcPr>
          <w:p w:rsidR="00954704" w:rsidRPr="00E63018" w:rsidRDefault="00954704">
            <w:pPr>
              <w:jc w:val="center"/>
              <w:rPr>
                <w:rFonts w:asciiTheme="minorEastAsia" w:eastAsiaTheme="minorEastAsia" w:hAnsiTheme="minorEastAsia"/>
                <w:szCs w:val="21"/>
              </w:rPr>
            </w:pPr>
          </w:p>
        </w:tc>
        <w:tc>
          <w:tcPr>
            <w:tcW w:w="382" w:type="pct"/>
            <w:vMerge/>
            <w:tcBorders>
              <w:left w:val="single" w:sz="4" w:space="0" w:color="auto"/>
              <w:bottom w:val="single" w:sz="4" w:space="0" w:color="auto"/>
              <w:right w:val="single" w:sz="4" w:space="0" w:color="auto"/>
            </w:tcBorders>
            <w:vAlign w:val="center"/>
          </w:tcPr>
          <w:p w:rsidR="00954704" w:rsidRPr="00E63018" w:rsidRDefault="00954704">
            <w:pPr>
              <w:jc w:val="center"/>
              <w:rPr>
                <w:rFonts w:asciiTheme="minorEastAsia" w:eastAsiaTheme="minorEastAsia" w:hAnsiTheme="minorEastAsia"/>
                <w:szCs w:val="21"/>
              </w:rPr>
            </w:pPr>
          </w:p>
        </w:tc>
        <w:tc>
          <w:tcPr>
            <w:tcW w:w="382" w:type="pct"/>
            <w:vMerge/>
            <w:tcBorders>
              <w:left w:val="single" w:sz="4" w:space="0" w:color="auto"/>
              <w:bottom w:val="single" w:sz="4" w:space="0" w:color="auto"/>
              <w:right w:val="single" w:sz="4" w:space="0" w:color="auto"/>
            </w:tcBorders>
            <w:vAlign w:val="center"/>
          </w:tcPr>
          <w:p w:rsidR="00954704" w:rsidRPr="00E63018" w:rsidRDefault="00954704">
            <w:pPr>
              <w:jc w:val="center"/>
              <w:rPr>
                <w:rFonts w:asciiTheme="minorEastAsia" w:eastAsiaTheme="minorEastAsia" w:hAnsiTheme="minorEastAsia"/>
                <w:szCs w:val="21"/>
              </w:rPr>
            </w:pPr>
          </w:p>
        </w:tc>
        <w:tc>
          <w:tcPr>
            <w:tcW w:w="438" w:type="pct"/>
            <w:tcBorders>
              <w:top w:val="single" w:sz="4" w:space="0" w:color="auto"/>
              <w:left w:val="single" w:sz="4" w:space="0" w:color="auto"/>
              <w:bottom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已质押股份中限售股份数量</w:t>
            </w:r>
          </w:p>
        </w:tc>
        <w:tc>
          <w:tcPr>
            <w:tcW w:w="383" w:type="pct"/>
            <w:tcBorders>
              <w:left w:val="single" w:sz="4" w:space="0" w:color="auto"/>
              <w:bottom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已质押股份中冻结股份数量</w:t>
            </w:r>
          </w:p>
        </w:tc>
        <w:tc>
          <w:tcPr>
            <w:tcW w:w="385" w:type="pct"/>
            <w:tcBorders>
              <w:left w:val="single" w:sz="4" w:space="0" w:color="auto"/>
              <w:bottom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未质押股份中限售股份数量</w:t>
            </w:r>
          </w:p>
        </w:tc>
        <w:tc>
          <w:tcPr>
            <w:tcW w:w="406" w:type="pct"/>
            <w:tcBorders>
              <w:left w:val="single" w:sz="4" w:space="0" w:color="auto"/>
              <w:bottom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未质押股份中冻结股份数量</w:t>
            </w:r>
          </w:p>
        </w:tc>
      </w:tr>
      <w:tr w:rsidR="00954704" w:rsidRPr="00E63018">
        <w:trPr>
          <w:cantSplit/>
          <w:trHeight w:val="581"/>
          <w:jc w:val="center"/>
        </w:trPr>
        <w:tc>
          <w:tcPr>
            <w:tcW w:w="479" w:type="pct"/>
            <w:tcBorders>
              <w:top w:val="single" w:sz="4" w:space="0" w:color="auto"/>
              <w:left w:val="single" w:sz="4" w:space="0" w:color="auto"/>
              <w:bottom w:val="single" w:sz="4" w:space="0" w:color="auto"/>
              <w:right w:val="single" w:sz="4" w:space="0" w:color="auto"/>
            </w:tcBorders>
            <w:vAlign w:val="center"/>
          </w:tcPr>
          <w:p w:rsidR="00954704" w:rsidRPr="00E63018" w:rsidRDefault="000B7625">
            <w:pPr>
              <w:widowControl/>
              <w:jc w:val="center"/>
              <w:rPr>
                <w:rFonts w:asciiTheme="minorEastAsia" w:eastAsiaTheme="minorEastAsia" w:hAnsiTheme="minorEastAsia"/>
                <w:szCs w:val="21"/>
              </w:rPr>
            </w:pPr>
            <w:r w:rsidRPr="00E63018">
              <w:rPr>
                <w:rFonts w:asciiTheme="minorEastAsia" w:eastAsiaTheme="minorEastAsia" w:hAnsiTheme="minorEastAsia" w:hint="eastAsia"/>
                <w:szCs w:val="21"/>
              </w:rPr>
              <w:t>苏州吴中投资控股有限公司</w:t>
            </w:r>
          </w:p>
        </w:tc>
        <w:tc>
          <w:tcPr>
            <w:tcW w:w="619" w:type="pct"/>
            <w:tcBorders>
              <w:top w:val="single" w:sz="4" w:space="0" w:color="auto"/>
              <w:left w:val="single" w:sz="4" w:space="0" w:color="auto"/>
              <w:bottom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122,795,762</w:t>
            </w:r>
          </w:p>
        </w:tc>
        <w:tc>
          <w:tcPr>
            <w:tcW w:w="382" w:type="pct"/>
            <w:tcBorders>
              <w:top w:val="single" w:sz="4" w:space="0" w:color="auto"/>
              <w:left w:val="single" w:sz="4" w:space="0" w:color="auto"/>
              <w:bottom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17.24%</w:t>
            </w:r>
          </w:p>
        </w:tc>
        <w:tc>
          <w:tcPr>
            <w:tcW w:w="572" w:type="pct"/>
            <w:tcBorders>
              <w:top w:val="single" w:sz="4" w:space="0" w:color="auto"/>
              <w:left w:val="single" w:sz="4" w:space="0" w:color="auto"/>
              <w:bottom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93</w:t>
            </w:r>
            <w:r w:rsidR="00E63018" w:rsidRPr="00E63018">
              <w:rPr>
                <w:rFonts w:asciiTheme="minorEastAsia" w:eastAsiaTheme="minorEastAsia" w:hAnsiTheme="minorEastAsia" w:hint="eastAsia"/>
                <w:szCs w:val="21"/>
              </w:rPr>
              <w:t>,</w:t>
            </w:r>
            <w:r w:rsidRPr="00E63018">
              <w:rPr>
                <w:rFonts w:asciiTheme="minorEastAsia" w:eastAsiaTheme="minorEastAsia" w:hAnsiTheme="minorEastAsia" w:hint="eastAsia"/>
                <w:szCs w:val="21"/>
              </w:rPr>
              <w:t>300</w:t>
            </w:r>
            <w:r w:rsidR="00E63018" w:rsidRPr="00E63018">
              <w:rPr>
                <w:rFonts w:asciiTheme="minorEastAsia" w:eastAsiaTheme="minorEastAsia" w:hAnsiTheme="minorEastAsia" w:hint="eastAsia"/>
                <w:szCs w:val="21"/>
              </w:rPr>
              <w:t>,</w:t>
            </w:r>
            <w:r w:rsidRPr="00E63018">
              <w:rPr>
                <w:rFonts w:asciiTheme="minorEastAsia" w:eastAsiaTheme="minorEastAsia" w:hAnsiTheme="minorEastAsia" w:hint="eastAsia"/>
                <w:szCs w:val="21"/>
              </w:rPr>
              <w:t>000</w:t>
            </w:r>
          </w:p>
        </w:tc>
        <w:tc>
          <w:tcPr>
            <w:tcW w:w="572" w:type="pct"/>
            <w:tcBorders>
              <w:top w:val="single" w:sz="4" w:space="0" w:color="auto"/>
              <w:left w:val="single" w:sz="4" w:space="0" w:color="auto"/>
              <w:bottom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83</w:t>
            </w:r>
            <w:r w:rsidR="00E63018" w:rsidRPr="00E63018">
              <w:rPr>
                <w:rFonts w:asciiTheme="minorEastAsia" w:eastAsiaTheme="minorEastAsia" w:hAnsiTheme="minorEastAsia" w:hint="eastAsia"/>
                <w:szCs w:val="21"/>
              </w:rPr>
              <w:t>,</w:t>
            </w:r>
            <w:r w:rsidRPr="00E63018">
              <w:rPr>
                <w:rFonts w:asciiTheme="minorEastAsia" w:eastAsiaTheme="minorEastAsia" w:hAnsiTheme="minorEastAsia" w:hint="eastAsia"/>
                <w:szCs w:val="21"/>
              </w:rPr>
              <w:t>300</w:t>
            </w:r>
            <w:r w:rsidR="00E63018" w:rsidRPr="00E63018">
              <w:rPr>
                <w:rFonts w:asciiTheme="minorEastAsia" w:eastAsiaTheme="minorEastAsia" w:hAnsiTheme="minorEastAsia" w:hint="eastAsia"/>
                <w:szCs w:val="21"/>
              </w:rPr>
              <w:t>,</w:t>
            </w:r>
            <w:r w:rsidRPr="00E63018">
              <w:rPr>
                <w:rFonts w:asciiTheme="minorEastAsia" w:eastAsiaTheme="minorEastAsia" w:hAnsiTheme="minorEastAsia" w:hint="eastAsia"/>
                <w:szCs w:val="21"/>
              </w:rPr>
              <w:t>000</w:t>
            </w:r>
          </w:p>
        </w:tc>
        <w:tc>
          <w:tcPr>
            <w:tcW w:w="382" w:type="pct"/>
            <w:tcBorders>
              <w:top w:val="single" w:sz="4" w:space="0" w:color="auto"/>
              <w:left w:val="single" w:sz="4" w:space="0" w:color="auto"/>
              <w:bottom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67.84%</w:t>
            </w:r>
          </w:p>
        </w:tc>
        <w:tc>
          <w:tcPr>
            <w:tcW w:w="382" w:type="pct"/>
            <w:tcBorders>
              <w:top w:val="single" w:sz="4" w:space="0" w:color="auto"/>
              <w:left w:val="single" w:sz="4" w:space="0" w:color="auto"/>
              <w:bottom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11.69%</w:t>
            </w:r>
          </w:p>
        </w:tc>
        <w:tc>
          <w:tcPr>
            <w:tcW w:w="438" w:type="pct"/>
            <w:tcBorders>
              <w:top w:val="single" w:sz="4" w:space="0" w:color="auto"/>
              <w:left w:val="single" w:sz="4" w:space="0" w:color="auto"/>
              <w:bottom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w:t>
            </w:r>
          </w:p>
        </w:tc>
        <w:tc>
          <w:tcPr>
            <w:tcW w:w="383" w:type="pct"/>
            <w:tcBorders>
              <w:top w:val="single" w:sz="4" w:space="0" w:color="auto"/>
              <w:left w:val="single" w:sz="4" w:space="0" w:color="auto"/>
              <w:bottom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w:t>
            </w:r>
          </w:p>
        </w:tc>
        <w:tc>
          <w:tcPr>
            <w:tcW w:w="385" w:type="pct"/>
            <w:tcBorders>
              <w:top w:val="single" w:sz="4" w:space="0" w:color="auto"/>
              <w:left w:val="single" w:sz="4" w:space="0" w:color="auto"/>
              <w:bottom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w:t>
            </w:r>
          </w:p>
        </w:tc>
        <w:tc>
          <w:tcPr>
            <w:tcW w:w="406" w:type="pct"/>
            <w:tcBorders>
              <w:top w:val="single" w:sz="4" w:space="0" w:color="auto"/>
              <w:left w:val="single" w:sz="4" w:space="0" w:color="auto"/>
              <w:bottom w:val="single" w:sz="4" w:space="0" w:color="auto"/>
              <w:right w:val="single" w:sz="4" w:space="0" w:color="auto"/>
            </w:tcBorders>
            <w:vAlign w:val="center"/>
          </w:tcPr>
          <w:p w:rsidR="00954704" w:rsidRPr="00E63018" w:rsidRDefault="000B762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w:t>
            </w:r>
          </w:p>
        </w:tc>
      </w:tr>
      <w:tr w:rsidR="00E63018" w:rsidRPr="00E63018">
        <w:trPr>
          <w:cantSplit/>
          <w:trHeight w:val="471"/>
          <w:jc w:val="center"/>
        </w:trPr>
        <w:tc>
          <w:tcPr>
            <w:tcW w:w="479" w:type="pct"/>
            <w:tcBorders>
              <w:top w:val="single" w:sz="4" w:space="0" w:color="auto"/>
              <w:left w:val="single" w:sz="4" w:space="0" w:color="auto"/>
              <w:bottom w:val="single" w:sz="4" w:space="0" w:color="auto"/>
              <w:right w:val="single" w:sz="4" w:space="0" w:color="auto"/>
            </w:tcBorders>
            <w:vAlign w:val="center"/>
          </w:tcPr>
          <w:p w:rsidR="00E63018" w:rsidRPr="00E63018" w:rsidRDefault="00E63018">
            <w:pPr>
              <w:widowControl/>
              <w:jc w:val="center"/>
              <w:rPr>
                <w:rFonts w:asciiTheme="minorEastAsia" w:eastAsiaTheme="minorEastAsia" w:hAnsiTheme="minorEastAsia"/>
                <w:szCs w:val="21"/>
              </w:rPr>
            </w:pPr>
            <w:r w:rsidRPr="00E63018">
              <w:rPr>
                <w:rFonts w:asciiTheme="minorEastAsia" w:eastAsiaTheme="minorEastAsia" w:hAnsiTheme="minorEastAsia" w:hint="eastAsia"/>
                <w:szCs w:val="21"/>
              </w:rPr>
              <w:t>合计</w:t>
            </w:r>
          </w:p>
        </w:tc>
        <w:tc>
          <w:tcPr>
            <w:tcW w:w="619" w:type="pct"/>
            <w:tcBorders>
              <w:top w:val="single" w:sz="4" w:space="0" w:color="auto"/>
              <w:left w:val="single" w:sz="4" w:space="0" w:color="auto"/>
              <w:bottom w:val="single" w:sz="4" w:space="0" w:color="auto"/>
              <w:right w:val="single" w:sz="4" w:space="0" w:color="auto"/>
            </w:tcBorders>
            <w:vAlign w:val="center"/>
          </w:tcPr>
          <w:p w:rsidR="00E63018" w:rsidRPr="00E63018" w:rsidRDefault="00E63018">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122,795,762</w:t>
            </w:r>
          </w:p>
        </w:tc>
        <w:tc>
          <w:tcPr>
            <w:tcW w:w="382" w:type="pct"/>
            <w:tcBorders>
              <w:top w:val="single" w:sz="4" w:space="0" w:color="auto"/>
              <w:left w:val="single" w:sz="4" w:space="0" w:color="auto"/>
              <w:bottom w:val="single" w:sz="4" w:space="0" w:color="auto"/>
              <w:right w:val="single" w:sz="4" w:space="0" w:color="auto"/>
            </w:tcBorders>
            <w:vAlign w:val="center"/>
          </w:tcPr>
          <w:p w:rsidR="00E63018" w:rsidRPr="00E63018" w:rsidRDefault="00E63018">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17.24%</w:t>
            </w:r>
          </w:p>
        </w:tc>
        <w:tc>
          <w:tcPr>
            <w:tcW w:w="572" w:type="pct"/>
            <w:tcBorders>
              <w:top w:val="single" w:sz="4" w:space="0" w:color="auto"/>
              <w:left w:val="single" w:sz="4" w:space="0" w:color="auto"/>
              <w:bottom w:val="single" w:sz="4" w:space="0" w:color="auto"/>
              <w:right w:val="single" w:sz="4" w:space="0" w:color="auto"/>
            </w:tcBorders>
            <w:vAlign w:val="center"/>
          </w:tcPr>
          <w:p w:rsidR="00E63018" w:rsidRPr="00E63018" w:rsidRDefault="00E63018" w:rsidP="00DD3BD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93,300,000</w:t>
            </w:r>
          </w:p>
        </w:tc>
        <w:tc>
          <w:tcPr>
            <w:tcW w:w="572" w:type="pct"/>
            <w:tcBorders>
              <w:top w:val="single" w:sz="4" w:space="0" w:color="auto"/>
              <w:left w:val="single" w:sz="4" w:space="0" w:color="auto"/>
              <w:bottom w:val="single" w:sz="4" w:space="0" w:color="auto"/>
              <w:right w:val="single" w:sz="4" w:space="0" w:color="auto"/>
            </w:tcBorders>
            <w:vAlign w:val="center"/>
          </w:tcPr>
          <w:p w:rsidR="00E63018" w:rsidRPr="00E63018" w:rsidRDefault="00E63018" w:rsidP="00DD3BD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83,300,000</w:t>
            </w:r>
          </w:p>
        </w:tc>
        <w:tc>
          <w:tcPr>
            <w:tcW w:w="382" w:type="pct"/>
            <w:tcBorders>
              <w:top w:val="single" w:sz="4" w:space="0" w:color="auto"/>
              <w:left w:val="single" w:sz="4" w:space="0" w:color="auto"/>
              <w:bottom w:val="single" w:sz="4" w:space="0" w:color="auto"/>
              <w:right w:val="single" w:sz="4" w:space="0" w:color="auto"/>
            </w:tcBorders>
            <w:vAlign w:val="center"/>
          </w:tcPr>
          <w:p w:rsidR="00E63018" w:rsidRPr="00E63018" w:rsidRDefault="00E63018" w:rsidP="00DD3BD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67.84%</w:t>
            </w:r>
          </w:p>
        </w:tc>
        <w:tc>
          <w:tcPr>
            <w:tcW w:w="382" w:type="pct"/>
            <w:tcBorders>
              <w:top w:val="single" w:sz="4" w:space="0" w:color="auto"/>
              <w:left w:val="single" w:sz="4" w:space="0" w:color="auto"/>
              <w:bottom w:val="single" w:sz="4" w:space="0" w:color="auto"/>
              <w:right w:val="single" w:sz="4" w:space="0" w:color="auto"/>
            </w:tcBorders>
            <w:vAlign w:val="center"/>
          </w:tcPr>
          <w:p w:rsidR="00E63018" w:rsidRPr="00E63018" w:rsidRDefault="00E63018" w:rsidP="00DD3BD5">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11.69%</w:t>
            </w:r>
          </w:p>
        </w:tc>
        <w:tc>
          <w:tcPr>
            <w:tcW w:w="438" w:type="pct"/>
            <w:tcBorders>
              <w:top w:val="single" w:sz="4" w:space="0" w:color="auto"/>
              <w:left w:val="single" w:sz="4" w:space="0" w:color="auto"/>
              <w:bottom w:val="single" w:sz="4" w:space="0" w:color="auto"/>
              <w:right w:val="single" w:sz="4" w:space="0" w:color="auto"/>
            </w:tcBorders>
            <w:vAlign w:val="center"/>
          </w:tcPr>
          <w:p w:rsidR="00E63018" w:rsidRPr="00E63018" w:rsidRDefault="00E63018">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w:t>
            </w:r>
          </w:p>
        </w:tc>
        <w:tc>
          <w:tcPr>
            <w:tcW w:w="383" w:type="pct"/>
            <w:tcBorders>
              <w:top w:val="single" w:sz="4" w:space="0" w:color="auto"/>
              <w:left w:val="single" w:sz="4" w:space="0" w:color="auto"/>
              <w:bottom w:val="single" w:sz="4" w:space="0" w:color="auto"/>
              <w:right w:val="single" w:sz="4" w:space="0" w:color="auto"/>
            </w:tcBorders>
            <w:vAlign w:val="center"/>
          </w:tcPr>
          <w:p w:rsidR="00E63018" w:rsidRPr="00E63018" w:rsidRDefault="00E63018">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w:t>
            </w:r>
          </w:p>
        </w:tc>
        <w:tc>
          <w:tcPr>
            <w:tcW w:w="385" w:type="pct"/>
            <w:tcBorders>
              <w:top w:val="single" w:sz="4" w:space="0" w:color="auto"/>
              <w:left w:val="single" w:sz="4" w:space="0" w:color="auto"/>
              <w:bottom w:val="single" w:sz="4" w:space="0" w:color="auto"/>
              <w:right w:val="single" w:sz="4" w:space="0" w:color="auto"/>
            </w:tcBorders>
            <w:vAlign w:val="center"/>
          </w:tcPr>
          <w:p w:rsidR="00E63018" w:rsidRPr="00E63018" w:rsidRDefault="00E63018">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w:t>
            </w:r>
          </w:p>
        </w:tc>
        <w:tc>
          <w:tcPr>
            <w:tcW w:w="406" w:type="pct"/>
            <w:tcBorders>
              <w:top w:val="single" w:sz="4" w:space="0" w:color="auto"/>
              <w:left w:val="single" w:sz="4" w:space="0" w:color="auto"/>
              <w:bottom w:val="single" w:sz="4" w:space="0" w:color="auto"/>
              <w:right w:val="single" w:sz="4" w:space="0" w:color="auto"/>
            </w:tcBorders>
            <w:vAlign w:val="center"/>
          </w:tcPr>
          <w:p w:rsidR="00E63018" w:rsidRPr="00E63018" w:rsidRDefault="00E63018">
            <w:pPr>
              <w:jc w:val="center"/>
              <w:rPr>
                <w:rFonts w:asciiTheme="minorEastAsia" w:eastAsiaTheme="minorEastAsia" w:hAnsiTheme="minorEastAsia"/>
                <w:szCs w:val="21"/>
              </w:rPr>
            </w:pPr>
            <w:r w:rsidRPr="00E63018">
              <w:rPr>
                <w:rFonts w:asciiTheme="minorEastAsia" w:eastAsiaTheme="minorEastAsia" w:hAnsiTheme="minorEastAsia" w:hint="eastAsia"/>
                <w:szCs w:val="21"/>
              </w:rPr>
              <w:t>---</w:t>
            </w:r>
          </w:p>
        </w:tc>
      </w:tr>
    </w:tbl>
    <w:p w:rsidR="00954704" w:rsidRPr="00E63018" w:rsidRDefault="00954704">
      <w:pPr>
        <w:spacing w:line="420" w:lineRule="exact"/>
        <w:rPr>
          <w:rFonts w:asciiTheme="minorEastAsia" w:eastAsiaTheme="minorEastAsia" w:hAnsiTheme="minorEastAsia"/>
          <w:sz w:val="24"/>
        </w:rPr>
      </w:pPr>
    </w:p>
    <w:p w:rsidR="00954704" w:rsidRPr="00E63018" w:rsidRDefault="000B7625">
      <w:pPr>
        <w:spacing w:line="420" w:lineRule="exact"/>
        <w:ind w:firstLineChars="200" w:firstLine="480"/>
        <w:rPr>
          <w:rFonts w:asciiTheme="minorEastAsia" w:eastAsiaTheme="minorEastAsia" w:hAnsiTheme="minorEastAsia"/>
          <w:sz w:val="24"/>
        </w:rPr>
      </w:pPr>
      <w:r w:rsidRPr="00E63018">
        <w:rPr>
          <w:rFonts w:asciiTheme="minorEastAsia" w:eastAsiaTheme="minorEastAsia" w:hAnsiTheme="minorEastAsia" w:hint="eastAsia"/>
          <w:sz w:val="24"/>
        </w:rPr>
        <w:t>特此公告。</w:t>
      </w:r>
    </w:p>
    <w:p w:rsidR="00954704" w:rsidRPr="00E63018" w:rsidRDefault="00954704">
      <w:pPr>
        <w:spacing w:line="420" w:lineRule="exact"/>
        <w:ind w:firstLineChars="200" w:firstLine="480"/>
        <w:rPr>
          <w:rFonts w:asciiTheme="minorEastAsia" w:eastAsiaTheme="minorEastAsia" w:hAnsiTheme="minorEastAsia"/>
          <w:sz w:val="24"/>
        </w:rPr>
      </w:pPr>
    </w:p>
    <w:p w:rsidR="00954704" w:rsidRPr="00E63018" w:rsidRDefault="00954704">
      <w:pPr>
        <w:spacing w:line="420" w:lineRule="exact"/>
        <w:ind w:firstLineChars="200" w:firstLine="480"/>
        <w:rPr>
          <w:rFonts w:asciiTheme="minorEastAsia" w:eastAsiaTheme="minorEastAsia" w:hAnsiTheme="minorEastAsia"/>
          <w:sz w:val="24"/>
        </w:rPr>
      </w:pPr>
    </w:p>
    <w:p w:rsidR="00954704" w:rsidRPr="00E63018" w:rsidRDefault="000B7625">
      <w:pPr>
        <w:pStyle w:val="a6"/>
        <w:adjustRightInd w:val="0"/>
        <w:snapToGrid w:val="0"/>
        <w:spacing w:before="0" w:beforeAutospacing="0" w:after="0" w:afterAutospacing="0" w:line="420" w:lineRule="exact"/>
        <w:ind w:firstLineChars="200" w:firstLine="480"/>
        <w:jc w:val="right"/>
        <w:rPr>
          <w:rFonts w:cs="Arial"/>
        </w:rPr>
      </w:pPr>
      <w:r w:rsidRPr="00E63018">
        <w:rPr>
          <w:rFonts w:cs="Arial" w:hint="eastAsia"/>
        </w:rPr>
        <w:t>江苏吴中实业股份有限公司</w:t>
      </w:r>
    </w:p>
    <w:p w:rsidR="00954704" w:rsidRPr="00E63018" w:rsidRDefault="000B7625">
      <w:pPr>
        <w:pStyle w:val="a6"/>
        <w:adjustRightInd w:val="0"/>
        <w:snapToGrid w:val="0"/>
        <w:spacing w:before="0" w:beforeAutospacing="0" w:after="0" w:afterAutospacing="0" w:line="420" w:lineRule="exact"/>
        <w:ind w:right="720" w:firstLineChars="200" w:firstLine="480"/>
        <w:jc w:val="right"/>
        <w:rPr>
          <w:rFonts w:cs="Arial"/>
        </w:rPr>
      </w:pPr>
      <w:r w:rsidRPr="00E63018">
        <w:rPr>
          <w:rFonts w:cs="Arial" w:hint="eastAsia"/>
        </w:rPr>
        <w:t xml:space="preserve">董事会      </w:t>
      </w:r>
    </w:p>
    <w:p w:rsidR="00954704" w:rsidRDefault="000B7625">
      <w:pPr>
        <w:pStyle w:val="a6"/>
        <w:adjustRightInd w:val="0"/>
        <w:snapToGrid w:val="0"/>
        <w:spacing w:before="0" w:beforeAutospacing="0" w:after="0" w:afterAutospacing="0" w:line="420" w:lineRule="exact"/>
        <w:ind w:firstLineChars="200" w:firstLine="480"/>
        <w:jc w:val="right"/>
        <w:rPr>
          <w:rFonts w:cs="Arial"/>
        </w:rPr>
      </w:pPr>
      <w:r w:rsidRPr="00E63018">
        <w:rPr>
          <w:rFonts w:cs="Arial" w:hint="eastAsia"/>
        </w:rPr>
        <w:t>2020年9月1日</w:t>
      </w:r>
    </w:p>
    <w:p w:rsidR="00954704" w:rsidRDefault="00954704">
      <w:pPr>
        <w:spacing w:line="360" w:lineRule="auto"/>
        <w:rPr>
          <w:rFonts w:asciiTheme="minorEastAsia" w:eastAsiaTheme="minorEastAsia" w:hAnsiTheme="minorEastAsia"/>
          <w:sz w:val="24"/>
        </w:rPr>
      </w:pPr>
    </w:p>
    <w:p w:rsidR="00954704" w:rsidRDefault="00954704">
      <w:pPr>
        <w:spacing w:line="360" w:lineRule="auto"/>
        <w:rPr>
          <w:rFonts w:asciiTheme="minorEastAsia" w:eastAsiaTheme="minorEastAsia" w:hAnsiTheme="minorEastAsia"/>
          <w:sz w:val="24"/>
        </w:rPr>
      </w:pPr>
    </w:p>
    <w:p w:rsidR="00954704" w:rsidRDefault="00954704">
      <w:pPr>
        <w:spacing w:line="360" w:lineRule="auto"/>
        <w:rPr>
          <w:rFonts w:asciiTheme="minorEastAsia" w:eastAsiaTheme="minorEastAsia" w:hAnsiTheme="minorEastAsia"/>
          <w:sz w:val="24"/>
        </w:rPr>
      </w:pPr>
    </w:p>
    <w:p w:rsidR="00954704" w:rsidRDefault="00954704">
      <w:pPr>
        <w:spacing w:line="360" w:lineRule="auto"/>
        <w:rPr>
          <w:rFonts w:asciiTheme="minorEastAsia" w:eastAsiaTheme="minorEastAsia" w:hAnsiTheme="minorEastAsia"/>
          <w:sz w:val="24"/>
        </w:rPr>
      </w:pPr>
    </w:p>
    <w:p w:rsidR="00954704" w:rsidRDefault="00954704">
      <w:pPr>
        <w:spacing w:line="360" w:lineRule="auto"/>
        <w:rPr>
          <w:rFonts w:asciiTheme="minorEastAsia" w:eastAsiaTheme="minorEastAsia" w:hAnsiTheme="minorEastAsia"/>
          <w:sz w:val="24"/>
        </w:rPr>
      </w:pPr>
    </w:p>
    <w:p w:rsidR="00954704" w:rsidRDefault="00954704">
      <w:pPr>
        <w:spacing w:line="360" w:lineRule="auto"/>
        <w:rPr>
          <w:rFonts w:asciiTheme="minorEastAsia" w:eastAsiaTheme="minorEastAsia" w:hAnsiTheme="minorEastAsia"/>
          <w:sz w:val="24"/>
        </w:rPr>
      </w:pPr>
    </w:p>
    <w:sectPr w:rsidR="009547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4B4" w:rsidRDefault="008664B4" w:rsidP="004007BD">
      <w:r>
        <w:separator/>
      </w:r>
    </w:p>
  </w:endnote>
  <w:endnote w:type="continuationSeparator" w:id="0">
    <w:p w:rsidR="008664B4" w:rsidRDefault="008664B4" w:rsidP="0040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4B4" w:rsidRDefault="008664B4" w:rsidP="004007BD">
      <w:r>
        <w:separator/>
      </w:r>
    </w:p>
  </w:footnote>
  <w:footnote w:type="continuationSeparator" w:id="0">
    <w:p w:rsidR="008664B4" w:rsidRDefault="008664B4" w:rsidP="00400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72D"/>
    <w:rsid w:val="0001153F"/>
    <w:rsid w:val="00015559"/>
    <w:rsid w:val="0003171D"/>
    <w:rsid w:val="000377FA"/>
    <w:rsid w:val="000514F9"/>
    <w:rsid w:val="000724A8"/>
    <w:rsid w:val="000B7625"/>
    <w:rsid w:val="000C1EBF"/>
    <w:rsid w:val="000C627C"/>
    <w:rsid w:val="000D5160"/>
    <w:rsid w:val="000E5928"/>
    <w:rsid w:val="001044FC"/>
    <w:rsid w:val="00115DE0"/>
    <w:rsid w:val="00123F7C"/>
    <w:rsid w:val="00125EB5"/>
    <w:rsid w:val="00141A30"/>
    <w:rsid w:val="0014235B"/>
    <w:rsid w:val="001449C0"/>
    <w:rsid w:val="00163205"/>
    <w:rsid w:val="0016641A"/>
    <w:rsid w:val="00167B35"/>
    <w:rsid w:val="00184711"/>
    <w:rsid w:val="0019296F"/>
    <w:rsid w:val="001A6F91"/>
    <w:rsid w:val="001B4195"/>
    <w:rsid w:val="001F698F"/>
    <w:rsid w:val="001F712F"/>
    <w:rsid w:val="002442A3"/>
    <w:rsid w:val="00251C73"/>
    <w:rsid w:val="00254360"/>
    <w:rsid w:val="0025726D"/>
    <w:rsid w:val="0025795B"/>
    <w:rsid w:val="0027220C"/>
    <w:rsid w:val="002808AB"/>
    <w:rsid w:val="00284CD2"/>
    <w:rsid w:val="002B7CCB"/>
    <w:rsid w:val="002C71E7"/>
    <w:rsid w:val="002D2369"/>
    <w:rsid w:val="002F74DC"/>
    <w:rsid w:val="00324EB8"/>
    <w:rsid w:val="00360CA8"/>
    <w:rsid w:val="0037324C"/>
    <w:rsid w:val="00373349"/>
    <w:rsid w:val="003870CC"/>
    <w:rsid w:val="003B5345"/>
    <w:rsid w:val="003C607D"/>
    <w:rsid w:val="003D0C3B"/>
    <w:rsid w:val="003D3FFF"/>
    <w:rsid w:val="003E355B"/>
    <w:rsid w:val="003F3F8C"/>
    <w:rsid w:val="004007BD"/>
    <w:rsid w:val="0040682A"/>
    <w:rsid w:val="00416D19"/>
    <w:rsid w:val="0041720E"/>
    <w:rsid w:val="00421F4E"/>
    <w:rsid w:val="004225DD"/>
    <w:rsid w:val="0042551B"/>
    <w:rsid w:val="004502F4"/>
    <w:rsid w:val="00496E8A"/>
    <w:rsid w:val="004C27B9"/>
    <w:rsid w:val="004C3DB4"/>
    <w:rsid w:val="004E2BB1"/>
    <w:rsid w:val="004E363D"/>
    <w:rsid w:val="004F1ED6"/>
    <w:rsid w:val="004F1F15"/>
    <w:rsid w:val="004F3380"/>
    <w:rsid w:val="0050672D"/>
    <w:rsid w:val="00530696"/>
    <w:rsid w:val="0054311D"/>
    <w:rsid w:val="005712CB"/>
    <w:rsid w:val="00577CBB"/>
    <w:rsid w:val="00587649"/>
    <w:rsid w:val="005A6A74"/>
    <w:rsid w:val="005B4F18"/>
    <w:rsid w:val="005C3668"/>
    <w:rsid w:val="005D4ACB"/>
    <w:rsid w:val="00606A68"/>
    <w:rsid w:val="00615D49"/>
    <w:rsid w:val="006412D7"/>
    <w:rsid w:val="00662769"/>
    <w:rsid w:val="00663BD6"/>
    <w:rsid w:val="00683AED"/>
    <w:rsid w:val="00695D72"/>
    <w:rsid w:val="006B29CA"/>
    <w:rsid w:val="006B2B65"/>
    <w:rsid w:val="007001F0"/>
    <w:rsid w:val="007014FC"/>
    <w:rsid w:val="007564B5"/>
    <w:rsid w:val="00766EEB"/>
    <w:rsid w:val="00772A33"/>
    <w:rsid w:val="0078073C"/>
    <w:rsid w:val="00782C5A"/>
    <w:rsid w:val="007C7BAF"/>
    <w:rsid w:val="00802A0A"/>
    <w:rsid w:val="0084307D"/>
    <w:rsid w:val="008664B4"/>
    <w:rsid w:val="00877ED4"/>
    <w:rsid w:val="00887DA0"/>
    <w:rsid w:val="00893296"/>
    <w:rsid w:val="008935D4"/>
    <w:rsid w:val="008E57CC"/>
    <w:rsid w:val="008F5155"/>
    <w:rsid w:val="008F6AB5"/>
    <w:rsid w:val="00933FA5"/>
    <w:rsid w:val="00934104"/>
    <w:rsid w:val="00951425"/>
    <w:rsid w:val="00954704"/>
    <w:rsid w:val="00955A3F"/>
    <w:rsid w:val="00960430"/>
    <w:rsid w:val="00967AA4"/>
    <w:rsid w:val="00A05A16"/>
    <w:rsid w:val="00A267F9"/>
    <w:rsid w:val="00A842DF"/>
    <w:rsid w:val="00A946A6"/>
    <w:rsid w:val="00AA10D4"/>
    <w:rsid w:val="00AB2664"/>
    <w:rsid w:val="00AC49D6"/>
    <w:rsid w:val="00AC7ABF"/>
    <w:rsid w:val="00B07E79"/>
    <w:rsid w:val="00B31A8D"/>
    <w:rsid w:val="00B52013"/>
    <w:rsid w:val="00B54E8C"/>
    <w:rsid w:val="00B749AB"/>
    <w:rsid w:val="00B87AB6"/>
    <w:rsid w:val="00BB5C59"/>
    <w:rsid w:val="00BB5F62"/>
    <w:rsid w:val="00BC7D27"/>
    <w:rsid w:val="00BE2994"/>
    <w:rsid w:val="00BF68F7"/>
    <w:rsid w:val="00C009B4"/>
    <w:rsid w:val="00C01D90"/>
    <w:rsid w:val="00C10661"/>
    <w:rsid w:val="00C14435"/>
    <w:rsid w:val="00C71DAA"/>
    <w:rsid w:val="00C77455"/>
    <w:rsid w:val="00CA55DB"/>
    <w:rsid w:val="00CA5FCF"/>
    <w:rsid w:val="00CC65AD"/>
    <w:rsid w:val="00CD2A4D"/>
    <w:rsid w:val="00CD5891"/>
    <w:rsid w:val="00CD6EAB"/>
    <w:rsid w:val="00CF2676"/>
    <w:rsid w:val="00CF42BE"/>
    <w:rsid w:val="00D04CBB"/>
    <w:rsid w:val="00D21B8D"/>
    <w:rsid w:val="00D2264C"/>
    <w:rsid w:val="00D26D15"/>
    <w:rsid w:val="00D45281"/>
    <w:rsid w:val="00D53DC4"/>
    <w:rsid w:val="00D86A2F"/>
    <w:rsid w:val="00D90BC6"/>
    <w:rsid w:val="00E003D0"/>
    <w:rsid w:val="00E025CD"/>
    <w:rsid w:val="00E05034"/>
    <w:rsid w:val="00E220DE"/>
    <w:rsid w:val="00E63018"/>
    <w:rsid w:val="00E74755"/>
    <w:rsid w:val="00E77D37"/>
    <w:rsid w:val="00E87F22"/>
    <w:rsid w:val="00E9529E"/>
    <w:rsid w:val="00E96761"/>
    <w:rsid w:val="00EA4DFF"/>
    <w:rsid w:val="00EA6444"/>
    <w:rsid w:val="00EB7FBA"/>
    <w:rsid w:val="00EE6CAD"/>
    <w:rsid w:val="00EF67AA"/>
    <w:rsid w:val="00F03FA2"/>
    <w:rsid w:val="00F133BF"/>
    <w:rsid w:val="00F168FB"/>
    <w:rsid w:val="00F21312"/>
    <w:rsid w:val="00F23D77"/>
    <w:rsid w:val="00F642E6"/>
    <w:rsid w:val="00FA5496"/>
    <w:rsid w:val="00FB56C5"/>
    <w:rsid w:val="00FB79DD"/>
    <w:rsid w:val="00FE4FBE"/>
    <w:rsid w:val="00FE5ACA"/>
    <w:rsid w:val="19E20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25</cp:revision>
  <cp:lastPrinted>2019-11-29T08:05:00Z</cp:lastPrinted>
  <dcterms:created xsi:type="dcterms:W3CDTF">2019-11-26T06:20:00Z</dcterms:created>
  <dcterms:modified xsi:type="dcterms:W3CDTF">2020-08-31T07:33:00Z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