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F33" w:rsidRDefault="00B91EEA">
      <w:pPr>
        <w:spacing w:line="360" w:lineRule="auto"/>
        <w:ind w:rightChars="-73" w:right="-153"/>
        <w:jc w:val="center"/>
        <w:rPr>
          <w:rFonts w:ascii="黑体" w:eastAsia="黑体" w:hAnsi="宋体"/>
          <w:b/>
          <w:bCs/>
          <w:color w:val="FF0000"/>
          <w:sz w:val="32"/>
        </w:rPr>
      </w:pPr>
      <w:r>
        <w:rPr>
          <w:rFonts w:ascii="宋体" w:hAnsi="宋体" w:cs="宋体" w:hint="eastAsia"/>
          <w:color w:val="000000"/>
          <w:kern w:val="0"/>
          <w:sz w:val="24"/>
        </w:rPr>
        <w:t>证券代码：600200         证券简称：江苏吴中      公告编号：</w:t>
      </w:r>
      <w:r w:rsidRPr="00B91EEA">
        <w:rPr>
          <w:rFonts w:ascii="宋体" w:hAnsi="宋体" w:cs="宋体" w:hint="eastAsia"/>
          <w:color w:val="000000"/>
          <w:kern w:val="0"/>
          <w:sz w:val="24"/>
        </w:rPr>
        <w:t>临2020-04</w:t>
      </w:r>
      <w:r>
        <w:rPr>
          <w:rFonts w:ascii="宋体" w:hAnsi="宋体" w:cs="宋体" w:hint="eastAsia"/>
          <w:color w:val="000000"/>
          <w:kern w:val="0"/>
          <w:sz w:val="24"/>
        </w:rPr>
        <w:t>9</w:t>
      </w:r>
    </w:p>
    <w:p w:rsidR="00084F33" w:rsidRDefault="00084F33">
      <w:pPr>
        <w:spacing w:line="360" w:lineRule="auto"/>
        <w:ind w:rightChars="-73" w:right="-153"/>
        <w:jc w:val="center"/>
        <w:rPr>
          <w:rFonts w:ascii="黑体" w:eastAsia="黑体" w:hAnsi="宋体"/>
          <w:b/>
          <w:bCs/>
          <w:color w:val="FF0000"/>
          <w:sz w:val="32"/>
        </w:rPr>
      </w:pPr>
    </w:p>
    <w:p w:rsidR="00084F33" w:rsidRDefault="00B91EEA">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江苏吴中实业股份有限公司</w:t>
      </w:r>
    </w:p>
    <w:p w:rsidR="00084F33" w:rsidRDefault="00B91EEA">
      <w:pPr>
        <w:spacing w:line="360" w:lineRule="auto"/>
        <w:ind w:rightChars="-73" w:right="-153"/>
        <w:jc w:val="center"/>
        <w:rPr>
          <w:rFonts w:ascii="黑体" w:eastAsia="黑体" w:hAnsi="宋体"/>
          <w:b/>
          <w:bCs/>
          <w:color w:val="FF0000"/>
          <w:sz w:val="32"/>
        </w:rPr>
      </w:pPr>
      <w:r>
        <w:rPr>
          <w:rFonts w:ascii="黑体" w:eastAsia="黑体" w:hAnsi="宋体" w:hint="eastAsia"/>
          <w:b/>
          <w:bCs/>
          <w:color w:val="FF0000"/>
          <w:sz w:val="32"/>
        </w:rPr>
        <w:t>关于控股股东部分股份质押的公告</w:t>
      </w:r>
    </w:p>
    <w:p w:rsidR="00084F33" w:rsidRDefault="00084F33">
      <w:pPr>
        <w:autoSpaceDE w:val="0"/>
        <w:autoSpaceDN w:val="0"/>
        <w:adjustRightInd w:val="0"/>
        <w:spacing w:line="360" w:lineRule="auto"/>
        <w:ind w:firstLineChars="200" w:firstLine="482"/>
        <w:rPr>
          <w:rFonts w:ascii="ˎ̥" w:hAnsi="ˎ̥" w:hint="eastAsia"/>
          <w:b/>
          <w:sz w:val="24"/>
        </w:rPr>
      </w:pPr>
    </w:p>
    <w:p w:rsidR="00084F33" w:rsidRDefault="00B91EEA">
      <w:pPr>
        <w:autoSpaceDE w:val="0"/>
        <w:autoSpaceDN w:val="0"/>
        <w:adjustRightInd w:val="0"/>
        <w:spacing w:line="360" w:lineRule="auto"/>
        <w:ind w:firstLineChars="200" w:firstLine="482"/>
        <w:rPr>
          <w:rFonts w:ascii="ˎ̥" w:hAnsi="ˎ̥" w:hint="eastAsia"/>
          <w:b/>
          <w:sz w:val="24"/>
        </w:rPr>
      </w:pPr>
      <w:r>
        <w:rPr>
          <w:rFonts w:ascii="ˎ̥" w:hAnsi="ˎ̥" w:hint="eastAsia"/>
          <w:b/>
          <w:sz w:val="24"/>
        </w:rPr>
        <w:t>本公司董事会及董事会全体成员保证公告内容不存在虚假记载、误导性陈述或者重大遗漏，并对其内容的真实、准确和完整承担个别及连带责任。</w:t>
      </w:r>
    </w:p>
    <w:p w:rsidR="00084F33" w:rsidRDefault="00084F33">
      <w:pPr>
        <w:spacing w:line="420" w:lineRule="exact"/>
        <w:rPr>
          <w:rFonts w:ascii="宋体" w:cs="宋体"/>
          <w:color w:val="000000"/>
          <w:kern w:val="0"/>
          <w:sz w:val="24"/>
        </w:rPr>
      </w:pPr>
    </w:p>
    <w:p w:rsidR="00084F33" w:rsidRDefault="00B91EEA">
      <w:pPr>
        <w:autoSpaceDE w:val="0"/>
        <w:autoSpaceDN w:val="0"/>
        <w:adjustRightInd w:val="0"/>
        <w:spacing w:line="360" w:lineRule="auto"/>
        <w:ind w:firstLineChars="200" w:firstLine="482"/>
        <w:rPr>
          <w:rFonts w:ascii="宋体" w:hAnsi="宋体"/>
          <w:b/>
          <w:sz w:val="24"/>
        </w:rPr>
      </w:pPr>
      <w:r>
        <w:rPr>
          <w:rFonts w:ascii="宋体" w:hAnsi="宋体" w:hint="eastAsia"/>
          <w:b/>
          <w:sz w:val="24"/>
        </w:rPr>
        <w:t>重要内容提示：</w:t>
      </w:r>
    </w:p>
    <w:p w:rsidR="00084F33" w:rsidRPr="00B91EEA" w:rsidRDefault="00B91EEA">
      <w:pPr>
        <w:numPr>
          <w:ilvl w:val="0"/>
          <w:numId w:val="1"/>
        </w:numPr>
        <w:adjustRightInd w:val="0"/>
        <w:snapToGrid w:val="0"/>
        <w:spacing w:line="360" w:lineRule="auto"/>
        <w:rPr>
          <w:rFonts w:ascii="宋体" w:hAnsi="宋体"/>
          <w:sz w:val="24"/>
        </w:rPr>
      </w:pPr>
      <w:r>
        <w:rPr>
          <w:rFonts w:ascii="宋体" w:hAnsi="宋体" w:hint="eastAsia"/>
          <w:sz w:val="24"/>
        </w:rPr>
        <w:t>截至本公告披露日，江苏吴中实业股份有限公司（以下简称“公司”）控股股东苏州吴中投资控股有限公司（以下简称“控股股东”）持有公司</w:t>
      </w:r>
      <w:r w:rsidRPr="00B91EEA">
        <w:rPr>
          <w:rFonts w:ascii="宋体" w:hAnsi="宋体" w:hint="eastAsia"/>
          <w:sz w:val="24"/>
        </w:rPr>
        <w:t>122,795,762股股份（均为无限</w:t>
      </w:r>
      <w:proofErr w:type="gramStart"/>
      <w:r w:rsidRPr="00B91EEA">
        <w:rPr>
          <w:rFonts w:ascii="宋体" w:hAnsi="宋体" w:hint="eastAsia"/>
          <w:sz w:val="24"/>
        </w:rPr>
        <w:t>售流通</w:t>
      </w:r>
      <w:proofErr w:type="gramEnd"/>
      <w:r w:rsidRPr="00B91EEA">
        <w:rPr>
          <w:rFonts w:ascii="宋体" w:hAnsi="宋体" w:hint="eastAsia"/>
          <w:sz w:val="24"/>
        </w:rPr>
        <w:t>股），占公司总股本的17.24%。</w:t>
      </w:r>
    </w:p>
    <w:p w:rsidR="00084F33" w:rsidRPr="00B91EEA" w:rsidRDefault="00B91EEA">
      <w:pPr>
        <w:numPr>
          <w:ilvl w:val="0"/>
          <w:numId w:val="1"/>
        </w:numPr>
        <w:adjustRightInd w:val="0"/>
        <w:snapToGrid w:val="0"/>
        <w:spacing w:line="360" w:lineRule="auto"/>
        <w:rPr>
          <w:rFonts w:ascii="宋体" w:hAnsi="宋体"/>
          <w:sz w:val="24"/>
        </w:rPr>
      </w:pPr>
      <w:r w:rsidRPr="00B91EEA">
        <w:rPr>
          <w:rFonts w:ascii="宋体" w:hAnsi="宋体" w:hint="eastAsia"/>
          <w:sz w:val="24"/>
        </w:rPr>
        <w:t>本次部分股份质押后，控股股东累计质押股份数量93,300,000股，占其持有公司股份总数的75.98%，占公司总股本的13.10%。</w:t>
      </w:r>
    </w:p>
    <w:p w:rsidR="00084F33" w:rsidRPr="00B91EEA" w:rsidRDefault="00084F33">
      <w:pPr>
        <w:spacing w:line="420" w:lineRule="exact"/>
        <w:rPr>
          <w:rFonts w:ascii="宋体" w:cs="宋体"/>
          <w:kern w:val="0"/>
          <w:sz w:val="24"/>
        </w:rPr>
      </w:pPr>
    </w:p>
    <w:p w:rsidR="00084F33" w:rsidRPr="00B91EEA" w:rsidRDefault="00B91EEA">
      <w:pPr>
        <w:spacing w:line="360" w:lineRule="auto"/>
        <w:ind w:firstLine="480"/>
        <w:rPr>
          <w:rFonts w:asciiTheme="minorEastAsia" w:eastAsiaTheme="minorEastAsia" w:hAnsiTheme="minorEastAsia"/>
          <w:sz w:val="24"/>
        </w:rPr>
      </w:pPr>
      <w:r w:rsidRPr="00B91EEA">
        <w:rPr>
          <w:rFonts w:asciiTheme="minorEastAsia" w:eastAsiaTheme="minorEastAsia" w:hAnsiTheme="minorEastAsia" w:hint="eastAsia"/>
          <w:sz w:val="24"/>
        </w:rPr>
        <w:t>公司于2020年8月25日收到控股股东苏州吴中投资控股有限公司关于部分股份质押的通知，具体情况如下：</w:t>
      </w:r>
    </w:p>
    <w:p w:rsidR="00084F33" w:rsidRPr="00B91EEA" w:rsidRDefault="00B91EEA">
      <w:pPr>
        <w:spacing w:after="240" w:line="420" w:lineRule="exact"/>
        <w:ind w:firstLineChars="200" w:firstLine="482"/>
        <w:rPr>
          <w:rFonts w:asciiTheme="minorEastAsia" w:eastAsiaTheme="minorEastAsia" w:hAnsiTheme="minorEastAsia"/>
          <w:b/>
          <w:sz w:val="24"/>
        </w:rPr>
      </w:pPr>
      <w:r w:rsidRPr="00B91EEA">
        <w:rPr>
          <w:rFonts w:asciiTheme="minorEastAsia" w:eastAsiaTheme="minorEastAsia" w:hAnsiTheme="minorEastAsia" w:hint="eastAsia"/>
          <w:b/>
          <w:sz w:val="24"/>
        </w:rPr>
        <w:t>一、股份质押基本情况</w:t>
      </w:r>
    </w:p>
    <w:p w:rsidR="00084F33" w:rsidRPr="00B91EEA" w:rsidRDefault="00B91EEA">
      <w:pPr>
        <w:spacing w:after="240" w:line="420" w:lineRule="exact"/>
        <w:ind w:firstLineChars="200" w:firstLine="480"/>
        <w:rPr>
          <w:rFonts w:asciiTheme="minorEastAsia" w:eastAsiaTheme="minorEastAsia" w:hAnsiTheme="minorEastAsia"/>
          <w:sz w:val="24"/>
        </w:rPr>
      </w:pPr>
      <w:r w:rsidRPr="00B91EEA">
        <w:rPr>
          <w:rFonts w:asciiTheme="minorEastAsia" w:eastAsiaTheme="minorEastAsia" w:hAnsiTheme="minorEastAsia" w:hint="eastAsia"/>
          <w:sz w:val="24"/>
        </w:rPr>
        <w:t>1、本次股份质押基本情况</w:t>
      </w:r>
      <w:bookmarkStart w:id="0" w:name="_GoBack"/>
      <w:bookmarkEnd w:id="0"/>
    </w:p>
    <w:tbl>
      <w:tblPr>
        <w:tblW w:w="10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1"/>
        <w:gridCol w:w="972"/>
        <w:gridCol w:w="1232"/>
        <w:gridCol w:w="915"/>
        <w:gridCol w:w="840"/>
        <w:gridCol w:w="1065"/>
        <w:gridCol w:w="1080"/>
        <w:gridCol w:w="1088"/>
        <w:gridCol w:w="850"/>
        <w:gridCol w:w="851"/>
        <w:gridCol w:w="850"/>
      </w:tblGrid>
      <w:tr w:rsidR="00084F33" w:rsidRPr="00B91EEA" w:rsidTr="00B91EEA">
        <w:trPr>
          <w:cantSplit/>
          <w:trHeight w:val="941"/>
          <w:jc w:val="center"/>
        </w:trPr>
        <w:tc>
          <w:tcPr>
            <w:tcW w:w="911" w:type="dxa"/>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股东</w:t>
            </w:r>
          </w:p>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名称</w:t>
            </w:r>
          </w:p>
        </w:tc>
        <w:tc>
          <w:tcPr>
            <w:tcW w:w="972" w:type="dxa"/>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是否为</w:t>
            </w:r>
          </w:p>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控股股东</w:t>
            </w:r>
          </w:p>
        </w:tc>
        <w:tc>
          <w:tcPr>
            <w:tcW w:w="1232" w:type="dxa"/>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本次质押股数(股)</w:t>
            </w:r>
          </w:p>
        </w:tc>
        <w:tc>
          <w:tcPr>
            <w:tcW w:w="915" w:type="dxa"/>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是否为限售股</w:t>
            </w:r>
          </w:p>
        </w:tc>
        <w:tc>
          <w:tcPr>
            <w:tcW w:w="840" w:type="dxa"/>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是否补充质押</w:t>
            </w:r>
          </w:p>
        </w:tc>
        <w:tc>
          <w:tcPr>
            <w:tcW w:w="1065" w:type="dxa"/>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质押</w:t>
            </w:r>
          </w:p>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起始日</w:t>
            </w:r>
          </w:p>
        </w:tc>
        <w:tc>
          <w:tcPr>
            <w:tcW w:w="1080" w:type="dxa"/>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质押</w:t>
            </w:r>
          </w:p>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到期日</w:t>
            </w:r>
          </w:p>
        </w:tc>
        <w:tc>
          <w:tcPr>
            <w:tcW w:w="1088" w:type="dxa"/>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质权人</w:t>
            </w:r>
          </w:p>
        </w:tc>
        <w:tc>
          <w:tcPr>
            <w:tcW w:w="850" w:type="dxa"/>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占其所持股份比例</w:t>
            </w:r>
          </w:p>
        </w:tc>
        <w:tc>
          <w:tcPr>
            <w:tcW w:w="851" w:type="dxa"/>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占公司总股本比例</w:t>
            </w:r>
          </w:p>
        </w:tc>
        <w:tc>
          <w:tcPr>
            <w:tcW w:w="850" w:type="dxa"/>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质押融资资金用途</w:t>
            </w:r>
          </w:p>
        </w:tc>
      </w:tr>
      <w:tr w:rsidR="00084F33" w:rsidRPr="00B91EEA" w:rsidTr="00B91EEA">
        <w:trPr>
          <w:cantSplit/>
          <w:trHeight w:val="471"/>
          <w:jc w:val="center"/>
        </w:trPr>
        <w:tc>
          <w:tcPr>
            <w:tcW w:w="911" w:type="dxa"/>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苏州吴中投资控股有限公司</w:t>
            </w:r>
          </w:p>
        </w:tc>
        <w:tc>
          <w:tcPr>
            <w:tcW w:w="972" w:type="dxa"/>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是</w:t>
            </w:r>
          </w:p>
        </w:tc>
        <w:tc>
          <w:tcPr>
            <w:tcW w:w="1232" w:type="dxa"/>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9,800,000</w:t>
            </w:r>
          </w:p>
        </w:tc>
        <w:tc>
          <w:tcPr>
            <w:tcW w:w="915" w:type="dxa"/>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否</w:t>
            </w:r>
          </w:p>
        </w:tc>
        <w:tc>
          <w:tcPr>
            <w:tcW w:w="840" w:type="dxa"/>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否</w:t>
            </w:r>
          </w:p>
        </w:tc>
        <w:tc>
          <w:tcPr>
            <w:tcW w:w="1065" w:type="dxa"/>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2020</w:t>
            </w:r>
            <w:r w:rsidR="000E374D">
              <w:rPr>
                <w:rFonts w:asciiTheme="minorEastAsia" w:eastAsiaTheme="minorEastAsia" w:hAnsiTheme="minorEastAsia" w:hint="eastAsia"/>
                <w:szCs w:val="21"/>
              </w:rPr>
              <w:t>年</w:t>
            </w:r>
            <w:r w:rsidRPr="00B91EEA">
              <w:rPr>
                <w:rFonts w:asciiTheme="minorEastAsia" w:eastAsiaTheme="minorEastAsia" w:hAnsiTheme="minorEastAsia" w:hint="eastAsia"/>
                <w:szCs w:val="21"/>
              </w:rPr>
              <w:t>8</w:t>
            </w:r>
            <w:r w:rsidR="000E374D">
              <w:rPr>
                <w:rFonts w:asciiTheme="minorEastAsia" w:eastAsiaTheme="minorEastAsia" w:hAnsiTheme="minorEastAsia" w:hint="eastAsia"/>
                <w:szCs w:val="21"/>
              </w:rPr>
              <w:t>月</w:t>
            </w:r>
            <w:r w:rsidRPr="00B91EEA">
              <w:rPr>
                <w:rFonts w:asciiTheme="minorEastAsia" w:eastAsiaTheme="minorEastAsia" w:hAnsiTheme="minorEastAsia" w:hint="eastAsia"/>
                <w:szCs w:val="21"/>
              </w:rPr>
              <w:t>24</w:t>
            </w:r>
            <w:r w:rsidR="000E374D">
              <w:rPr>
                <w:rFonts w:asciiTheme="minorEastAsia" w:eastAsiaTheme="minorEastAsia" w:hAnsiTheme="minorEastAsia" w:hint="eastAsia"/>
                <w:szCs w:val="21"/>
              </w:rPr>
              <w:t>日</w:t>
            </w:r>
          </w:p>
        </w:tc>
        <w:tc>
          <w:tcPr>
            <w:tcW w:w="1080" w:type="dxa"/>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2023</w:t>
            </w:r>
            <w:r w:rsidR="000E374D">
              <w:rPr>
                <w:rFonts w:asciiTheme="minorEastAsia" w:eastAsiaTheme="minorEastAsia" w:hAnsiTheme="minorEastAsia" w:hint="eastAsia"/>
                <w:szCs w:val="21"/>
              </w:rPr>
              <w:t>年</w:t>
            </w:r>
            <w:r w:rsidRPr="00B91EEA">
              <w:rPr>
                <w:rFonts w:asciiTheme="minorEastAsia" w:eastAsiaTheme="minorEastAsia" w:hAnsiTheme="minorEastAsia" w:hint="eastAsia"/>
                <w:szCs w:val="21"/>
              </w:rPr>
              <w:t>8</w:t>
            </w:r>
            <w:r w:rsidR="000E374D">
              <w:rPr>
                <w:rFonts w:asciiTheme="minorEastAsia" w:eastAsiaTheme="minorEastAsia" w:hAnsiTheme="minorEastAsia" w:hint="eastAsia"/>
                <w:szCs w:val="21"/>
              </w:rPr>
              <w:t>月</w:t>
            </w:r>
            <w:r w:rsidRPr="00B91EEA">
              <w:rPr>
                <w:rFonts w:asciiTheme="minorEastAsia" w:eastAsiaTheme="minorEastAsia" w:hAnsiTheme="minorEastAsia" w:hint="eastAsia"/>
                <w:szCs w:val="21"/>
              </w:rPr>
              <w:t>24</w:t>
            </w:r>
            <w:r w:rsidR="000E374D">
              <w:rPr>
                <w:rFonts w:asciiTheme="minorEastAsia" w:eastAsiaTheme="minorEastAsia" w:hAnsiTheme="minorEastAsia" w:hint="eastAsia"/>
                <w:szCs w:val="21"/>
              </w:rPr>
              <w:t>日</w:t>
            </w:r>
          </w:p>
        </w:tc>
        <w:tc>
          <w:tcPr>
            <w:tcW w:w="1088" w:type="dxa"/>
            <w:tcBorders>
              <w:top w:val="single" w:sz="4" w:space="0" w:color="auto"/>
              <w:left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南洋商业银行（中国）有限公司苏州分行</w:t>
            </w:r>
          </w:p>
        </w:tc>
        <w:tc>
          <w:tcPr>
            <w:tcW w:w="850" w:type="dxa"/>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7.98%</w:t>
            </w:r>
          </w:p>
        </w:tc>
        <w:tc>
          <w:tcPr>
            <w:tcW w:w="851" w:type="dxa"/>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1.38%</w:t>
            </w:r>
          </w:p>
        </w:tc>
        <w:tc>
          <w:tcPr>
            <w:tcW w:w="850" w:type="dxa"/>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自身生产经营</w:t>
            </w:r>
          </w:p>
        </w:tc>
      </w:tr>
      <w:tr w:rsidR="00B91EEA" w:rsidRPr="00B91EEA" w:rsidTr="00B91EEA">
        <w:trPr>
          <w:cantSplit/>
          <w:trHeight w:val="471"/>
          <w:jc w:val="center"/>
        </w:trPr>
        <w:tc>
          <w:tcPr>
            <w:tcW w:w="911" w:type="dxa"/>
            <w:tcBorders>
              <w:top w:val="single" w:sz="4" w:space="0" w:color="auto"/>
              <w:left w:val="single" w:sz="4" w:space="0" w:color="auto"/>
              <w:bottom w:val="single" w:sz="4" w:space="0" w:color="auto"/>
              <w:right w:val="single" w:sz="4" w:space="0" w:color="auto"/>
            </w:tcBorders>
            <w:vAlign w:val="center"/>
          </w:tcPr>
          <w:p w:rsidR="00B91EEA"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合计</w:t>
            </w:r>
          </w:p>
        </w:tc>
        <w:tc>
          <w:tcPr>
            <w:tcW w:w="972" w:type="dxa"/>
            <w:tcBorders>
              <w:top w:val="single" w:sz="4" w:space="0" w:color="auto"/>
              <w:left w:val="single" w:sz="4" w:space="0" w:color="auto"/>
              <w:bottom w:val="single" w:sz="4" w:space="0" w:color="auto"/>
              <w:right w:val="single" w:sz="4" w:space="0" w:color="auto"/>
            </w:tcBorders>
            <w:vAlign w:val="center"/>
          </w:tcPr>
          <w:p w:rsidR="00B91EEA"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w:t>
            </w:r>
          </w:p>
        </w:tc>
        <w:tc>
          <w:tcPr>
            <w:tcW w:w="1232" w:type="dxa"/>
            <w:tcBorders>
              <w:top w:val="single" w:sz="4" w:space="0" w:color="auto"/>
              <w:left w:val="single" w:sz="4" w:space="0" w:color="auto"/>
              <w:bottom w:val="single" w:sz="4" w:space="0" w:color="auto"/>
              <w:right w:val="single" w:sz="4" w:space="0" w:color="auto"/>
            </w:tcBorders>
            <w:vAlign w:val="center"/>
          </w:tcPr>
          <w:p w:rsidR="00B91EEA"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9,800,000</w:t>
            </w:r>
          </w:p>
        </w:tc>
        <w:tc>
          <w:tcPr>
            <w:tcW w:w="915" w:type="dxa"/>
            <w:tcBorders>
              <w:top w:val="single" w:sz="4" w:space="0" w:color="auto"/>
              <w:left w:val="single" w:sz="4" w:space="0" w:color="auto"/>
              <w:bottom w:val="single" w:sz="4" w:space="0" w:color="auto"/>
              <w:right w:val="single" w:sz="4" w:space="0" w:color="auto"/>
            </w:tcBorders>
            <w:vAlign w:val="center"/>
          </w:tcPr>
          <w:p w:rsidR="00B91EEA"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w:t>
            </w:r>
          </w:p>
        </w:tc>
        <w:tc>
          <w:tcPr>
            <w:tcW w:w="840" w:type="dxa"/>
            <w:tcBorders>
              <w:top w:val="single" w:sz="4" w:space="0" w:color="auto"/>
              <w:left w:val="single" w:sz="4" w:space="0" w:color="auto"/>
              <w:bottom w:val="single" w:sz="4" w:space="0" w:color="auto"/>
              <w:right w:val="single" w:sz="4" w:space="0" w:color="auto"/>
            </w:tcBorders>
            <w:vAlign w:val="center"/>
          </w:tcPr>
          <w:p w:rsidR="00B91EEA"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w:t>
            </w:r>
          </w:p>
        </w:tc>
        <w:tc>
          <w:tcPr>
            <w:tcW w:w="1065" w:type="dxa"/>
            <w:tcBorders>
              <w:top w:val="single" w:sz="4" w:space="0" w:color="auto"/>
              <w:left w:val="single" w:sz="4" w:space="0" w:color="auto"/>
              <w:bottom w:val="single" w:sz="4" w:space="0" w:color="auto"/>
              <w:right w:val="single" w:sz="4" w:space="0" w:color="auto"/>
            </w:tcBorders>
            <w:vAlign w:val="center"/>
          </w:tcPr>
          <w:p w:rsidR="00B91EEA"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rsidR="00B91EEA"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w:t>
            </w:r>
          </w:p>
        </w:tc>
        <w:tc>
          <w:tcPr>
            <w:tcW w:w="1088" w:type="dxa"/>
            <w:tcBorders>
              <w:left w:val="single" w:sz="4" w:space="0" w:color="auto"/>
              <w:bottom w:val="single" w:sz="4" w:space="0" w:color="auto"/>
              <w:right w:val="single" w:sz="4" w:space="0" w:color="auto"/>
            </w:tcBorders>
            <w:vAlign w:val="center"/>
          </w:tcPr>
          <w:p w:rsidR="00B91EEA"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w:t>
            </w:r>
          </w:p>
        </w:tc>
        <w:tc>
          <w:tcPr>
            <w:tcW w:w="850" w:type="dxa"/>
            <w:tcBorders>
              <w:top w:val="single" w:sz="4" w:space="0" w:color="auto"/>
              <w:left w:val="single" w:sz="4" w:space="0" w:color="auto"/>
              <w:bottom w:val="single" w:sz="4" w:space="0" w:color="auto"/>
              <w:right w:val="single" w:sz="4" w:space="0" w:color="auto"/>
            </w:tcBorders>
            <w:vAlign w:val="center"/>
          </w:tcPr>
          <w:p w:rsidR="00B91EEA" w:rsidRPr="00B91EEA" w:rsidRDefault="00B91EEA" w:rsidP="001B2C47">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7.98%</w:t>
            </w:r>
          </w:p>
        </w:tc>
        <w:tc>
          <w:tcPr>
            <w:tcW w:w="851" w:type="dxa"/>
            <w:tcBorders>
              <w:top w:val="single" w:sz="4" w:space="0" w:color="auto"/>
              <w:left w:val="single" w:sz="4" w:space="0" w:color="auto"/>
              <w:bottom w:val="single" w:sz="4" w:space="0" w:color="auto"/>
              <w:right w:val="single" w:sz="4" w:space="0" w:color="auto"/>
            </w:tcBorders>
            <w:vAlign w:val="center"/>
          </w:tcPr>
          <w:p w:rsidR="00B91EEA" w:rsidRPr="00B91EEA" w:rsidRDefault="00B91EEA" w:rsidP="001B2C47">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1.38%</w:t>
            </w:r>
          </w:p>
        </w:tc>
        <w:tc>
          <w:tcPr>
            <w:tcW w:w="850" w:type="dxa"/>
            <w:tcBorders>
              <w:top w:val="single" w:sz="4" w:space="0" w:color="auto"/>
              <w:left w:val="single" w:sz="4" w:space="0" w:color="auto"/>
              <w:bottom w:val="single" w:sz="4" w:space="0" w:color="auto"/>
              <w:right w:val="single" w:sz="4" w:space="0" w:color="auto"/>
            </w:tcBorders>
            <w:vAlign w:val="center"/>
          </w:tcPr>
          <w:p w:rsidR="00B91EEA"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w:t>
            </w:r>
          </w:p>
        </w:tc>
      </w:tr>
    </w:tbl>
    <w:p w:rsidR="00084F33" w:rsidRPr="00B91EEA" w:rsidRDefault="00B91EEA">
      <w:pPr>
        <w:spacing w:line="420" w:lineRule="exact"/>
        <w:ind w:firstLineChars="200" w:firstLine="480"/>
        <w:rPr>
          <w:rFonts w:asciiTheme="minorEastAsia" w:eastAsiaTheme="minorEastAsia" w:hAnsiTheme="minorEastAsia"/>
          <w:sz w:val="24"/>
        </w:rPr>
      </w:pPr>
      <w:r w:rsidRPr="00B91EEA">
        <w:rPr>
          <w:rFonts w:asciiTheme="minorEastAsia" w:eastAsiaTheme="minorEastAsia" w:hAnsiTheme="minorEastAsia" w:hint="eastAsia"/>
          <w:sz w:val="24"/>
        </w:rPr>
        <w:t>2、本次质押股份不存在被用作重大资产重组业绩补偿等事项的担保或其他保障用途等情况。</w:t>
      </w:r>
    </w:p>
    <w:p w:rsidR="00084F33" w:rsidRPr="00B91EEA" w:rsidRDefault="00B91EEA">
      <w:pPr>
        <w:spacing w:line="420" w:lineRule="exact"/>
        <w:ind w:firstLineChars="200" w:firstLine="480"/>
        <w:rPr>
          <w:rFonts w:asciiTheme="minorEastAsia" w:eastAsiaTheme="minorEastAsia" w:hAnsiTheme="minorEastAsia"/>
          <w:sz w:val="24"/>
        </w:rPr>
      </w:pPr>
      <w:r w:rsidRPr="00B91EEA">
        <w:rPr>
          <w:rFonts w:asciiTheme="minorEastAsia" w:eastAsiaTheme="minorEastAsia" w:hAnsiTheme="minorEastAsia" w:hint="eastAsia"/>
          <w:sz w:val="24"/>
        </w:rPr>
        <w:t>3、股东累计质押股份情况</w:t>
      </w:r>
    </w:p>
    <w:p w:rsidR="00084F33" w:rsidRPr="00B91EEA" w:rsidRDefault="00B91EEA">
      <w:pPr>
        <w:adjustRightInd w:val="0"/>
        <w:snapToGrid w:val="0"/>
        <w:spacing w:line="560" w:lineRule="exact"/>
        <w:ind w:firstLineChars="200" w:firstLine="480"/>
        <w:rPr>
          <w:rFonts w:asciiTheme="minorEastAsia" w:eastAsiaTheme="minorEastAsia" w:hAnsiTheme="minorEastAsia"/>
          <w:sz w:val="24"/>
        </w:rPr>
      </w:pPr>
      <w:r w:rsidRPr="00B91EEA">
        <w:rPr>
          <w:rFonts w:asciiTheme="minorEastAsia" w:eastAsiaTheme="minorEastAsia" w:hAnsiTheme="minorEastAsia" w:hint="eastAsia"/>
          <w:sz w:val="24"/>
        </w:rPr>
        <w:lastRenderedPageBreak/>
        <w:t>截至公告披露日，控股股东累计质押股份情况如下：</w:t>
      </w:r>
    </w:p>
    <w:tbl>
      <w:tblPr>
        <w:tblW w:w="64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
        <w:gridCol w:w="1371"/>
        <w:gridCol w:w="846"/>
        <w:gridCol w:w="1266"/>
        <w:gridCol w:w="1267"/>
        <w:gridCol w:w="846"/>
        <w:gridCol w:w="846"/>
        <w:gridCol w:w="970"/>
        <w:gridCol w:w="848"/>
        <w:gridCol w:w="853"/>
        <w:gridCol w:w="899"/>
      </w:tblGrid>
      <w:tr w:rsidR="00084F33" w:rsidRPr="00B91EEA">
        <w:trPr>
          <w:cantSplit/>
          <w:trHeight w:val="478"/>
          <w:jc w:val="center"/>
        </w:trPr>
        <w:tc>
          <w:tcPr>
            <w:tcW w:w="479" w:type="pct"/>
            <w:vMerge w:val="restart"/>
            <w:tcBorders>
              <w:top w:val="single" w:sz="4" w:space="0" w:color="auto"/>
              <w:left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股东名称</w:t>
            </w:r>
          </w:p>
        </w:tc>
        <w:tc>
          <w:tcPr>
            <w:tcW w:w="619" w:type="pct"/>
            <w:vMerge w:val="restart"/>
            <w:tcBorders>
              <w:top w:val="single" w:sz="4" w:space="0" w:color="auto"/>
              <w:left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持股数量(股)</w:t>
            </w:r>
          </w:p>
        </w:tc>
        <w:tc>
          <w:tcPr>
            <w:tcW w:w="382" w:type="pct"/>
            <w:vMerge w:val="restart"/>
            <w:tcBorders>
              <w:top w:val="single" w:sz="4" w:space="0" w:color="auto"/>
              <w:left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持股比例</w:t>
            </w:r>
          </w:p>
        </w:tc>
        <w:tc>
          <w:tcPr>
            <w:tcW w:w="572" w:type="pct"/>
            <w:vMerge w:val="restart"/>
            <w:tcBorders>
              <w:top w:val="single" w:sz="4" w:space="0" w:color="auto"/>
              <w:left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本次质押前累计质押数量(股)</w:t>
            </w:r>
          </w:p>
        </w:tc>
        <w:tc>
          <w:tcPr>
            <w:tcW w:w="572" w:type="pct"/>
            <w:vMerge w:val="restart"/>
            <w:tcBorders>
              <w:top w:val="single" w:sz="4" w:space="0" w:color="auto"/>
              <w:left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本次质押后累计质押数量(股)</w:t>
            </w:r>
          </w:p>
        </w:tc>
        <w:tc>
          <w:tcPr>
            <w:tcW w:w="382" w:type="pct"/>
            <w:vMerge w:val="restart"/>
            <w:tcBorders>
              <w:top w:val="single" w:sz="4" w:space="0" w:color="auto"/>
              <w:left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占其所持股份比例</w:t>
            </w:r>
          </w:p>
        </w:tc>
        <w:tc>
          <w:tcPr>
            <w:tcW w:w="382" w:type="pct"/>
            <w:vMerge w:val="restart"/>
            <w:tcBorders>
              <w:top w:val="single" w:sz="4" w:space="0" w:color="auto"/>
              <w:left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占公司总股本比例</w:t>
            </w:r>
          </w:p>
        </w:tc>
        <w:tc>
          <w:tcPr>
            <w:tcW w:w="821" w:type="pct"/>
            <w:gridSpan w:val="2"/>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已质押股份情况</w:t>
            </w:r>
          </w:p>
        </w:tc>
        <w:tc>
          <w:tcPr>
            <w:tcW w:w="791" w:type="pct"/>
            <w:gridSpan w:val="2"/>
            <w:tcBorders>
              <w:top w:val="single" w:sz="4" w:space="0" w:color="auto"/>
              <w:left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未质押股份情况</w:t>
            </w:r>
          </w:p>
        </w:tc>
      </w:tr>
      <w:tr w:rsidR="00084F33" w:rsidRPr="00B91EEA">
        <w:trPr>
          <w:cantSplit/>
          <w:trHeight w:val="478"/>
          <w:jc w:val="center"/>
        </w:trPr>
        <w:tc>
          <w:tcPr>
            <w:tcW w:w="479" w:type="pct"/>
            <w:vMerge/>
            <w:tcBorders>
              <w:left w:val="single" w:sz="4" w:space="0" w:color="auto"/>
              <w:bottom w:val="single" w:sz="4" w:space="0" w:color="auto"/>
              <w:right w:val="single" w:sz="4" w:space="0" w:color="auto"/>
            </w:tcBorders>
            <w:vAlign w:val="center"/>
          </w:tcPr>
          <w:p w:rsidR="00084F33" w:rsidRPr="00B91EEA" w:rsidRDefault="00084F33">
            <w:pPr>
              <w:jc w:val="center"/>
              <w:rPr>
                <w:rFonts w:asciiTheme="minorEastAsia" w:eastAsiaTheme="minorEastAsia" w:hAnsiTheme="minorEastAsia"/>
                <w:szCs w:val="21"/>
              </w:rPr>
            </w:pPr>
          </w:p>
        </w:tc>
        <w:tc>
          <w:tcPr>
            <w:tcW w:w="619" w:type="pct"/>
            <w:vMerge/>
            <w:tcBorders>
              <w:left w:val="single" w:sz="4" w:space="0" w:color="auto"/>
              <w:bottom w:val="single" w:sz="4" w:space="0" w:color="auto"/>
              <w:right w:val="single" w:sz="4" w:space="0" w:color="auto"/>
            </w:tcBorders>
            <w:vAlign w:val="center"/>
          </w:tcPr>
          <w:p w:rsidR="00084F33" w:rsidRPr="00B91EEA" w:rsidRDefault="00084F33">
            <w:pPr>
              <w:jc w:val="center"/>
              <w:rPr>
                <w:rFonts w:asciiTheme="minorEastAsia" w:eastAsiaTheme="minorEastAsia" w:hAnsiTheme="minorEastAsia"/>
                <w:szCs w:val="21"/>
              </w:rPr>
            </w:pPr>
          </w:p>
        </w:tc>
        <w:tc>
          <w:tcPr>
            <w:tcW w:w="382" w:type="pct"/>
            <w:vMerge/>
            <w:tcBorders>
              <w:left w:val="single" w:sz="4" w:space="0" w:color="auto"/>
              <w:bottom w:val="single" w:sz="4" w:space="0" w:color="auto"/>
              <w:right w:val="single" w:sz="4" w:space="0" w:color="auto"/>
            </w:tcBorders>
            <w:vAlign w:val="center"/>
          </w:tcPr>
          <w:p w:rsidR="00084F33" w:rsidRPr="00B91EEA" w:rsidRDefault="00084F33">
            <w:pPr>
              <w:jc w:val="center"/>
              <w:rPr>
                <w:rFonts w:asciiTheme="minorEastAsia" w:eastAsiaTheme="minorEastAsia" w:hAnsiTheme="minorEastAsia"/>
                <w:szCs w:val="21"/>
              </w:rPr>
            </w:pPr>
          </w:p>
        </w:tc>
        <w:tc>
          <w:tcPr>
            <w:tcW w:w="572" w:type="pct"/>
            <w:vMerge/>
            <w:tcBorders>
              <w:left w:val="single" w:sz="4" w:space="0" w:color="auto"/>
              <w:bottom w:val="single" w:sz="4" w:space="0" w:color="auto"/>
              <w:right w:val="single" w:sz="4" w:space="0" w:color="auto"/>
            </w:tcBorders>
          </w:tcPr>
          <w:p w:rsidR="00084F33" w:rsidRPr="00B91EEA" w:rsidRDefault="00084F33">
            <w:pPr>
              <w:jc w:val="center"/>
              <w:rPr>
                <w:rFonts w:asciiTheme="minorEastAsia" w:eastAsiaTheme="minorEastAsia" w:hAnsiTheme="minorEastAsia"/>
                <w:szCs w:val="21"/>
              </w:rPr>
            </w:pPr>
          </w:p>
        </w:tc>
        <w:tc>
          <w:tcPr>
            <w:tcW w:w="572" w:type="pct"/>
            <w:vMerge/>
            <w:tcBorders>
              <w:left w:val="single" w:sz="4" w:space="0" w:color="auto"/>
              <w:bottom w:val="single" w:sz="4" w:space="0" w:color="auto"/>
              <w:right w:val="single" w:sz="4" w:space="0" w:color="auto"/>
            </w:tcBorders>
            <w:vAlign w:val="center"/>
          </w:tcPr>
          <w:p w:rsidR="00084F33" w:rsidRPr="00B91EEA" w:rsidRDefault="00084F33">
            <w:pPr>
              <w:jc w:val="center"/>
              <w:rPr>
                <w:rFonts w:asciiTheme="minorEastAsia" w:eastAsiaTheme="minorEastAsia" w:hAnsiTheme="minorEastAsia"/>
                <w:szCs w:val="21"/>
              </w:rPr>
            </w:pPr>
          </w:p>
        </w:tc>
        <w:tc>
          <w:tcPr>
            <w:tcW w:w="382" w:type="pct"/>
            <w:vMerge/>
            <w:tcBorders>
              <w:left w:val="single" w:sz="4" w:space="0" w:color="auto"/>
              <w:bottom w:val="single" w:sz="4" w:space="0" w:color="auto"/>
              <w:right w:val="single" w:sz="4" w:space="0" w:color="auto"/>
            </w:tcBorders>
            <w:vAlign w:val="center"/>
          </w:tcPr>
          <w:p w:rsidR="00084F33" w:rsidRPr="00B91EEA" w:rsidRDefault="00084F33">
            <w:pPr>
              <w:jc w:val="center"/>
              <w:rPr>
                <w:rFonts w:asciiTheme="minorEastAsia" w:eastAsiaTheme="minorEastAsia" w:hAnsiTheme="minorEastAsia"/>
                <w:szCs w:val="21"/>
              </w:rPr>
            </w:pPr>
          </w:p>
        </w:tc>
        <w:tc>
          <w:tcPr>
            <w:tcW w:w="382" w:type="pct"/>
            <w:vMerge/>
            <w:tcBorders>
              <w:left w:val="single" w:sz="4" w:space="0" w:color="auto"/>
              <w:bottom w:val="single" w:sz="4" w:space="0" w:color="auto"/>
              <w:right w:val="single" w:sz="4" w:space="0" w:color="auto"/>
            </w:tcBorders>
            <w:vAlign w:val="center"/>
          </w:tcPr>
          <w:p w:rsidR="00084F33" w:rsidRPr="00B91EEA" w:rsidRDefault="00084F33">
            <w:pPr>
              <w:jc w:val="center"/>
              <w:rPr>
                <w:rFonts w:asciiTheme="minorEastAsia" w:eastAsiaTheme="minorEastAsia" w:hAnsiTheme="minorEastAsia"/>
                <w:szCs w:val="21"/>
              </w:rPr>
            </w:pPr>
          </w:p>
        </w:tc>
        <w:tc>
          <w:tcPr>
            <w:tcW w:w="438" w:type="pct"/>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已质押股份中限售股份数量</w:t>
            </w:r>
          </w:p>
        </w:tc>
        <w:tc>
          <w:tcPr>
            <w:tcW w:w="383" w:type="pct"/>
            <w:tcBorders>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已质押股份中冻结股份数量</w:t>
            </w:r>
          </w:p>
        </w:tc>
        <w:tc>
          <w:tcPr>
            <w:tcW w:w="385" w:type="pct"/>
            <w:tcBorders>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未质押股份中限售股份数量</w:t>
            </w:r>
          </w:p>
        </w:tc>
        <w:tc>
          <w:tcPr>
            <w:tcW w:w="406" w:type="pct"/>
            <w:tcBorders>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未质押股份中冻结股份数量</w:t>
            </w:r>
          </w:p>
        </w:tc>
      </w:tr>
      <w:tr w:rsidR="00084F33" w:rsidRPr="00B91EEA">
        <w:trPr>
          <w:cantSplit/>
          <w:trHeight w:val="581"/>
          <w:jc w:val="center"/>
        </w:trPr>
        <w:tc>
          <w:tcPr>
            <w:tcW w:w="479" w:type="pct"/>
            <w:tcBorders>
              <w:top w:val="single" w:sz="4" w:space="0" w:color="auto"/>
              <w:left w:val="single" w:sz="4" w:space="0" w:color="auto"/>
              <w:bottom w:val="single" w:sz="4" w:space="0" w:color="auto"/>
              <w:right w:val="single" w:sz="4" w:space="0" w:color="auto"/>
            </w:tcBorders>
            <w:vAlign w:val="center"/>
          </w:tcPr>
          <w:p w:rsidR="00084F33" w:rsidRPr="00B91EEA" w:rsidRDefault="00B91EEA">
            <w:pPr>
              <w:widowControl/>
              <w:jc w:val="center"/>
              <w:rPr>
                <w:rFonts w:asciiTheme="minorEastAsia" w:eastAsiaTheme="minorEastAsia" w:hAnsiTheme="minorEastAsia"/>
                <w:szCs w:val="21"/>
              </w:rPr>
            </w:pPr>
            <w:r w:rsidRPr="00B91EEA">
              <w:rPr>
                <w:rFonts w:asciiTheme="minorEastAsia" w:eastAsiaTheme="minorEastAsia" w:hAnsiTheme="minorEastAsia" w:hint="eastAsia"/>
                <w:szCs w:val="21"/>
              </w:rPr>
              <w:t>苏州吴中投资控股有限公司</w:t>
            </w:r>
          </w:p>
        </w:tc>
        <w:tc>
          <w:tcPr>
            <w:tcW w:w="619" w:type="pct"/>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122,795,762</w:t>
            </w:r>
          </w:p>
        </w:tc>
        <w:tc>
          <w:tcPr>
            <w:tcW w:w="382" w:type="pct"/>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17.24%</w:t>
            </w:r>
          </w:p>
        </w:tc>
        <w:tc>
          <w:tcPr>
            <w:tcW w:w="572" w:type="pct"/>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83,500,000</w:t>
            </w:r>
          </w:p>
        </w:tc>
        <w:tc>
          <w:tcPr>
            <w:tcW w:w="572" w:type="pct"/>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93,300,000</w:t>
            </w:r>
          </w:p>
        </w:tc>
        <w:tc>
          <w:tcPr>
            <w:tcW w:w="382" w:type="pct"/>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75.98%</w:t>
            </w:r>
          </w:p>
        </w:tc>
        <w:tc>
          <w:tcPr>
            <w:tcW w:w="382" w:type="pct"/>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13.10%</w:t>
            </w:r>
          </w:p>
        </w:tc>
        <w:tc>
          <w:tcPr>
            <w:tcW w:w="438" w:type="pct"/>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w:t>
            </w:r>
          </w:p>
        </w:tc>
        <w:tc>
          <w:tcPr>
            <w:tcW w:w="383" w:type="pct"/>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w:t>
            </w:r>
          </w:p>
        </w:tc>
        <w:tc>
          <w:tcPr>
            <w:tcW w:w="385" w:type="pct"/>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w:t>
            </w:r>
          </w:p>
        </w:tc>
        <w:tc>
          <w:tcPr>
            <w:tcW w:w="406" w:type="pct"/>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w:t>
            </w:r>
          </w:p>
        </w:tc>
      </w:tr>
      <w:tr w:rsidR="00084F33" w:rsidRPr="00B91EEA">
        <w:trPr>
          <w:cantSplit/>
          <w:trHeight w:val="471"/>
          <w:jc w:val="center"/>
        </w:trPr>
        <w:tc>
          <w:tcPr>
            <w:tcW w:w="479" w:type="pct"/>
            <w:tcBorders>
              <w:top w:val="single" w:sz="4" w:space="0" w:color="auto"/>
              <w:left w:val="single" w:sz="4" w:space="0" w:color="auto"/>
              <w:bottom w:val="single" w:sz="4" w:space="0" w:color="auto"/>
              <w:right w:val="single" w:sz="4" w:space="0" w:color="auto"/>
            </w:tcBorders>
            <w:vAlign w:val="center"/>
          </w:tcPr>
          <w:p w:rsidR="00084F33" w:rsidRPr="00B91EEA" w:rsidRDefault="00B91EEA">
            <w:pPr>
              <w:widowControl/>
              <w:jc w:val="center"/>
              <w:rPr>
                <w:rFonts w:asciiTheme="minorEastAsia" w:eastAsiaTheme="minorEastAsia" w:hAnsiTheme="minorEastAsia"/>
                <w:szCs w:val="21"/>
              </w:rPr>
            </w:pPr>
            <w:r w:rsidRPr="00B91EEA">
              <w:rPr>
                <w:rFonts w:asciiTheme="minorEastAsia" w:eastAsiaTheme="minorEastAsia" w:hAnsiTheme="minorEastAsia" w:hint="eastAsia"/>
                <w:szCs w:val="21"/>
              </w:rPr>
              <w:t>合计</w:t>
            </w:r>
          </w:p>
        </w:tc>
        <w:tc>
          <w:tcPr>
            <w:tcW w:w="619" w:type="pct"/>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122,795,762</w:t>
            </w:r>
          </w:p>
        </w:tc>
        <w:tc>
          <w:tcPr>
            <w:tcW w:w="382" w:type="pct"/>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17.24%</w:t>
            </w:r>
          </w:p>
        </w:tc>
        <w:tc>
          <w:tcPr>
            <w:tcW w:w="572" w:type="pct"/>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83,500,000</w:t>
            </w:r>
          </w:p>
        </w:tc>
        <w:tc>
          <w:tcPr>
            <w:tcW w:w="572" w:type="pct"/>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93,300,000</w:t>
            </w:r>
          </w:p>
        </w:tc>
        <w:tc>
          <w:tcPr>
            <w:tcW w:w="382" w:type="pct"/>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75.98%</w:t>
            </w:r>
          </w:p>
        </w:tc>
        <w:tc>
          <w:tcPr>
            <w:tcW w:w="382" w:type="pct"/>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13.10%</w:t>
            </w:r>
          </w:p>
        </w:tc>
        <w:tc>
          <w:tcPr>
            <w:tcW w:w="438" w:type="pct"/>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w:t>
            </w:r>
          </w:p>
        </w:tc>
        <w:tc>
          <w:tcPr>
            <w:tcW w:w="383" w:type="pct"/>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w:t>
            </w:r>
          </w:p>
        </w:tc>
        <w:tc>
          <w:tcPr>
            <w:tcW w:w="385" w:type="pct"/>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w:t>
            </w:r>
          </w:p>
        </w:tc>
        <w:tc>
          <w:tcPr>
            <w:tcW w:w="406" w:type="pct"/>
            <w:tcBorders>
              <w:top w:val="single" w:sz="4" w:space="0" w:color="auto"/>
              <w:left w:val="single" w:sz="4" w:space="0" w:color="auto"/>
              <w:bottom w:val="single" w:sz="4" w:space="0" w:color="auto"/>
              <w:right w:val="single" w:sz="4" w:space="0" w:color="auto"/>
            </w:tcBorders>
            <w:vAlign w:val="center"/>
          </w:tcPr>
          <w:p w:rsidR="00084F33" w:rsidRPr="00B91EEA" w:rsidRDefault="00B91EEA">
            <w:pPr>
              <w:jc w:val="center"/>
              <w:rPr>
                <w:rFonts w:asciiTheme="minorEastAsia" w:eastAsiaTheme="minorEastAsia" w:hAnsiTheme="minorEastAsia"/>
                <w:szCs w:val="21"/>
              </w:rPr>
            </w:pPr>
            <w:r w:rsidRPr="00B91EEA">
              <w:rPr>
                <w:rFonts w:asciiTheme="minorEastAsia" w:eastAsiaTheme="minorEastAsia" w:hAnsiTheme="minorEastAsia" w:hint="eastAsia"/>
                <w:szCs w:val="21"/>
              </w:rPr>
              <w:t>---</w:t>
            </w:r>
          </w:p>
        </w:tc>
      </w:tr>
    </w:tbl>
    <w:p w:rsidR="00084F33" w:rsidRPr="00B91EEA" w:rsidRDefault="00084F33">
      <w:pPr>
        <w:spacing w:line="360" w:lineRule="auto"/>
        <w:ind w:firstLineChars="200" w:firstLine="482"/>
        <w:rPr>
          <w:rFonts w:asciiTheme="minorEastAsia" w:eastAsiaTheme="minorEastAsia" w:hAnsiTheme="minorEastAsia"/>
          <w:b/>
          <w:sz w:val="24"/>
        </w:rPr>
      </w:pPr>
    </w:p>
    <w:p w:rsidR="00084F33" w:rsidRPr="00B91EEA" w:rsidRDefault="00B91EEA">
      <w:pPr>
        <w:spacing w:line="360" w:lineRule="auto"/>
        <w:ind w:firstLineChars="200" w:firstLine="482"/>
        <w:rPr>
          <w:rFonts w:asciiTheme="minorEastAsia" w:eastAsiaTheme="minorEastAsia" w:hAnsiTheme="minorEastAsia"/>
          <w:b/>
          <w:sz w:val="24"/>
        </w:rPr>
      </w:pPr>
      <w:r w:rsidRPr="00B91EEA">
        <w:rPr>
          <w:rFonts w:asciiTheme="minorEastAsia" w:eastAsiaTheme="minorEastAsia" w:hAnsiTheme="minorEastAsia" w:hint="eastAsia"/>
          <w:b/>
          <w:sz w:val="24"/>
        </w:rPr>
        <w:t>二、控股股东股份质押情况</w:t>
      </w:r>
    </w:p>
    <w:p w:rsidR="00084F33" w:rsidRPr="00B91EEA" w:rsidRDefault="00B91EEA">
      <w:pPr>
        <w:spacing w:line="360" w:lineRule="auto"/>
        <w:ind w:firstLineChars="200" w:firstLine="480"/>
        <w:rPr>
          <w:rFonts w:asciiTheme="minorEastAsia" w:eastAsiaTheme="minorEastAsia" w:hAnsiTheme="minorEastAsia"/>
          <w:sz w:val="24"/>
        </w:rPr>
      </w:pPr>
      <w:r w:rsidRPr="00B91EEA">
        <w:rPr>
          <w:rFonts w:asciiTheme="minorEastAsia" w:eastAsiaTheme="minorEastAsia" w:hAnsiTheme="minorEastAsia" w:hint="eastAsia"/>
          <w:sz w:val="24"/>
        </w:rPr>
        <w:t>1、控股股东未来半年内到期的质押股份数量为0股，占其所持股份比例0%，占公司总股本比例为0%，对应融资余额为0万元；</w:t>
      </w:r>
    </w:p>
    <w:p w:rsidR="00084F33" w:rsidRDefault="00B91EEA">
      <w:pPr>
        <w:spacing w:line="360" w:lineRule="auto"/>
        <w:ind w:firstLineChars="200" w:firstLine="480"/>
        <w:rPr>
          <w:rFonts w:asciiTheme="minorEastAsia" w:eastAsiaTheme="minorEastAsia" w:hAnsiTheme="minorEastAsia"/>
          <w:sz w:val="24"/>
        </w:rPr>
      </w:pPr>
      <w:r w:rsidRPr="00B91EEA">
        <w:rPr>
          <w:rFonts w:asciiTheme="minorEastAsia" w:eastAsiaTheme="minorEastAsia" w:hAnsiTheme="minorEastAsia" w:hint="eastAsia"/>
          <w:sz w:val="24"/>
        </w:rPr>
        <w:t>控股股东未来一年内到期的质押股份数量为0股，占其所持股份比例0%，占公司总股本比例为0%，对应融资余额为0万元。</w:t>
      </w:r>
    </w:p>
    <w:p w:rsidR="00084F33" w:rsidRDefault="00B91EE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控股股东具备相应的资金偿还能力，还款资金来源包括经营性现金流、投资收益等。</w:t>
      </w:r>
    </w:p>
    <w:p w:rsidR="00084F33" w:rsidRDefault="00B91EE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2、控股股东不存在通过非经营性资金占用、违规担保、关联交易等侵害上市公司利益的情况。</w:t>
      </w:r>
    </w:p>
    <w:p w:rsidR="00084F33" w:rsidRDefault="00B91EE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3、控股股东质押事项对上市公司的影响</w:t>
      </w:r>
    </w:p>
    <w:p w:rsidR="00084F33" w:rsidRDefault="00B91EE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（1）本次质押事项不会对公司生产经营、主营业务、融资授信及融资成本、持续经营能力产生影响。</w:t>
      </w:r>
    </w:p>
    <w:p w:rsidR="00084F33" w:rsidRDefault="00B91EE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本次质押事项不会对公司治理造成影响，公司的董事会成员不会因此产生变动，控股股东与公司在产权、业务、资产、人员等方面相互独立，不会导致公司实际控制权的变更。公司的股权结构不会因此发生变化，不会对公司日常管理产生影响。</w:t>
      </w:r>
    </w:p>
    <w:p w:rsidR="00084F33" w:rsidRDefault="00B91EE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（3）公司控股股东不存在业绩补偿义务。</w:t>
      </w:r>
    </w:p>
    <w:p w:rsidR="00084F33" w:rsidRDefault="00B91EE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控股股东的财务状况和资信状况良好，质押风险在可控范围之内。本次质押不存在可能引发平仓或被强制平仓的情况，不存在可能导致公司实际控制权发生变更的实质性因素。如后续出现风险，控股股东将采取包括但不限于补充质押、</w:t>
      </w:r>
      <w:r>
        <w:rPr>
          <w:rFonts w:asciiTheme="minorEastAsia" w:eastAsiaTheme="minorEastAsia" w:hAnsiTheme="minorEastAsia" w:hint="eastAsia"/>
          <w:sz w:val="24"/>
        </w:rPr>
        <w:lastRenderedPageBreak/>
        <w:t>提前还款等措施加以应对。</w:t>
      </w:r>
    </w:p>
    <w:p w:rsidR="00084F33" w:rsidRDefault="00B91EEA">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特此公告。</w:t>
      </w:r>
    </w:p>
    <w:p w:rsidR="00084F33" w:rsidRDefault="00084F33">
      <w:pPr>
        <w:spacing w:line="360" w:lineRule="auto"/>
        <w:ind w:firstLineChars="200" w:firstLine="480"/>
        <w:rPr>
          <w:rFonts w:asciiTheme="minorEastAsia" w:eastAsiaTheme="minorEastAsia" w:hAnsiTheme="minorEastAsia"/>
          <w:sz w:val="24"/>
        </w:rPr>
      </w:pPr>
    </w:p>
    <w:p w:rsidR="00084F33" w:rsidRDefault="00084F33">
      <w:pPr>
        <w:spacing w:line="360" w:lineRule="auto"/>
        <w:ind w:firstLineChars="200" w:firstLine="480"/>
        <w:rPr>
          <w:rFonts w:asciiTheme="minorEastAsia" w:eastAsiaTheme="minorEastAsia" w:hAnsiTheme="minorEastAsia"/>
          <w:sz w:val="24"/>
        </w:rPr>
      </w:pPr>
    </w:p>
    <w:p w:rsidR="00084F33" w:rsidRDefault="00B91EEA">
      <w:pPr>
        <w:pStyle w:val="a5"/>
        <w:adjustRightInd w:val="0"/>
        <w:snapToGrid w:val="0"/>
        <w:spacing w:before="0" w:beforeAutospacing="0" w:after="0" w:afterAutospacing="0" w:line="360" w:lineRule="auto"/>
        <w:ind w:firstLineChars="200" w:firstLine="480"/>
        <w:jc w:val="right"/>
        <w:rPr>
          <w:rFonts w:cs="Arial"/>
        </w:rPr>
      </w:pPr>
      <w:r>
        <w:rPr>
          <w:rFonts w:cs="Arial" w:hint="eastAsia"/>
        </w:rPr>
        <w:t>江苏吴中实业股份有限公司</w:t>
      </w:r>
    </w:p>
    <w:p w:rsidR="00084F33" w:rsidRDefault="00B91EEA">
      <w:pPr>
        <w:pStyle w:val="a5"/>
        <w:adjustRightInd w:val="0"/>
        <w:snapToGrid w:val="0"/>
        <w:spacing w:before="0" w:beforeAutospacing="0" w:after="0" w:afterAutospacing="0" w:line="360" w:lineRule="auto"/>
        <w:ind w:right="720" w:firstLineChars="200" w:firstLine="480"/>
        <w:jc w:val="right"/>
        <w:rPr>
          <w:rFonts w:cs="Arial"/>
        </w:rPr>
      </w:pPr>
      <w:r>
        <w:rPr>
          <w:rFonts w:cs="Arial" w:hint="eastAsia"/>
        </w:rPr>
        <w:t xml:space="preserve">董事会      </w:t>
      </w:r>
    </w:p>
    <w:p w:rsidR="00084F33" w:rsidRDefault="00B91EEA">
      <w:pPr>
        <w:pStyle w:val="a5"/>
        <w:adjustRightInd w:val="0"/>
        <w:snapToGrid w:val="0"/>
        <w:spacing w:before="0" w:beforeAutospacing="0" w:after="0" w:afterAutospacing="0" w:line="360" w:lineRule="auto"/>
        <w:ind w:firstLineChars="200" w:firstLine="480"/>
        <w:jc w:val="right"/>
        <w:rPr>
          <w:rFonts w:cs="Arial"/>
        </w:rPr>
      </w:pPr>
      <w:r w:rsidRPr="00B91EEA">
        <w:rPr>
          <w:rFonts w:cs="Arial" w:hint="eastAsia"/>
        </w:rPr>
        <w:t>2020年8月26日</w:t>
      </w:r>
    </w:p>
    <w:p w:rsidR="00084F33" w:rsidRDefault="00084F33">
      <w:pPr>
        <w:spacing w:line="360" w:lineRule="auto"/>
        <w:rPr>
          <w:rFonts w:asciiTheme="minorEastAsia" w:eastAsiaTheme="minorEastAsia" w:hAnsiTheme="minorEastAsia"/>
          <w:sz w:val="24"/>
        </w:rPr>
      </w:pPr>
    </w:p>
    <w:sectPr w:rsidR="00084F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D7E0F"/>
    <w:multiLevelType w:val="multilevel"/>
    <w:tmpl w:val="28CD7E0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CF2"/>
    <w:rsid w:val="0001153F"/>
    <w:rsid w:val="00015559"/>
    <w:rsid w:val="00021674"/>
    <w:rsid w:val="0003171D"/>
    <w:rsid w:val="000377FA"/>
    <w:rsid w:val="000514F9"/>
    <w:rsid w:val="00084F33"/>
    <w:rsid w:val="000C1EBF"/>
    <w:rsid w:val="000C636E"/>
    <w:rsid w:val="000D5160"/>
    <w:rsid w:val="000E374D"/>
    <w:rsid w:val="000E5928"/>
    <w:rsid w:val="001044FC"/>
    <w:rsid w:val="00115DE0"/>
    <w:rsid w:val="00125EB5"/>
    <w:rsid w:val="00141A30"/>
    <w:rsid w:val="0014235B"/>
    <w:rsid w:val="001449C0"/>
    <w:rsid w:val="00163205"/>
    <w:rsid w:val="00167B35"/>
    <w:rsid w:val="0017347A"/>
    <w:rsid w:val="00184711"/>
    <w:rsid w:val="001A6F91"/>
    <w:rsid w:val="001D1578"/>
    <w:rsid w:val="001D1E21"/>
    <w:rsid w:val="001E528D"/>
    <w:rsid w:val="001F698F"/>
    <w:rsid w:val="00203BD0"/>
    <w:rsid w:val="00236894"/>
    <w:rsid w:val="002442A3"/>
    <w:rsid w:val="00251C73"/>
    <w:rsid w:val="0025726D"/>
    <w:rsid w:val="0025795B"/>
    <w:rsid w:val="0027220C"/>
    <w:rsid w:val="002808AB"/>
    <w:rsid w:val="00284CD2"/>
    <w:rsid w:val="00294FF0"/>
    <w:rsid w:val="00295E92"/>
    <w:rsid w:val="002B7CCB"/>
    <w:rsid w:val="002C71E7"/>
    <w:rsid w:val="002D2369"/>
    <w:rsid w:val="002F74DC"/>
    <w:rsid w:val="00324EB8"/>
    <w:rsid w:val="0037324C"/>
    <w:rsid w:val="00373349"/>
    <w:rsid w:val="00375CF7"/>
    <w:rsid w:val="003870CC"/>
    <w:rsid w:val="003B5345"/>
    <w:rsid w:val="003C607D"/>
    <w:rsid w:val="003D0C3B"/>
    <w:rsid w:val="003D3FFF"/>
    <w:rsid w:val="003E355B"/>
    <w:rsid w:val="003F1B67"/>
    <w:rsid w:val="0041130A"/>
    <w:rsid w:val="0041720E"/>
    <w:rsid w:val="004502F4"/>
    <w:rsid w:val="004643CF"/>
    <w:rsid w:val="00496E8A"/>
    <w:rsid w:val="004B1CF2"/>
    <w:rsid w:val="004C27B9"/>
    <w:rsid w:val="004C3DB4"/>
    <w:rsid w:val="004E363D"/>
    <w:rsid w:val="004F1ED6"/>
    <w:rsid w:val="004F1F15"/>
    <w:rsid w:val="0054311D"/>
    <w:rsid w:val="0056118D"/>
    <w:rsid w:val="005712CB"/>
    <w:rsid w:val="00577CBB"/>
    <w:rsid w:val="005B4F18"/>
    <w:rsid w:val="005C3668"/>
    <w:rsid w:val="005D4ACB"/>
    <w:rsid w:val="00600AB1"/>
    <w:rsid w:val="006125A1"/>
    <w:rsid w:val="00615D49"/>
    <w:rsid w:val="006412D7"/>
    <w:rsid w:val="00651610"/>
    <w:rsid w:val="00662769"/>
    <w:rsid w:val="00683AED"/>
    <w:rsid w:val="00695D72"/>
    <w:rsid w:val="006B29CA"/>
    <w:rsid w:val="006B2B65"/>
    <w:rsid w:val="007001F0"/>
    <w:rsid w:val="007014FC"/>
    <w:rsid w:val="007303E2"/>
    <w:rsid w:val="007564B5"/>
    <w:rsid w:val="007648C4"/>
    <w:rsid w:val="00766EEB"/>
    <w:rsid w:val="00772A33"/>
    <w:rsid w:val="007B04E1"/>
    <w:rsid w:val="007C7BAF"/>
    <w:rsid w:val="00802A0A"/>
    <w:rsid w:val="008368D8"/>
    <w:rsid w:val="00887DA0"/>
    <w:rsid w:val="00893296"/>
    <w:rsid w:val="008935D4"/>
    <w:rsid w:val="008C55C0"/>
    <w:rsid w:val="008E57CC"/>
    <w:rsid w:val="008F5155"/>
    <w:rsid w:val="008F6AB5"/>
    <w:rsid w:val="00933FA5"/>
    <w:rsid w:val="00934104"/>
    <w:rsid w:val="0095160F"/>
    <w:rsid w:val="00955A3F"/>
    <w:rsid w:val="00960430"/>
    <w:rsid w:val="00967AA4"/>
    <w:rsid w:val="00983758"/>
    <w:rsid w:val="00A05A16"/>
    <w:rsid w:val="00A10EF8"/>
    <w:rsid w:val="00A267F9"/>
    <w:rsid w:val="00A71C3F"/>
    <w:rsid w:val="00A72B4C"/>
    <w:rsid w:val="00A7472E"/>
    <w:rsid w:val="00A842DF"/>
    <w:rsid w:val="00AA10D4"/>
    <w:rsid w:val="00AB2664"/>
    <w:rsid w:val="00AC7ABF"/>
    <w:rsid w:val="00AE23F2"/>
    <w:rsid w:val="00AF228F"/>
    <w:rsid w:val="00B07E79"/>
    <w:rsid w:val="00B31A8D"/>
    <w:rsid w:val="00B36025"/>
    <w:rsid w:val="00B37855"/>
    <w:rsid w:val="00B52013"/>
    <w:rsid w:val="00B834BA"/>
    <w:rsid w:val="00B84C52"/>
    <w:rsid w:val="00B87AB6"/>
    <w:rsid w:val="00B91EEA"/>
    <w:rsid w:val="00B96412"/>
    <w:rsid w:val="00BB5C59"/>
    <w:rsid w:val="00BB5F62"/>
    <w:rsid w:val="00BC7D27"/>
    <w:rsid w:val="00BD6BEA"/>
    <w:rsid w:val="00BF68F7"/>
    <w:rsid w:val="00C01D90"/>
    <w:rsid w:val="00C14435"/>
    <w:rsid w:val="00C71DAA"/>
    <w:rsid w:val="00C77455"/>
    <w:rsid w:val="00CA4B90"/>
    <w:rsid w:val="00CA7BF4"/>
    <w:rsid w:val="00CC65AD"/>
    <w:rsid w:val="00CD2A4D"/>
    <w:rsid w:val="00CD5891"/>
    <w:rsid w:val="00CD6EAB"/>
    <w:rsid w:val="00CE280D"/>
    <w:rsid w:val="00CF2676"/>
    <w:rsid w:val="00CF42BE"/>
    <w:rsid w:val="00D022D8"/>
    <w:rsid w:val="00D04CBB"/>
    <w:rsid w:val="00D21B8D"/>
    <w:rsid w:val="00D23FBF"/>
    <w:rsid w:val="00D26D15"/>
    <w:rsid w:val="00D45281"/>
    <w:rsid w:val="00D53DC4"/>
    <w:rsid w:val="00D564BF"/>
    <w:rsid w:val="00D67760"/>
    <w:rsid w:val="00D86A2F"/>
    <w:rsid w:val="00D90BC6"/>
    <w:rsid w:val="00DC0BBB"/>
    <w:rsid w:val="00DC74FC"/>
    <w:rsid w:val="00DD1CD7"/>
    <w:rsid w:val="00E003D0"/>
    <w:rsid w:val="00E025CD"/>
    <w:rsid w:val="00E05034"/>
    <w:rsid w:val="00E220DE"/>
    <w:rsid w:val="00E43FEF"/>
    <w:rsid w:val="00E74755"/>
    <w:rsid w:val="00E77D37"/>
    <w:rsid w:val="00E9529E"/>
    <w:rsid w:val="00E96761"/>
    <w:rsid w:val="00EA6444"/>
    <w:rsid w:val="00EB7FBA"/>
    <w:rsid w:val="00ED5419"/>
    <w:rsid w:val="00EF67AA"/>
    <w:rsid w:val="00F03FA2"/>
    <w:rsid w:val="00F168FB"/>
    <w:rsid w:val="00F21312"/>
    <w:rsid w:val="00F23D77"/>
    <w:rsid w:val="00F25299"/>
    <w:rsid w:val="00F642E6"/>
    <w:rsid w:val="00FA5496"/>
    <w:rsid w:val="00FB56C5"/>
    <w:rsid w:val="00FB79DD"/>
    <w:rsid w:val="00FE2C34"/>
    <w:rsid w:val="00FE4FBE"/>
    <w:rsid w:val="00FE5ACA"/>
    <w:rsid w:val="06353A02"/>
    <w:rsid w:val="0C1562F3"/>
    <w:rsid w:val="35E61EEA"/>
    <w:rsid w:val="6B8F3542"/>
    <w:rsid w:val="6C752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widowControl/>
      <w:spacing w:before="100" w:beforeAutospacing="1" w:after="100" w:afterAutospacing="1"/>
      <w:jc w:val="left"/>
    </w:pPr>
    <w:rPr>
      <w:rFonts w:ascii="宋体" w:hAnsi="宋体" w:cs="宋体"/>
      <w:kern w:val="0"/>
      <w:sz w:val="24"/>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43</cp:revision>
  <dcterms:created xsi:type="dcterms:W3CDTF">2019-11-29T01:28:00Z</dcterms:created>
  <dcterms:modified xsi:type="dcterms:W3CDTF">2020-08-25T02:26:00Z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