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bookmarkStart w:id="0" w:name="_GoBack"/>
      <w:bookmarkEnd w:id="0"/>
      <w:r>
        <w:rPr>
          <w:rFonts w:hint="eastAsia" w:ascii="宋体" w:hAnsi="宋体" w:cs="宋体"/>
          <w:color w:val="000000"/>
          <w:kern w:val="0"/>
          <w:sz w:val="24"/>
        </w:rPr>
        <w:t xml:space="preserve">证券代码：600200         证券简称：江苏吴中     公告编号：临2022-015 </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关于向公司2021年限制性股票激励计划激励对象</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首次授予限制性股票的公告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4"/>
        <w:spacing w:line="360" w:lineRule="auto"/>
      </w:pPr>
    </w:p>
    <w:p>
      <w:pPr>
        <w:tabs>
          <w:tab w:val="left" w:pos="540"/>
          <w:tab w:val="left" w:pos="900"/>
        </w:tabs>
        <w:adjustRightInd w:val="0"/>
        <w:snapToGrid w:val="0"/>
        <w:spacing w:line="360" w:lineRule="auto"/>
        <w:ind w:firstLine="480" w:firstLineChars="200"/>
        <w:rPr>
          <w:rFonts w:ascii="宋体" w:hAnsi="宋体"/>
          <w:bCs/>
          <w:sz w:val="24"/>
        </w:rPr>
      </w:pPr>
      <w:r>
        <w:rPr>
          <w:rFonts w:hint="eastAsia" w:ascii="宋体" w:hAnsi="宋体"/>
          <w:bCs/>
          <w:sz w:val="24"/>
        </w:rPr>
        <w:t>重要内容提示：</w:t>
      </w:r>
    </w:p>
    <w:p>
      <w:pPr>
        <w:numPr>
          <w:ilvl w:val="0"/>
          <w:numId w:val="1"/>
        </w:numPr>
        <w:adjustRightInd w:val="0"/>
        <w:snapToGrid w:val="0"/>
        <w:spacing w:line="360" w:lineRule="auto"/>
        <w:rPr>
          <w:rFonts w:ascii="宋体" w:hAnsi="宋体"/>
          <w:bCs/>
          <w:sz w:val="24"/>
        </w:rPr>
      </w:pPr>
      <w:r>
        <w:rPr>
          <w:rFonts w:hint="eastAsia" w:ascii="宋体" w:hAnsi="宋体"/>
          <w:bCs/>
          <w:sz w:val="24"/>
        </w:rPr>
        <w:t>限制性股票首次授予日：2022年2月16日</w:t>
      </w:r>
    </w:p>
    <w:p>
      <w:pPr>
        <w:numPr>
          <w:ilvl w:val="0"/>
          <w:numId w:val="1"/>
        </w:numPr>
        <w:adjustRightInd w:val="0"/>
        <w:snapToGrid w:val="0"/>
        <w:spacing w:line="360" w:lineRule="auto"/>
        <w:rPr>
          <w:rFonts w:ascii="宋体" w:hAnsi="宋体"/>
          <w:bCs/>
          <w:sz w:val="24"/>
        </w:rPr>
      </w:pPr>
      <w:r>
        <w:rPr>
          <w:rFonts w:hint="eastAsia" w:ascii="宋体" w:hAnsi="宋体"/>
          <w:bCs/>
          <w:sz w:val="24"/>
        </w:rPr>
        <w:t>限制性股票首次授予数量：</w:t>
      </w:r>
      <w:r>
        <w:rPr>
          <w:rFonts w:ascii="宋体" w:hAnsi="宋体"/>
          <w:bCs/>
          <w:sz w:val="24"/>
        </w:rPr>
        <w:t>331.9000</w:t>
      </w:r>
      <w:r>
        <w:rPr>
          <w:rFonts w:hint="eastAsia" w:ascii="宋体" w:hAnsi="宋体"/>
          <w:bCs/>
          <w:sz w:val="24"/>
        </w:rPr>
        <w:t>万股</w:t>
      </w:r>
    </w:p>
    <w:p>
      <w:pPr>
        <w:numPr>
          <w:ilvl w:val="0"/>
          <w:numId w:val="1"/>
        </w:numPr>
        <w:adjustRightInd w:val="0"/>
        <w:snapToGrid w:val="0"/>
        <w:spacing w:line="360" w:lineRule="auto"/>
        <w:rPr>
          <w:rFonts w:ascii="宋体" w:hAnsi="宋体"/>
          <w:bCs/>
          <w:sz w:val="24"/>
        </w:rPr>
      </w:pPr>
      <w:r>
        <w:rPr>
          <w:rFonts w:hint="eastAsia" w:ascii="宋体" w:hAnsi="宋体"/>
          <w:bCs/>
          <w:sz w:val="24"/>
        </w:rPr>
        <w:t>限制性股票首次授予价格：3.68元/股</w:t>
      </w:r>
    </w:p>
    <w:p>
      <w:pPr>
        <w:pStyle w:val="14"/>
        <w:spacing w:line="360" w:lineRule="auto"/>
      </w:pPr>
    </w:p>
    <w:p>
      <w:pPr>
        <w:spacing w:before="156" w:beforeLines="50" w:line="360" w:lineRule="auto"/>
        <w:ind w:firstLine="480" w:firstLineChars="200"/>
        <w:rPr>
          <w:rFonts w:ascii="宋体" w:hAnsi="宋体"/>
          <w:sz w:val="24"/>
        </w:rPr>
      </w:pPr>
      <w:r>
        <w:rPr>
          <w:rFonts w:hint="eastAsia" w:ascii="宋体" w:hAnsi="宋体"/>
          <w:sz w:val="24"/>
        </w:rPr>
        <w:t>江苏吴中医药发展股份有限公司（以下简称“公司”）根据《上市公司股权激励管理办法》（以下简称</w:t>
      </w:r>
      <w:r>
        <w:rPr>
          <w:rFonts w:ascii="宋体" w:hAnsi="宋体"/>
          <w:sz w:val="24"/>
        </w:rPr>
        <w:t>“</w:t>
      </w:r>
      <w:r>
        <w:rPr>
          <w:rFonts w:hint="eastAsia" w:ascii="宋体" w:hAnsi="宋体"/>
          <w:sz w:val="24"/>
        </w:rPr>
        <w:t>《管理办法》</w:t>
      </w:r>
      <w:r>
        <w:rPr>
          <w:rFonts w:ascii="宋体" w:hAnsi="宋体"/>
          <w:sz w:val="24"/>
        </w:rPr>
        <w:t>”</w:t>
      </w:r>
      <w:r>
        <w:rPr>
          <w:rFonts w:hint="eastAsia" w:ascii="宋体" w:hAnsi="宋体"/>
          <w:sz w:val="24"/>
        </w:rPr>
        <w:t>）、《江苏吴中医药发展股份有限公司</w:t>
      </w:r>
      <w:r>
        <w:rPr>
          <w:rFonts w:ascii="宋体" w:hAnsi="宋体"/>
          <w:sz w:val="24"/>
        </w:rPr>
        <w:t>2021</w:t>
      </w:r>
      <w:r>
        <w:rPr>
          <w:rFonts w:hint="eastAsia" w:ascii="宋体" w:hAnsi="宋体"/>
          <w:sz w:val="24"/>
        </w:rPr>
        <w:t>年限制性股票激励计划》（以下简称“本激励计划”、“本次激励计划”或“《激励计划》”）的相关规定以及公司</w:t>
      </w:r>
      <w:r>
        <w:rPr>
          <w:rFonts w:ascii="宋体" w:hAnsi="宋体"/>
          <w:sz w:val="24"/>
        </w:rPr>
        <w:t>2022</w:t>
      </w:r>
      <w:r>
        <w:rPr>
          <w:rFonts w:hint="eastAsia" w:ascii="宋体" w:hAnsi="宋体"/>
          <w:sz w:val="24"/>
        </w:rPr>
        <w:t>年第一次临时股东大会对董事会的授权，于2022年2月16日召开第十届董事会2022年第二次临时会议（通讯表决），审议通过了《关于向公司2021年限制性股票激励计划激励对象首次授予限制性股票的议案》。董事会认为公司本激励计划规定的首次授予条件已经成就，</w:t>
      </w:r>
      <w:r>
        <w:rPr>
          <w:rFonts w:hint="eastAsia" w:asciiTheme="minorEastAsia" w:hAnsiTheme="minorEastAsia" w:eastAsiaTheme="minorEastAsia"/>
          <w:sz w:val="24"/>
        </w:rPr>
        <w:t>同意确定以</w:t>
      </w:r>
      <w:r>
        <w:rPr>
          <w:rFonts w:asciiTheme="minorEastAsia" w:hAnsiTheme="minorEastAsia" w:eastAsiaTheme="minorEastAsia"/>
          <w:sz w:val="24"/>
        </w:rPr>
        <w:t>2022年2月16日为限制性股票首次授予日，向符合条件的110</w:t>
      </w:r>
      <w:r>
        <w:rPr>
          <w:rFonts w:hint="eastAsia" w:asciiTheme="minorEastAsia" w:hAnsiTheme="minorEastAsia" w:eastAsiaTheme="minorEastAsia"/>
          <w:sz w:val="24"/>
        </w:rPr>
        <w:t>名激励对象授予</w:t>
      </w:r>
      <w:r>
        <w:rPr>
          <w:rFonts w:asciiTheme="minorEastAsia" w:hAnsiTheme="minorEastAsia" w:eastAsiaTheme="minorEastAsia"/>
          <w:sz w:val="24"/>
        </w:rPr>
        <w:t>331.9000</w:t>
      </w:r>
      <w:r>
        <w:rPr>
          <w:rFonts w:hint="eastAsia" w:asciiTheme="minorEastAsia" w:hAnsiTheme="minorEastAsia" w:eastAsiaTheme="minorEastAsia"/>
          <w:sz w:val="24"/>
        </w:rPr>
        <w:t>万股限制性股票，授予价格为3.68元</w:t>
      </w:r>
      <w:r>
        <w:rPr>
          <w:rFonts w:asciiTheme="minorEastAsia" w:hAnsiTheme="minorEastAsia" w:eastAsiaTheme="minorEastAsia"/>
          <w:sz w:val="24"/>
        </w:rPr>
        <w:t>/股。</w:t>
      </w:r>
      <w:r>
        <w:rPr>
          <w:rFonts w:hint="eastAsia" w:ascii="宋体" w:hAnsi="宋体"/>
          <w:sz w:val="24"/>
        </w:rPr>
        <w:t>现将有关事项说明如下：</w:t>
      </w:r>
    </w:p>
    <w:p>
      <w:pPr>
        <w:spacing w:line="360" w:lineRule="auto"/>
        <w:ind w:firstLine="482" w:firstLineChars="200"/>
        <w:rPr>
          <w:rFonts w:ascii="宋体" w:hAnsi="宋体"/>
          <w:b/>
          <w:sz w:val="24"/>
        </w:rPr>
      </w:pPr>
      <w:r>
        <w:rPr>
          <w:rFonts w:hint="eastAsia" w:ascii="宋体" w:hAnsi="宋体"/>
          <w:b/>
          <w:sz w:val="24"/>
        </w:rPr>
        <w:t>一、限制性股票授予情况</w:t>
      </w:r>
    </w:p>
    <w:p>
      <w:pPr>
        <w:spacing w:line="360" w:lineRule="auto"/>
        <w:ind w:firstLine="480" w:firstLineChars="200"/>
        <w:rPr>
          <w:rFonts w:ascii="宋体" w:hAnsi="宋体"/>
          <w:sz w:val="24"/>
        </w:rPr>
      </w:pPr>
      <w:r>
        <w:rPr>
          <w:rFonts w:hint="eastAsia" w:ascii="宋体" w:hAnsi="宋体"/>
          <w:sz w:val="24"/>
        </w:rPr>
        <w:t>（一）已履行的决策程序和信息披露情况</w:t>
      </w:r>
    </w:p>
    <w:p>
      <w:pPr>
        <w:spacing w:line="360" w:lineRule="auto"/>
        <w:ind w:firstLine="480" w:firstLineChars="200"/>
        <w:rPr>
          <w:rFonts w:ascii="宋体" w:hAnsi="宋体"/>
          <w:sz w:val="24"/>
        </w:rPr>
      </w:pPr>
      <w:r>
        <w:rPr>
          <w:rFonts w:hint="eastAsia" w:ascii="宋体" w:hAnsi="宋体"/>
          <w:sz w:val="24"/>
        </w:rPr>
        <w:t>1、2021年12月16日，公司召开了第十届董事会2021年第四次临时会议（通讯表决），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公司独立董事就本激励计划是否有利于公司的持续发展及是否存在损害公司及全体股东利益的情形发表了独立意见。同日，公司召开第十届监事会2021年第三次临时会议（通讯表决），审议通过了《关于&lt;江苏吴中医药发展股份有限公司2021年限制性股票激励计划（草案）&gt;及其摘要的议案》《关于&lt;江苏吴中医药发展股份有限公司2021年限制性股票激励计划实施考核管理办法&gt;的议案》等议案，公司监事会对本次激励计划的相关事项进行核实并出具了相关核查意见。</w:t>
      </w:r>
    </w:p>
    <w:p>
      <w:pPr>
        <w:spacing w:line="360" w:lineRule="auto"/>
        <w:ind w:firstLine="480" w:firstLineChars="200"/>
        <w:rPr>
          <w:rFonts w:ascii="宋体" w:hAnsi="宋体"/>
          <w:sz w:val="24"/>
        </w:rPr>
      </w:pPr>
      <w:r>
        <w:rPr>
          <w:rFonts w:hint="eastAsia" w:ascii="宋体" w:hAnsi="宋体"/>
          <w:sz w:val="24"/>
        </w:rPr>
        <w:t>2、2021年12月17日至2021年12月27日，公司将本次拟首次授予激励对象的姓名及职务在公司内部予以公示。在公示期内，公司监事会未收到任何对本次拟首次授予激励对象提出的异议。2021年12月28日，公司披露了《江苏吴中医药发展股份有限公司监事会关于公司2021年限制性股票激励计划首次授予激励对象名单的公示情况说明及核查意见》。</w:t>
      </w:r>
    </w:p>
    <w:p>
      <w:pPr>
        <w:spacing w:line="360" w:lineRule="auto"/>
        <w:ind w:firstLine="480" w:firstLineChars="200"/>
        <w:rPr>
          <w:rFonts w:ascii="宋体" w:hAnsi="宋体"/>
          <w:sz w:val="24"/>
        </w:rPr>
      </w:pPr>
      <w:r>
        <w:rPr>
          <w:rFonts w:hint="eastAsia" w:ascii="宋体" w:hAnsi="宋体"/>
          <w:sz w:val="24"/>
        </w:rPr>
        <w:t>3、2022年1月5日，公司召开2022年第一次临时股东大会,审议通过了《关于&lt;江苏吴中医药发展股份有限公司2021年限制性股票激励计划（草案）&gt;及其摘要的议案》《关于&lt;江苏吴中医药发展股份有限公司2021年限制性股票激励计划实施考核管理办法&gt;</w:t>
      </w:r>
      <w:r>
        <w:rPr>
          <w:rFonts w:ascii="宋体" w:hAnsi="宋体"/>
          <w:sz w:val="24"/>
        </w:rPr>
        <w:t>的议案</w:t>
      </w:r>
      <w:r>
        <w:rPr>
          <w:rFonts w:hint="eastAsia" w:ascii="宋体" w:hAnsi="宋体"/>
          <w:sz w:val="24"/>
        </w:rPr>
        <w:t>》《关于提请股东大会授权董事会办理公司股权激励计划相关事项的议案》等议案。2022年1月6日，公司披露了《江苏吴中医药发展股份有限公司关于2021 年限制性股票激励计划内幕信息知情人买卖公司股票情况的自查报告》，未发现本次激励计划的内幕信息知情人存在利用本次激励计划相关内幕信息买卖公司股票的行为或泄露本激励计划有关内幕信息导致内幕交易发生的情形。</w:t>
      </w:r>
    </w:p>
    <w:p>
      <w:pPr>
        <w:spacing w:before="156" w:beforeLines="50" w:line="360" w:lineRule="auto"/>
        <w:ind w:firstLine="480" w:firstLineChars="200"/>
        <w:rPr>
          <w:rFonts w:asciiTheme="minorEastAsia" w:hAnsiTheme="minorEastAsia" w:eastAsiaTheme="minorEastAsia"/>
          <w:sz w:val="24"/>
        </w:rPr>
      </w:pPr>
      <w:r>
        <w:rPr>
          <w:rFonts w:hint="eastAsia" w:ascii="宋体" w:hAnsi="宋体"/>
          <w:sz w:val="24"/>
        </w:rPr>
        <w:t>4、2022年2月16日，公司召开第十届董事会2022年第二次临时会议（通讯表决）及第十届监事会2022年第一次临时会议（通讯表决），审议通过了《关于调整公司2021年限制性股票激励计划首次授予激励对象名单及授予数量的议案》《关于向公司2021年限制性股票激励计划激励对象首次授予限制性股票的议案》。同意公司本激励计划拟首次授予的激励对象人数由143人调整为</w:t>
      </w:r>
      <w:r>
        <w:rPr>
          <w:rFonts w:ascii="宋体" w:hAnsi="宋体"/>
          <w:sz w:val="24"/>
        </w:rPr>
        <w:t>110</w:t>
      </w:r>
      <w:r>
        <w:rPr>
          <w:rFonts w:hint="eastAsia" w:ascii="宋体" w:hAnsi="宋体"/>
          <w:sz w:val="24"/>
        </w:rPr>
        <w:t>人，首次授予限制性股票数量由</w:t>
      </w:r>
      <w:r>
        <w:rPr>
          <w:rFonts w:ascii="宋体" w:hAnsi="宋体"/>
          <w:sz w:val="24"/>
        </w:rPr>
        <w:t>374.0000</w:t>
      </w:r>
      <w:r>
        <w:rPr>
          <w:rFonts w:hint="eastAsia" w:ascii="宋体" w:hAnsi="宋体"/>
          <w:sz w:val="24"/>
        </w:rPr>
        <w:t>万股调整为</w:t>
      </w:r>
      <w:r>
        <w:rPr>
          <w:rFonts w:ascii="宋体" w:hAnsi="宋体"/>
          <w:sz w:val="24"/>
        </w:rPr>
        <w:t>331.9000</w:t>
      </w:r>
      <w:r>
        <w:rPr>
          <w:rFonts w:hint="eastAsia" w:ascii="宋体" w:hAnsi="宋体"/>
          <w:sz w:val="24"/>
        </w:rPr>
        <w:t>万股；预留授予限制性股票由</w:t>
      </w:r>
      <w:r>
        <w:rPr>
          <w:rFonts w:ascii="宋体" w:hAnsi="宋体"/>
          <w:sz w:val="24"/>
        </w:rPr>
        <w:t>38.4303万股调整为80.5303</w:t>
      </w:r>
      <w:r>
        <w:rPr>
          <w:rFonts w:hint="eastAsia" w:ascii="宋体" w:hAnsi="宋体"/>
          <w:sz w:val="24"/>
        </w:rPr>
        <w:t>万股，本激励计划拟授予的限制性股票总数不变。公司董事会认为本次激励计划规定的限制性股票的首次授予条件已经成就，</w:t>
      </w:r>
      <w:r>
        <w:rPr>
          <w:rFonts w:hint="eastAsia" w:asciiTheme="minorEastAsia" w:hAnsiTheme="minorEastAsia" w:eastAsiaTheme="minorEastAsia"/>
          <w:sz w:val="24"/>
        </w:rPr>
        <w:t>同意确定以</w:t>
      </w:r>
      <w:r>
        <w:rPr>
          <w:rFonts w:asciiTheme="minorEastAsia" w:hAnsiTheme="minorEastAsia" w:eastAsiaTheme="minorEastAsia"/>
          <w:sz w:val="24"/>
        </w:rPr>
        <w:t>2022年2月16日为限制性股票首次授予日，向符合条件的110</w:t>
      </w:r>
      <w:r>
        <w:rPr>
          <w:rFonts w:hint="eastAsia" w:asciiTheme="minorEastAsia" w:hAnsiTheme="minorEastAsia" w:eastAsiaTheme="minorEastAsia"/>
          <w:sz w:val="24"/>
        </w:rPr>
        <w:t>名激励对象授予</w:t>
      </w:r>
      <w:r>
        <w:rPr>
          <w:rFonts w:asciiTheme="minorEastAsia" w:hAnsiTheme="minorEastAsia" w:eastAsiaTheme="minorEastAsia"/>
          <w:sz w:val="24"/>
        </w:rPr>
        <w:t>331.9000</w:t>
      </w:r>
      <w:r>
        <w:rPr>
          <w:rFonts w:hint="eastAsia" w:asciiTheme="minorEastAsia" w:hAnsiTheme="minorEastAsia" w:eastAsiaTheme="minorEastAsia"/>
          <w:sz w:val="24"/>
        </w:rPr>
        <w:t>万股限制性股票，授予价格为3.68元/股。公司监事会对调整后的激励对象名单再次进行了核实并发表了明确同意的意见。公司独立董事对此发表了同意的独立意见。</w:t>
      </w:r>
    </w:p>
    <w:p>
      <w:pPr>
        <w:spacing w:line="360" w:lineRule="auto"/>
        <w:ind w:firstLine="480" w:firstLineChars="200"/>
        <w:rPr>
          <w:rFonts w:ascii="宋体" w:hAnsi="宋体"/>
          <w:sz w:val="24"/>
        </w:rPr>
      </w:pPr>
      <w:r>
        <w:rPr>
          <w:rFonts w:hint="eastAsia" w:ascii="宋体" w:hAnsi="宋体"/>
          <w:sz w:val="24"/>
        </w:rPr>
        <w:t>（二）董事会关于符合授予条件的说明</w:t>
      </w:r>
    </w:p>
    <w:p>
      <w:pPr>
        <w:spacing w:line="360" w:lineRule="auto"/>
        <w:ind w:firstLine="480" w:firstLineChars="200"/>
        <w:rPr>
          <w:rFonts w:ascii="宋体" w:hAnsi="宋体"/>
          <w:sz w:val="24"/>
        </w:rPr>
      </w:pPr>
      <w:r>
        <w:rPr>
          <w:rFonts w:hint="eastAsia" w:ascii="宋体" w:hAnsi="宋体"/>
          <w:sz w:val="24"/>
        </w:rPr>
        <w:t>根据《激励计划》中“限制性股票的授予条件”的规定，只有在同时满足下列条件时，公司向激励对象授予限制性股票；反之，若下列任一授予条件未达成，则不能向激励对象授予限制性股票。</w:t>
      </w:r>
    </w:p>
    <w:p>
      <w:pPr>
        <w:spacing w:line="360" w:lineRule="auto"/>
        <w:ind w:firstLine="480" w:firstLineChars="200"/>
        <w:rPr>
          <w:rFonts w:ascii="宋体" w:hAnsi="宋体"/>
          <w:sz w:val="24"/>
        </w:rPr>
      </w:pPr>
      <w:r>
        <w:rPr>
          <w:rFonts w:hint="eastAsia" w:ascii="宋体" w:hAnsi="宋体"/>
          <w:sz w:val="24"/>
        </w:rPr>
        <w:t>1、公司未发生如下任一情形：</w:t>
      </w:r>
    </w:p>
    <w:p>
      <w:pPr>
        <w:spacing w:line="360" w:lineRule="auto"/>
        <w:ind w:firstLine="480" w:firstLineChars="200"/>
        <w:rPr>
          <w:rFonts w:ascii="宋体" w:hAnsi="宋体"/>
          <w:sz w:val="24"/>
        </w:rPr>
      </w:pPr>
      <w:r>
        <w:rPr>
          <w:rFonts w:hint="eastAsia" w:ascii="宋体" w:hAnsi="宋体"/>
          <w:sz w:val="24"/>
        </w:rPr>
        <w:t>（1）最近一个会计年度财务会计报告被注册会计师出具否定意见或者无法表示意见的审计报告；</w:t>
      </w:r>
    </w:p>
    <w:p>
      <w:pPr>
        <w:spacing w:line="360" w:lineRule="auto"/>
        <w:ind w:firstLine="480" w:firstLineChars="200"/>
        <w:rPr>
          <w:rFonts w:ascii="宋体" w:hAnsi="宋体"/>
          <w:sz w:val="24"/>
        </w:rPr>
      </w:pPr>
      <w:r>
        <w:rPr>
          <w:rFonts w:hint="eastAsia" w:ascii="宋体" w:hAnsi="宋体"/>
          <w:sz w:val="24"/>
        </w:rPr>
        <w:t>（2）最近一个会计年度财务报告内部控制被注册会计师出具否定意见或者无法表示意见的审计报告；</w:t>
      </w:r>
    </w:p>
    <w:p>
      <w:pPr>
        <w:spacing w:line="360" w:lineRule="auto"/>
        <w:ind w:firstLine="480" w:firstLineChars="200"/>
        <w:rPr>
          <w:rFonts w:ascii="宋体" w:hAnsi="宋体"/>
          <w:sz w:val="24"/>
        </w:rPr>
      </w:pPr>
      <w:r>
        <w:rPr>
          <w:rFonts w:hint="eastAsia" w:ascii="宋体" w:hAnsi="宋体"/>
          <w:sz w:val="24"/>
        </w:rPr>
        <w:t>（3）上市后最近36个月内出现过未按法律法规、公司章程、公开承诺进行利润分配的情形；</w:t>
      </w:r>
    </w:p>
    <w:p>
      <w:pPr>
        <w:spacing w:line="360" w:lineRule="auto"/>
        <w:ind w:firstLine="480" w:firstLineChars="200"/>
        <w:rPr>
          <w:rFonts w:ascii="宋体" w:hAnsi="宋体"/>
          <w:sz w:val="24"/>
        </w:rPr>
      </w:pPr>
      <w:r>
        <w:rPr>
          <w:rFonts w:hint="eastAsia" w:ascii="宋体" w:hAnsi="宋体"/>
          <w:sz w:val="24"/>
        </w:rPr>
        <w:t>（4）法律法规规定不得实行股权激励的；</w:t>
      </w:r>
    </w:p>
    <w:p>
      <w:pPr>
        <w:spacing w:line="360" w:lineRule="auto"/>
        <w:ind w:firstLine="480" w:firstLineChars="200"/>
        <w:rPr>
          <w:rFonts w:ascii="宋体" w:hAnsi="宋体"/>
          <w:sz w:val="24"/>
        </w:rPr>
      </w:pPr>
      <w:r>
        <w:rPr>
          <w:rFonts w:hint="eastAsia" w:ascii="宋体" w:hAnsi="宋体"/>
          <w:sz w:val="24"/>
        </w:rPr>
        <w:t>（5）中国证监会认定的其他情形。</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2、激励对象未发生如下任一情形：</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（1）最近12个月内被证券交易所认定为不适当人选；</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（2）最近12个月内被中国证监会及其派出机构认定为不适当人选；</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（3）最近12个月内因重大违法违规行为被中国证监会及其派出机构行政处罚或者采取市场禁入措施；</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（4）具有《中华人民共和国公司法》（以下简称“《公司法》”）规定的不得担任公司董事、高级管理人员情形的；</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（5）法律法规规定不得参与上市公司股权激励的；</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（6）中国证监会认定的其他情形。</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公司董事会经过认真核查，确定公司及激励对象均未出现上述任一情况，公司董事会认为本次激励计划规定的首次授予限制性股票的条件已经成就，同意确定以</w:t>
      </w:r>
      <w:r>
        <w:rPr>
          <w:rFonts w:asciiTheme="minorEastAsia" w:hAnsiTheme="minorEastAsia" w:eastAsiaTheme="minorEastAsia"/>
          <w:sz w:val="24"/>
        </w:rPr>
        <w:t>2022年2月16日为限制性股票首次授予日，向符合条件的110</w:t>
      </w:r>
      <w:r>
        <w:rPr>
          <w:rFonts w:hint="eastAsia" w:asciiTheme="minorEastAsia" w:hAnsiTheme="minorEastAsia" w:eastAsiaTheme="minorEastAsia"/>
          <w:sz w:val="24"/>
        </w:rPr>
        <w:t>名激励对象授予</w:t>
      </w:r>
      <w:r>
        <w:rPr>
          <w:rFonts w:asciiTheme="minorEastAsia" w:hAnsiTheme="minorEastAsia" w:eastAsiaTheme="minorEastAsia"/>
          <w:sz w:val="24"/>
        </w:rPr>
        <w:t>331.9000</w:t>
      </w:r>
      <w:r>
        <w:rPr>
          <w:rFonts w:hint="eastAsia" w:asciiTheme="minorEastAsia" w:hAnsiTheme="minorEastAsia" w:eastAsiaTheme="minorEastAsia"/>
          <w:sz w:val="24"/>
        </w:rPr>
        <w:t>万股限制性股票，授予价格为</w:t>
      </w:r>
      <w:r>
        <w:rPr>
          <w:rFonts w:asciiTheme="minorEastAsia" w:hAnsiTheme="minorEastAsia" w:eastAsiaTheme="minorEastAsia"/>
          <w:sz w:val="24"/>
        </w:rPr>
        <w:t>3.68</w:t>
      </w:r>
      <w:r>
        <w:rPr>
          <w:rFonts w:hint="eastAsia" w:asciiTheme="minorEastAsia" w:hAnsiTheme="minorEastAsia" w:eastAsiaTheme="minorEastAsia"/>
          <w:sz w:val="24"/>
        </w:rPr>
        <w:t>元</w:t>
      </w:r>
      <w:r>
        <w:rPr>
          <w:rFonts w:asciiTheme="minorEastAsia" w:hAnsiTheme="minorEastAsia" w:eastAsiaTheme="minorEastAsia"/>
          <w:sz w:val="24"/>
        </w:rPr>
        <w:t>/股</w:t>
      </w:r>
      <w:r>
        <w:rPr>
          <w:rFonts w:hint="eastAsia" w:asciiTheme="minorEastAsia" w:hAnsiTheme="minorEastAsia" w:eastAsiaTheme="minorEastAsia"/>
          <w:sz w:val="24"/>
        </w:rPr>
        <w:t>。</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（三）首次授予的具体情况</w:t>
      </w:r>
    </w:p>
    <w:p>
      <w:pPr>
        <w:spacing w:before="156"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授予日：</w:t>
      </w:r>
      <w:r>
        <w:rPr>
          <w:rFonts w:asciiTheme="minorEastAsia" w:hAnsiTheme="minorEastAsia" w:eastAsiaTheme="minorEastAsia"/>
          <w:sz w:val="24"/>
        </w:rPr>
        <w:t>2022年2月16日</w:t>
      </w:r>
    </w:p>
    <w:p>
      <w:pPr>
        <w:spacing w:before="156"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2、授予数量：331.9000</w:t>
      </w:r>
      <w:r>
        <w:rPr>
          <w:rFonts w:hint="eastAsia" w:asciiTheme="minorEastAsia" w:hAnsiTheme="minorEastAsia" w:eastAsiaTheme="minorEastAsia"/>
          <w:sz w:val="24"/>
        </w:rPr>
        <w:t>万股</w:t>
      </w:r>
    </w:p>
    <w:p>
      <w:pPr>
        <w:spacing w:before="156"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3、授予人数：110</w:t>
      </w:r>
      <w:r>
        <w:rPr>
          <w:rFonts w:hint="eastAsia" w:asciiTheme="minorEastAsia" w:hAnsiTheme="minorEastAsia" w:eastAsiaTheme="minorEastAsia"/>
          <w:sz w:val="24"/>
        </w:rPr>
        <w:t>人</w:t>
      </w:r>
    </w:p>
    <w:p>
      <w:pPr>
        <w:spacing w:before="156"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4、授予价格：3.68元/股</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5、股票来源：公司从二级市场回购的本公司人民币A股普通股股票。</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6、有效期、限售期和解除限售安排</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（1）本激励计划的有效期</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本激励计划的有效期为自限制性股票授予之日起至激励对象获授的限制性股票全部解除限售或回购注销完毕之日止，最长不超过48个月。</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（2）本激励计划的限售期和解除限售安排</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激励对象获授的全部限制性股票适用不同的限售期，均自授予完成日起计。授予日与首次解除限售日之间的间隔不得少于12个月。激励对象根据本激励计划获授的限制性股票在限售期内不得转让、用于担保或偿还债务。</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（3）首次授予的限制性股票的解除限售安排如下表所示：</w:t>
      </w:r>
    </w:p>
    <w:tbl>
      <w:tblPr>
        <w:tblStyle w:val="8"/>
        <w:tblpPr w:leftFromText="180" w:rightFromText="180" w:vertAnchor="text" w:horzAnchor="margin" w:tblpX="108" w:tblpY="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88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51" w:type="dxa"/>
            <w:shd w:val="clear" w:color="auto" w:fill="F2F2F2"/>
            <w:vAlign w:val="center"/>
          </w:tcPr>
          <w:p>
            <w:pPr>
              <w:widowControl/>
              <w:jc w:val="center"/>
              <w:rPr>
                <w:b/>
                <w:szCs w:val="21"/>
              </w:rPr>
            </w:pPr>
            <w:r>
              <w:rPr>
                <w:b/>
                <w:szCs w:val="21"/>
              </w:rPr>
              <w:t>解除限售安排</w:t>
            </w:r>
          </w:p>
        </w:tc>
        <w:tc>
          <w:tcPr>
            <w:tcW w:w="4887" w:type="dxa"/>
            <w:shd w:val="clear" w:color="auto" w:fill="F2F2F2"/>
            <w:vAlign w:val="center"/>
          </w:tcPr>
          <w:p>
            <w:pPr>
              <w:widowControl/>
              <w:ind w:firstLine="422"/>
              <w:jc w:val="center"/>
              <w:rPr>
                <w:b/>
                <w:szCs w:val="21"/>
              </w:rPr>
            </w:pPr>
            <w:r>
              <w:rPr>
                <w:b/>
                <w:szCs w:val="21"/>
              </w:rPr>
              <w:t>解除限售期间</w:t>
            </w:r>
          </w:p>
        </w:tc>
        <w:tc>
          <w:tcPr>
            <w:tcW w:w="1638" w:type="dxa"/>
            <w:shd w:val="clear" w:color="auto" w:fill="F2F2F2"/>
            <w:vAlign w:val="center"/>
          </w:tcPr>
          <w:p>
            <w:pPr>
              <w:widowControl/>
              <w:jc w:val="center"/>
              <w:rPr>
                <w:b/>
                <w:szCs w:val="21"/>
              </w:rPr>
            </w:pPr>
            <w:r>
              <w:rPr>
                <w:b/>
                <w:szCs w:val="21"/>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FFFFFF"/>
            <w:vAlign w:val="center"/>
          </w:tcPr>
          <w:p>
            <w:pPr>
              <w:widowControl/>
              <w:jc w:val="center"/>
              <w:rPr>
                <w:szCs w:val="21"/>
              </w:rPr>
            </w:pPr>
            <w:r>
              <w:rPr>
                <w:szCs w:val="21"/>
              </w:rPr>
              <w:t>第一个解除限售期</w:t>
            </w:r>
          </w:p>
        </w:tc>
        <w:tc>
          <w:tcPr>
            <w:tcW w:w="4887" w:type="dxa"/>
            <w:shd w:val="clear" w:color="auto" w:fill="FFFFFF"/>
          </w:tcPr>
          <w:p>
            <w:pPr>
              <w:widowControl/>
              <w:jc w:val="left"/>
              <w:rPr>
                <w:szCs w:val="21"/>
              </w:rPr>
            </w:pPr>
            <w:r>
              <w:rPr>
                <w:szCs w:val="21"/>
              </w:rPr>
              <w:t>自首次授予部分限制性股票授予日起12个月后的首个交易日起至首次授予部分限制性股票授予日起24个月内的最后一个交易日当日止</w:t>
            </w:r>
          </w:p>
        </w:tc>
        <w:tc>
          <w:tcPr>
            <w:tcW w:w="1638" w:type="dxa"/>
            <w:shd w:val="clear" w:color="auto" w:fill="FFFFFF"/>
            <w:vAlign w:val="center"/>
          </w:tcPr>
          <w:p>
            <w:pPr>
              <w:widowControl/>
              <w:jc w:val="center"/>
              <w:rPr>
                <w:szCs w:val="21"/>
              </w:rPr>
            </w:pPr>
            <w:r>
              <w:rPr>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FFFFFF"/>
            <w:vAlign w:val="center"/>
          </w:tcPr>
          <w:p>
            <w:pPr>
              <w:widowControl/>
              <w:jc w:val="center"/>
              <w:rPr>
                <w:szCs w:val="21"/>
              </w:rPr>
            </w:pPr>
            <w:r>
              <w:rPr>
                <w:szCs w:val="21"/>
              </w:rPr>
              <w:t>第二个解除限售期</w:t>
            </w:r>
          </w:p>
        </w:tc>
        <w:tc>
          <w:tcPr>
            <w:tcW w:w="4887" w:type="dxa"/>
            <w:shd w:val="clear" w:color="auto" w:fill="FFFFFF"/>
          </w:tcPr>
          <w:p>
            <w:pPr>
              <w:widowControl/>
              <w:jc w:val="left"/>
              <w:rPr>
                <w:szCs w:val="21"/>
              </w:rPr>
            </w:pPr>
            <w:r>
              <w:rPr>
                <w:szCs w:val="21"/>
              </w:rPr>
              <w:t>自首次授予部分限制性股票授予日起24个月后的首个交易日起至首次授予部分限制性股票授予日起36个月内的最后一个交易日当日止</w:t>
            </w:r>
          </w:p>
        </w:tc>
        <w:tc>
          <w:tcPr>
            <w:tcW w:w="1638" w:type="dxa"/>
            <w:shd w:val="clear" w:color="auto" w:fill="FFFFFF"/>
            <w:vAlign w:val="center"/>
          </w:tcPr>
          <w:p>
            <w:pPr>
              <w:widowControl/>
              <w:jc w:val="center"/>
              <w:rPr>
                <w:szCs w:val="21"/>
              </w:rPr>
            </w:pPr>
            <w:r>
              <w:rPr>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FFFFFF"/>
            <w:vAlign w:val="center"/>
          </w:tcPr>
          <w:p>
            <w:pPr>
              <w:widowControl/>
              <w:jc w:val="center"/>
              <w:rPr>
                <w:szCs w:val="21"/>
              </w:rPr>
            </w:pPr>
            <w:r>
              <w:rPr>
                <w:szCs w:val="21"/>
              </w:rPr>
              <w:t>第三个解除限售期</w:t>
            </w:r>
          </w:p>
        </w:tc>
        <w:tc>
          <w:tcPr>
            <w:tcW w:w="4887" w:type="dxa"/>
            <w:shd w:val="clear" w:color="auto" w:fill="FFFFFF"/>
          </w:tcPr>
          <w:p>
            <w:pPr>
              <w:widowControl/>
              <w:jc w:val="left"/>
              <w:rPr>
                <w:szCs w:val="21"/>
              </w:rPr>
            </w:pPr>
            <w:r>
              <w:rPr>
                <w:szCs w:val="21"/>
              </w:rPr>
              <w:t>自首次授予部分限制性股票授予日起36个月后的首个交易日起至首次授予部分限制性股票授予日起48个月内的最后一个交易日当日止</w:t>
            </w:r>
          </w:p>
        </w:tc>
        <w:tc>
          <w:tcPr>
            <w:tcW w:w="1638" w:type="dxa"/>
            <w:shd w:val="clear" w:color="auto" w:fill="FFFFFF"/>
            <w:vAlign w:val="center"/>
          </w:tcPr>
          <w:p>
            <w:pPr>
              <w:widowControl/>
              <w:jc w:val="center"/>
              <w:rPr>
                <w:szCs w:val="21"/>
              </w:rPr>
            </w:pPr>
            <w:r>
              <w:rPr>
                <w:szCs w:val="21"/>
              </w:rPr>
              <w:t>30%</w:t>
            </w:r>
          </w:p>
        </w:tc>
      </w:tr>
    </w:tbl>
    <w:p>
      <w:pPr>
        <w:spacing w:before="156" w:beforeLines="50" w:after="156" w:line="300" w:lineRule="auto"/>
        <w:ind w:firstLine="480" w:firstLineChars="200"/>
        <w:rPr>
          <w:sz w:val="24"/>
        </w:rPr>
      </w:pPr>
      <w:r>
        <w:rPr>
          <w:sz w:val="24"/>
        </w:rPr>
        <w:t>在上述约定期间内因未达到解除限售条件的限制性股票，不得解除限售或</w:t>
      </w:r>
      <w:r>
        <w:rPr>
          <w:rFonts w:hint="eastAsia"/>
          <w:sz w:val="24"/>
        </w:rPr>
        <w:t>递延至下期解除限售，</w:t>
      </w:r>
      <w:r>
        <w:rPr>
          <w:sz w:val="24"/>
        </w:rPr>
        <w:t>公司将按本激励计划规定的原则回购并注销激励对象相应尚未解除限售的限制性股票。</w:t>
      </w:r>
    </w:p>
    <w:p>
      <w:pPr>
        <w:spacing w:before="156" w:beforeLines="50" w:after="156" w:line="300" w:lineRule="auto"/>
        <w:ind w:firstLine="480" w:firstLineChars="200"/>
        <w:rPr>
          <w:rFonts w:asciiTheme="minorEastAsia" w:hAnsiTheme="minorEastAsia" w:eastAsiaTheme="minorEastAsia"/>
          <w:sz w:val="24"/>
        </w:rPr>
      </w:pPr>
      <w:r>
        <w:rPr>
          <w:rFonts w:asciiTheme="minorEastAsia" w:hAnsiTheme="minorEastAsia" w:eastAsiaTheme="minorEastAsia"/>
          <w:sz w:val="24"/>
        </w:rPr>
        <w:t>在满足限制性股票解除限售条件后，公司将统一办理满足解除限售条件的限制性股票解除限售事宜。</w:t>
      </w:r>
    </w:p>
    <w:p>
      <w:pPr>
        <w:spacing w:before="156" w:beforeLines="50" w:after="156" w:line="300" w:lineRule="auto"/>
        <w:ind w:firstLine="480" w:firstLineChars="200"/>
        <w:rPr>
          <w:rFonts w:asciiTheme="minorEastAsia" w:hAnsiTheme="minorEastAsia" w:eastAsiaTheme="minorEastAsia"/>
          <w:sz w:val="24"/>
        </w:rPr>
      </w:pPr>
      <w:r>
        <w:rPr>
          <w:rFonts w:asciiTheme="minorEastAsia" w:hAnsiTheme="minorEastAsia" w:eastAsiaTheme="minorEastAsia"/>
          <w:sz w:val="24"/>
        </w:rPr>
        <w:t>7</w:t>
      </w:r>
      <w:r>
        <w:rPr>
          <w:rFonts w:cs="宋体" w:asciiTheme="minorEastAsia" w:hAnsiTheme="minorEastAsia" w:eastAsiaTheme="minorEastAsia"/>
          <w:sz w:val="24"/>
        </w:rPr>
        <w:t>、激励对象名单及授予分配情况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1742"/>
        <w:gridCol w:w="2016"/>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16" w:type="pct"/>
            <w:vAlign w:val="center"/>
          </w:tcPr>
          <w:p>
            <w:pPr>
              <w:spacing w:before="100" w:beforeAutospacing="1" w:after="100" w:afterAutospacing="1" w:line="360" w:lineRule="auto"/>
              <w:jc w:val="center"/>
              <w:rPr>
                <w:b/>
                <w:szCs w:val="21"/>
              </w:rPr>
            </w:pPr>
            <w:r>
              <w:rPr>
                <w:b/>
                <w:szCs w:val="21"/>
              </w:rPr>
              <w:t>职务</w:t>
            </w:r>
          </w:p>
        </w:tc>
        <w:tc>
          <w:tcPr>
            <w:tcW w:w="1022" w:type="pct"/>
            <w:vAlign w:val="center"/>
          </w:tcPr>
          <w:p>
            <w:pPr>
              <w:spacing w:before="100" w:beforeAutospacing="1" w:after="100" w:afterAutospacing="1" w:line="276" w:lineRule="auto"/>
              <w:jc w:val="center"/>
              <w:rPr>
                <w:b/>
                <w:szCs w:val="21"/>
              </w:rPr>
            </w:pPr>
            <w:r>
              <w:rPr>
                <w:b/>
                <w:szCs w:val="21"/>
              </w:rPr>
              <w:t>获授的限制性股票数量</w:t>
            </w:r>
            <w:r>
              <w:rPr>
                <w:rFonts w:hint="eastAsia"/>
                <w:b/>
                <w:szCs w:val="21"/>
              </w:rPr>
              <w:t>（</w:t>
            </w:r>
            <w:r>
              <w:rPr>
                <w:b/>
                <w:szCs w:val="21"/>
              </w:rPr>
              <w:t>万股</w:t>
            </w:r>
            <w:r>
              <w:rPr>
                <w:rFonts w:hint="eastAsia"/>
                <w:b/>
                <w:szCs w:val="21"/>
              </w:rPr>
              <w:t>）</w:t>
            </w:r>
          </w:p>
        </w:tc>
        <w:tc>
          <w:tcPr>
            <w:tcW w:w="1183" w:type="pct"/>
            <w:vAlign w:val="center"/>
          </w:tcPr>
          <w:p>
            <w:pPr>
              <w:spacing w:before="100" w:beforeAutospacing="1" w:after="100" w:afterAutospacing="1" w:line="276" w:lineRule="auto"/>
              <w:jc w:val="center"/>
              <w:rPr>
                <w:b/>
                <w:szCs w:val="21"/>
              </w:rPr>
            </w:pPr>
            <w:r>
              <w:rPr>
                <w:b/>
                <w:szCs w:val="21"/>
              </w:rPr>
              <w:t>占本激励计划授出权益数量的比例</w:t>
            </w:r>
          </w:p>
        </w:tc>
        <w:tc>
          <w:tcPr>
            <w:tcW w:w="1179" w:type="pct"/>
            <w:vAlign w:val="center"/>
          </w:tcPr>
          <w:p>
            <w:pPr>
              <w:spacing w:before="100" w:beforeAutospacing="1" w:after="100" w:afterAutospacing="1" w:line="276" w:lineRule="auto"/>
              <w:jc w:val="center"/>
              <w:rPr>
                <w:b/>
                <w:szCs w:val="21"/>
              </w:rPr>
            </w:pPr>
            <w:r>
              <w:rPr>
                <w:b/>
                <w:szCs w:val="21"/>
              </w:rPr>
              <w:t>占授予时股本总额比例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6" w:type="pct"/>
            <w:vAlign w:val="center"/>
          </w:tcPr>
          <w:p>
            <w:pPr>
              <w:jc w:val="center"/>
              <w:rPr>
                <w:szCs w:val="21"/>
              </w:rPr>
            </w:pPr>
            <w:r>
              <w:rPr>
                <w:rFonts w:hint="eastAsia"/>
                <w:szCs w:val="21"/>
              </w:rPr>
              <w:t>核心技术人员</w:t>
            </w:r>
            <w:r>
              <w:rPr>
                <w:szCs w:val="21"/>
              </w:rPr>
              <w:t>及</w:t>
            </w:r>
            <w:r>
              <w:rPr>
                <w:rFonts w:hint="eastAsia"/>
                <w:szCs w:val="21"/>
              </w:rPr>
              <w:t>核心业务</w:t>
            </w:r>
          </w:p>
          <w:p>
            <w:pPr>
              <w:jc w:val="center"/>
              <w:rPr>
                <w:szCs w:val="21"/>
              </w:rPr>
            </w:pPr>
            <w:r>
              <w:rPr>
                <w:rFonts w:hint="eastAsia"/>
                <w:szCs w:val="21"/>
              </w:rPr>
              <w:t>人员（</w:t>
            </w:r>
            <w:r>
              <w:rPr>
                <w:szCs w:val="21"/>
              </w:rPr>
              <w:t>110</w:t>
            </w:r>
            <w:r>
              <w:rPr>
                <w:rFonts w:hint="eastAsia"/>
                <w:szCs w:val="21"/>
              </w:rPr>
              <w:t>人）</w:t>
            </w:r>
          </w:p>
        </w:tc>
        <w:tc>
          <w:tcPr>
            <w:tcW w:w="1022" w:type="pct"/>
            <w:vAlign w:val="center"/>
          </w:tcPr>
          <w:p>
            <w:pPr>
              <w:spacing w:line="360" w:lineRule="auto"/>
              <w:jc w:val="center"/>
              <w:rPr>
                <w:szCs w:val="21"/>
              </w:rPr>
            </w:pPr>
            <w:r>
              <w:rPr>
                <w:szCs w:val="21"/>
              </w:rPr>
              <w:t>331.9000</w:t>
            </w:r>
          </w:p>
        </w:tc>
        <w:tc>
          <w:tcPr>
            <w:tcW w:w="1183" w:type="pct"/>
            <w:vAlign w:val="center"/>
          </w:tcPr>
          <w:p>
            <w:pPr>
              <w:spacing w:line="360" w:lineRule="auto"/>
              <w:jc w:val="center"/>
              <w:rPr>
                <w:szCs w:val="21"/>
              </w:rPr>
            </w:pPr>
            <w:r>
              <w:rPr>
                <w:szCs w:val="21"/>
              </w:rPr>
              <w:t>80.47%</w:t>
            </w:r>
          </w:p>
        </w:tc>
        <w:tc>
          <w:tcPr>
            <w:tcW w:w="1179" w:type="pct"/>
            <w:vAlign w:val="center"/>
          </w:tcPr>
          <w:p>
            <w:pPr>
              <w:spacing w:line="360" w:lineRule="auto"/>
              <w:jc w:val="center"/>
              <w:rPr>
                <w:szCs w:val="21"/>
              </w:rPr>
            </w:pPr>
            <w:r>
              <w:rPr>
                <w:szCs w:val="21"/>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6" w:type="pct"/>
            <w:vAlign w:val="center"/>
          </w:tcPr>
          <w:p>
            <w:pPr>
              <w:spacing w:line="360" w:lineRule="auto"/>
              <w:jc w:val="center"/>
              <w:rPr>
                <w:szCs w:val="21"/>
              </w:rPr>
            </w:pPr>
            <w:r>
              <w:rPr>
                <w:szCs w:val="21"/>
              </w:rPr>
              <w:t>预留</w:t>
            </w:r>
          </w:p>
        </w:tc>
        <w:tc>
          <w:tcPr>
            <w:tcW w:w="1022" w:type="pct"/>
            <w:vAlign w:val="center"/>
          </w:tcPr>
          <w:p>
            <w:pPr>
              <w:spacing w:line="360" w:lineRule="auto"/>
              <w:jc w:val="center"/>
              <w:rPr>
                <w:szCs w:val="21"/>
              </w:rPr>
            </w:pPr>
            <w:r>
              <w:rPr>
                <w:szCs w:val="21"/>
              </w:rPr>
              <w:t>80.5303</w:t>
            </w:r>
          </w:p>
        </w:tc>
        <w:tc>
          <w:tcPr>
            <w:tcW w:w="1183" w:type="pct"/>
            <w:vAlign w:val="center"/>
          </w:tcPr>
          <w:p>
            <w:pPr>
              <w:spacing w:line="360" w:lineRule="auto"/>
              <w:jc w:val="center"/>
              <w:rPr>
                <w:szCs w:val="21"/>
              </w:rPr>
            </w:pPr>
            <w:r>
              <w:rPr>
                <w:szCs w:val="21"/>
              </w:rPr>
              <w:t>19.53%</w:t>
            </w:r>
          </w:p>
        </w:tc>
        <w:tc>
          <w:tcPr>
            <w:tcW w:w="1179" w:type="pct"/>
            <w:vAlign w:val="center"/>
          </w:tcPr>
          <w:p>
            <w:pPr>
              <w:spacing w:line="360" w:lineRule="auto"/>
              <w:jc w:val="center"/>
              <w:rPr>
                <w:szCs w:val="21"/>
              </w:rPr>
            </w:pPr>
            <w:r>
              <w:rPr>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6" w:type="pct"/>
            <w:vAlign w:val="center"/>
          </w:tcPr>
          <w:p>
            <w:pPr>
              <w:spacing w:line="360" w:lineRule="auto"/>
              <w:jc w:val="center"/>
              <w:rPr>
                <w:szCs w:val="21"/>
              </w:rPr>
            </w:pPr>
            <w:r>
              <w:rPr>
                <w:szCs w:val="21"/>
              </w:rPr>
              <w:t>合计</w:t>
            </w:r>
          </w:p>
        </w:tc>
        <w:tc>
          <w:tcPr>
            <w:tcW w:w="1022" w:type="pct"/>
            <w:vAlign w:val="center"/>
          </w:tcPr>
          <w:p>
            <w:pPr>
              <w:spacing w:line="360" w:lineRule="auto"/>
              <w:jc w:val="center"/>
              <w:rPr>
                <w:szCs w:val="21"/>
              </w:rPr>
            </w:pPr>
            <w:r>
              <w:rPr>
                <w:szCs w:val="21"/>
              </w:rPr>
              <w:t xml:space="preserve">412.4303 </w:t>
            </w:r>
          </w:p>
        </w:tc>
        <w:tc>
          <w:tcPr>
            <w:tcW w:w="1183" w:type="pct"/>
            <w:vAlign w:val="center"/>
          </w:tcPr>
          <w:p>
            <w:pPr>
              <w:spacing w:line="360" w:lineRule="auto"/>
              <w:jc w:val="center"/>
              <w:rPr>
                <w:szCs w:val="21"/>
              </w:rPr>
            </w:pPr>
            <w:r>
              <w:rPr>
                <w:szCs w:val="21"/>
              </w:rPr>
              <w:t>100.00%</w:t>
            </w:r>
          </w:p>
        </w:tc>
        <w:tc>
          <w:tcPr>
            <w:tcW w:w="1179" w:type="pct"/>
            <w:vAlign w:val="center"/>
          </w:tcPr>
          <w:p>
            <w:pPr>
              <w:spacing w:line="360" w:lineRule="auto"/>
              <w:jc w:val="center"/>
              <w:rPr>
                <w:szCs w:val="21"/>
              </w:rPr>
            </w:pPr>
            <w:r>
              <w:rPr>
                <w:szCs w:val="21"/>
              </w:rPr>
              <w:t>0.58%</w:t>
            </w:r>
          </w:p>
        </w:tc>
      </w:tr>
    </w:tbl>
    <w:p>
      <w:pPr>
        <w:spacing w:before="156" w:beforeLines="50" w:after="156" w:line="300" w:lineRule="auto"/>
        <w:rPr>
          <w:rFonts w:asciiTheme="minorEastAsia" w:hAnsiTheme="minorEastAsia" w:eastAsiaTheme="minorEastAsia"/>
          <w:szCs w:val="21"/>
        </w:rPr>
      </w:pPr>
      <w:r>
        <w:rPr>
          <w:rFonts w:hint="eastAsia" w:asciiTheme="minorEastAsia" w:hAnsiTheme="minorEastAsia" w:eastAsiaTheme="minorEastAsia"/>
          <w:szCs w:val="21"/>
        </w:rPr>
        <w:t>注：上表中部分合计数与各明细数相加之和在尾数上如有差异，系以上百分比结果四舍五入所致。</w:t>
      </w:r>
    </w:p>
    <w:p>
      <w:pPr>
        <w:spacing w:before="156" w:beforeLines="50" w:after="156"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（四）关于本次授予权益情况与股东大会审议通过的股权激励计划存在差异的说明</w:t>
      </w:r>
    </w:p>
    <w:p>
      <w:pPr>
        <w:spacing w:line="360" w:lineRule="auto"/>
        <w:ind w:firstLine="480" w:firstLineChars="200"/>
        <w:rPr>
          <w:rFonts w:ascii="宋体" w:hAnsi="宋体"/>
          <w:sz w:val="24"/>
        </w:rPr>
      </w:pPr>
      <w:r>
        <w:rPr>
          <w:rFonts w:hint="eastAsia" w:ascii="宋体" w:hAnsi="宋体"/>
          <w:sz w:val="24"/>
        </w:rPr>
        <w:t>鉴于首次授予激励对象中</w:t>
      </w:r>
      <w:r>
        <w:rPr>
          <w:rFonts w:ascii="宋体" w:hAnsi="宋体"/>
          <w:sz w:val="24"/>
        </w:rPr>
        <w:t>部分</w:t>
      </w:r>
      <w:r>
        <w:rPr>
          <w:rFonts w:hint="eastAsia" w:ascii="宋体" w:hAnsi="宋体"/>
          <w:sz w:val="24"/>
        </w:rPr>
        <w:t>激励对象因个人原因自愿放弃拟授予其的全部限制性股票</w:t>
      </w:r>
      <w:r>
        <w:rPr>
          <w:rFonts w:ascii="宋体" w:hAnsi="宋体"/>
          <w:sz w:val="24"/>
        </w:rPr>
        <w:t>42.1000</w:t>
      </w:r>
      <w:r>
        <w:rPr>
          <w:rFonts w:hint="eastAsia" w:ascii="宋体" w:hAnsi="宋体"/>
          <w:sz w:val="24"/>
        </w:rPr>
        <w:t>万股，公司董事会根据本激励计划规定及</w:t>
      </w:r>
      <w:r>
        <w:rPr>
          <w:rFonts w:ascii="宋体" w:hAnsi="宋体"/>
          <w:sz w:val="24"/>
        </w:rPr>
        <w:t>2022年第一次临时股东大会的授权，对本激励计划拟首次授予激励对象名单及授予数量进行调整。</w:t>
      </w:r>
    </w:p>
    <w:p>
      <w:pPr>
        <w:spacing w:line="360" w:lineRule="auto"/>
        <w:ind w:firstLine="480" w:firstLineChars="200"/>
        <w:rPr>
          <w:rFonts w:ascii="宋体" w:hAnsi="宋体"/>
          <w:sz w:val="24"/>
        </w:rPr>
      </w:pPr>
      <w:r>
        <w:rPr>
          <w:rFonts w:hint="eastAsia" w:ascii="宋体" w:hAnsi="宋体"/>
          <w:sz w:val="24"/>
        </w:rPr>
        <w:t>调整后，公司本激励计划拟首次授予的激励对象人数由</w:t>
      </w:r>
      <w:r>
        <w:rPr>
          <w:rFonts w:ascii="宋体" w:hAnsi="宋体"/>
          <w:sz w:val="24"/>
        </w:rPr>
        <w:t>143人</w:t>
      </w:r>
      <w:r>
        <w:rPr>
          <w:rFonts w:hint="eastAsia" w:ascii="宋体" w:hAnsi="宋体"/>
          <w:sz w:val="24"/>
        </w:rPr>
        <w:t>调整为</w:t>
      </w:r>
      <w:r>
        <w:rPr>
          <w:rFonts w:ascii="宋体" w:hAnsi="宋体"/>
          <w:sz w:val="24"/>
        </w:rPr>
        <w:t>110</w:t>
      </w:r>
      <w:r>
        <w:rPr>
          <w:rFonts w:hint="eastAsia" w:ascii="宋体" w:hAnsi="宋体"/>
          <w:sz w:val="24"/>
        </w:rPr>
        <w:t>人，首次授予限制性股票数量由</w:t>
      </w:r>
      <w:r>
        <w:rPr>
          <w:rFonts w:ascii="宋体" w:hAnsi="宋体"/>
          <w:sz w:val="24"/>
        </w:rPr>
        <w:t>374.0000</w:t>
      </w:r>
      <w:r>
        <w:rPr>
          <w:rFonts w:hint="eastAsia" w:ascii="宋体" w:hAnsi="宋体"/>
          <w:sz w:val="24"/>
        </w:rPr>
        <w:t>万股调整为</w:t>
      </w:r>
      <w:r>
        <w:rPr>
          <w:rFonts w:ascii="宋体" w:hAnsi="宋体"/>
          <w:sz w:val="24"/>
        </w:rPr>
        <w:t>331.9000</w:t>
      </w:r>
      <w:r>
        <w:rPr>
          <w:rFonts w:hint="eastAsia" w:ascii="宋体" w:hAnsi="宋体"/>
          <w:sz w:val="24"/>
        </w:rPr>
        <w:t>万股；预留授予限制性股票由</w:t>
      </w:r>
      <w:r>
        <w:rPr>
          <w:rFonts w:ascii="宋体" w:hAnsi="宋体"/>
          <w:sz w:val="24"/>
        </w:rPr>
        <w:t>38.4303万股调整为80.5303</w:t>
      </w:r>
      <w:r>
        <w:rPr>
          <w:rFonts w:hint="eastAsia" w:ascii="宋体" w:hAnsi="宋体"/>
          <w:sz w:val="24"/>
        </w:rPr>
        <w:t>万股，本激励计划拟授予的限制性股票总数不变。</w:t>
      </w:r>
    </w:p>
    <w:p>
      <w:pPr>
        <w:spacing w:line="360" w:lineRule="auto"/>
        <w:ind w:firstLine="480" w:firstLineChars="200"/>
        <w:rPr>
          <w:rFonts w:ascii="宋体" w:hAnsi="宋体"/>
          <w:sz w:val="24"/>
        </w:rPr>
      </w:pPr>
      <w:r>
        <w:rPr>
          <w:rFonts w:hint="eastAsia" w:ascii="宋体" w:hAnsi="宋体"/>
          <w:sz w:val="24"/>
        </w:rPr>
        <w:t>除上述调整内容外，本次实施的激励计划其他内容与公司2022年第一次临时股东大会审议通过的《激励计划》一致。</w:t>
      </w:r>
    </w:p>
    <w:p>
      <w:pPr>
        <w:spacing w:before="156" w:beforeLines="50" w:after="156" w:line="30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二、监事会对激励对象名单核实的情况</w:t>
      </w:r>
    </w:p>
    <w:p>
      <w:pPr>
        <w:spacing w:before="156" w:beforeLines="50"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公司监事会对公司2021年限制性股票激励计划确定的首次授予激励对象是否符合授予条件进行核实后，认为：</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1、本次激励计划的激励对象均不存在《管理办法》第八条规定的不得成为激励对象的情形。</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激励计划的激励对象为公司（含子公司）核心技术人员及核心业务人员，不包括公司独立董事、监事、单独或合计持有公司5%以上股份的股东或实际控制人及其配偶、父母、子女。首次授予的激励对象的基本情况属实，不存在虚假、故意隐瞒或致人重大误解之处。</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本次激励计划首次授予的激励对象符合《公司法》《中华人民共和国证券法》（以下简称“《证券法》”）等法律、法规和规范性文件以及《公司章程》规定的任职资格，符合《管理办法》《上海证券交易所股票上市规则》等法律、法规和规范性文件规定的激励对象条件，符合《激励计划》规定的激励对象范围，其作为公司本次激励计划首次授予的激励对象的主体资格合法、有效。</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综上，公司监事会认为公司2021年限制性股票激励计划的首次授予条件已经成就，同意确定以</w:t>
      </w:r>
      <w:r>
        <w:rPr>
          <w:rFonts w:asciiTheme="minorEastAsia" w:hAnsiTheme="minorEastAsia" w:eastAsiaTheme="minorEastAsia"/>
          <w:sz w:val="24"/>
        </w:rPr>
        <w:t>2022年2月16日为限制性股票首次授予日，向符合条件的110</w:t>
      </w:r>
      <w:r>
        <w:rPr>
          <w:rFonts w:hint="eastAsia" w:asciiTheme="minorEastAsia" w:hAnsiTheme="minorEastAsia" w:eastAsiaTheme="minorEastAsia"/>
          <w:sz w:val="24"/>
        </w:rPr>
        <w:t>名激励对象授予</w:t>
      </w:r>
      <w:r>
        <w:rPr>
          <w:rFonts w:asciiTheme="minorEastAsia" w:hAnsiTheme="minorEastAsia" w:eastAsiaTheme="minorEastAsia"/>
          <w:sz w:val="24"/>
        </w:rPr>
        <w:t>331.9000</w:t>
      </w:r>
      <w:r>
        <w:rPr>
          <w:rFonts w:hint="eastAsia" w:asciiTheme="minorEastAsia" w:hAnsiTheme="minorEastAsia" w:eastAsiaTheme="minorEastAsia"/>
          <w:sz w:val="24"/>
        </w:rPr>
        <w:t>万股限制性股票，授予价格为3.68元</w:t>
      </w:r>
      <w:r>
        <w:rPr>
          <w:rFonts w:asciiTheme="minorEastAsia" w:hAnsiTheme="minorEastAsia" w:eastAsiaTheme="minorEastAsia"/>
          <w:sz w:val="24"/>
        </w:rPr>
        <w:t>/股。</w:t>
      </w:r>
    </w:p>
    <w:p>
      <w:pPr>
        <w:spacing w:before="156"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三、激励对象为董事、高级管理人员的，在限制性股票授予日前6个月卖出公司股份情况的说明</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公司本次激励计划首次授予激励对象不包含董事、高级管理人员。</w:t>
      </w:r>
    </w:p>
    <w:p>
      <w:pPr>
        <w:spacing w:before="156"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四、授予限制性股票后对公司财务状况的影响</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根据财政部《企业会计准则第11号——股份支付》和《企业会计准则第 22号——金融工具确认和计量》的相关规定，公司将在限售期内的每个资产负债表日，根据最新取得的可解除限售人数变动、业绩指标完成情况等后续信息，修正预计可解除限售的限制性股票数量，并按照限制性股票授予日的公允价值，将当期取得的服务计入相关成本或费用和资本公积。</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经测算，公司于</w:t>
      </w:r>
      <w:r>
        <w:rPr>
          <w:rFonts w:asciiTheme="minorEastAsia" w:hAnsiTheme="minorEastAsia" w:eastAsiaTheme="minorEastAsia"/>
          <w:sz w:val="24"/>
        </w:rPr>
        <w:t>2022年2月16日首次授予331.9000</w:t>
      </w:r>
      <w:r>
        <w:rPr>
          <w:rFonts w:hint="eastAsia" w:asciiTheme="minorEastAsia" w:hAnsiTheme="minorEastAsia" w:eastAsiaTheme="minorEastAsia"/>
          <w:sz w:val="24"/>
        </w:rPr>
        <w:t>万股限制性股票合计需摊销的总费用为1</w:t>
      </w:r>
      <w:r>
        <w:rPr>
          <w:rFonts w:asciiTheme="minorEastAsia" w:hAnsiTheme="minorEastAsia" w:eastAsiaTheme="minorEastAsia"/>
          <w:sz w:val="24"/>
        </w:rPr>
        <w:t>,</w:t>
      </w:r>
      <w:r>
        <w:rPr>
          <w:rFonts w:hint="eastAsia" w:asciiTheme="minorEastAsia" w:hAnsiTheme="minorEastAsia" w:eastAsiaTheme="minorEastAsia"/>
          <w:sz w:val="24"/>
        </w:rPr>
        <w:t>081.99万元，具体摊销情况见下表：</w:t>
      </w:r>
    </w:p>
    <w:p>
      <w:pPr>
        <w:widowControl/>
        <w:spacing w:line="360" w:lineRule="auto"/>
        <w:ind w:firstLine="420" w:firstLineChars="200"/>
        <w:jc w:val="right"/>
        <w:rPr>
          <w:szCs w:val="21"/>
        </w:rPr>
      </w:pPr>
      <w:r>
        <w:rPr>
          <w:rFonts w:hint="eastAsia"/>
          <w:szCs w:val="21"/>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49"/>
        <w:gridCol w:w="1549"/>
        <w:gridCol w:w="1549"/>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136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rFonts w:hint="eastAsia"/>
                <w:b/>
                <w:szCs w:val="21"/>
              </w:rPr>
              <w:t>限制性股票摊销成本</w:t>
            </w:r>
          </w:p>
        </w:tc>
        <w:tc>
          <w:tcPr>
            <w:tcW w:w="90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b/>
                <w:szCs w:val="21"/>
              </w:rPr>
              <w:t>2022</w:t>
            </w:r>
            <w:r>
              <w:rPr>
                <w:rFonts w:hint="eastAsia"/>
                <w:b/>
                <w:szCs w:val="21"/>
              </w:rPr>
              <w:t>年</w:t>
            </w:r>
          </w:p>
        </w:tc>
        <w:tc>
          <w:tcPr>
            <w:tcW w:w="90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b/>
                <w:szCs w:val="21"/>
              </w:rPr>
              <w:t>2023</w:t>
            </w:r>
            <w:r>
              <w:rPr>
                <w:rFonts w:hint="eastAsia"/>
                <w:b/>
                <w:szCs w:val="21"/>
              </w:rPr>
              <w:t>年</w:t>
            </w:r>
          </w:p>
        </w:tc>
        <w:tc>
          <w:tcPr>
            <w:tcW w:w="90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b/>
                <w:szCs w:val="21"/>
              </w:rPr>
              <w:t>2024</w:t>
            </w:r>
            <w:r>
              <w:rPr>
                <w:rFonts w:hint="eastAsia"/>
                <w:b/>
                <w:szCs w:val="21"/>
              </w:rPr>
              <w:t>年</w:t>
            </w:r>
          </w:p>
        </w:tc>
        <w:tc>
          <w:tcPr>
            <w:tcW w:w="90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b/>
                <w:szCs w:val="21"/>
              </w:rPr>
              <w:t>2025</w:t>
            </w:r>
            <w:r>
              <w:rPr>
                <w:rFonts w:hint="eastAsia"/>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136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val="0"/>
                <w:szCs w:val="21"/>
              </w:rPr>
            </w:pPr>
            <w:r>
              <w:rPr>
                <w:b w:val="0"/>
                <w:szCs w:val="21"/>
              </w:rPr>
              <w:t>1,081.99</w:t>
            </w:r>
          </w:p>
        </w:tc>
        <w:tc>
          <w:tcPr>
            <w:tcW w:w="90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val="0"/>
                <w:bCs/>
                <w:szCs w:val="21"/>
              </w:rPr>
            </w:pPr>
            <w:r>
              <w:rPr>
                <w:b w:val="0"/>
                <w:bCs/>
                <w:szCs w:val="21"/>
              </w:rPr>
              <w:t>586.08</w:t>
            </w:r>
          </w:p>
        </w:tc>
        <w:tc>
          <w:tcPr>
            <w:tcW w:w="90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val="0"/>
                <w:bCs/>
                <w:szCs w:val="21"/>
              </w:rPr>
            </w:pPr>
            <w:r>
              <w:rPr>
                <w:b w:val="0"/>
                <w:bCs/>
                <w:szCs w:val="21"/>
              </w:rPr>
              <w:t>342.63</w:t>
            </w:r>
          </w:p>
        </w:tc>
        <w:tc>
          <w:tcPr>
            <w:tcW w:w="90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val="0"/>
                <w:bCs/>
                <w:szCs w:val="21"/>
              </w:rPr>
            </w:pPr>
            <w:r>
              <w:rPr>
                <w:b w:val="0"/>
                <w:bCs/>
                <w:szCs w:val="21"/>
              </w:rPr>
              <w:t>135.25</w:t>
            </w:r>
          </w:p>
        </w:tc>
        <w:tc>
          <w:tcPr>
            <w:tcW w:w="90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val="0"/>
                <w:bCs/>
                <w:szCs w:val="21"/>
              </w:rPr>
            </w:pPr>
            <w:r>
              <w:rPr>
                <w:b w:val="0"/>
                <w:bCs/>
                <w:szCs w:val="21"/>
              </w:rPr>
              <w:t>18.03</w:t>
            </w:r>
          </w:p>
        </w:tc>
      </w:tr>
    </w:tbl>
    <w:p>
      <w:pPr>
        <w:spacing w:before="156" w:beforeLines="50"/>
        <w:rPr>
          <w:rFonts w:asciiTheme="minorEastAsia" w:hAnsiTheme="minorEastAsia" w:eastAsiaTheme="minorEastAsia"/>
          <w:szCs w:val="21"/>
        </w:rPr>
      </w:pPr>
      <w:r>
        <w:rPr>
          <w:rFonts w:hint="eastAsia" w:asciiTheme="minorEastAsia" w:hAnsiTheme="minorEastAsia" w:eastAsiaTheme="minorEastAsia"/>
          <w:szCs w:val="21"/>
        </w:rPr>
        <w:t>注：1、上述结果不代表最终的会计成本，上述对公司财务状况和经营成果的影响仅为测算数据，最终结果应以会计师事务所出具的年度审计报告为准。</w:t>
      </w:r>
    </w:p>
    <w:p>
      <w:pPr>
        <w:spacing w:before="156" w:before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2、上表中合计数与各明细数相加之和在尾数上如有差异，系四舍五入所致。</w:t>
      </w:r>
    </w:p>
    <w:p>
      <w:pPr>
        <w:spacing w:before="240" w:line="360" w:lineRule="auto"/>
        <w:ind w:firstLine="480" w:firstLineChars="200"/>
        <w:rPr>
          <w:sz w:val="24"/>
        </w:rPr>
      </w:pPr>
      <w:r>
        <w:rPr>
          <w:sz w:val="24"/>
        </w:rPr>
        <w:t>本激励计划的成本将在成本费用中列支。公司以目前信息估计，在不考虑本激励计划对公司业绩的正向作用情况下，本激励计划成本费用的摊销对有效期内各年净利润有所影响。考虑到本激励计划对公司经营发展产生的正向作用，</w:t>
      </w:r>
      <w:r>
        <w:rPr>
          <w:rFonts w:hint="eastAsia"/>
          <w:sz w:val="24"/>
        </w:rPr>
        <w:t>由此激发核心员工的积极性，提高经营效率，降低经营成本，本激励计划带来的公司业绩提升将高于因其带来的费用增加。</w:t>
      </w:r>
    </w:p>
    <w:p>
      <w:pPr>
        <w:spacing w:before="156"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五、独立董事意见</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1、根据公司2022年第一次临时股东大会的授权，董事会确定本激励计划限制性股票的首次授予日为</w:t>
      </w:r>
      <w:r>
        <w:rPr>
          <w:rFonts w:asciiTheme="minorEastAsia" w:hAnsiTheme="minorEastAsia" w:eastAsiaTheme="minorEastAsia"/>
          <w:sz w:val="24"/>
        </w:rPr>
        <w:t>2022年2月16日</w:t>
      </w:r>
      <w:r>
        <w:rPr>
          <w:rFonts w:hint="eastAsia" w:asciiTheme="minorEastAsia" w:hAnsiTheme="minorEastAsia" w:eastAsiaTheme="minorEastAsia"/>
          <w:sz w:val="24"/>
        </w:rPr>
        <w:t>，该授予日的确定符合《管理办法》等法律、法规以及《激励计划》中关于授予日的相关规定。</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2、未发现公司存在《管理办法》等法律、法规和规范性文件规定的禁止实施股权激励计划的情形，公司具备实施股权激励计划的主体资格。</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3、公司和激励对象均未发生不得授予或获授限制性股票的规定情形，公司不存在为激励对象提供贷款、贷款担保或任何其他财务资助的计划或安排。</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公司确定首次授予限制性股票的激励对象，均符合相关法律、法规和《公司章程》中关于本次激励计划有关任职资格的规定，均符合《管理办法》规定的激励对象条件，符合《激励计划》规定的激励对象范围，其作为公司2021年限制性股票激励计划首次授予的激励对象的主体资格合法、有效。</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公司实施本激励计划有利于进一步完善公司治理结构，建立、健全公司激励约束机制，增强公司核心骨干对实现公司持续、健康发展的责任感、使命感，有利于公司的持续发展，不会损害公司及全体股东的利益。</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6、公司董事会在审议相关议案时，审议程序符合相关法律法规和规范性文件以及《公司章程》中的有关规定。</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综上，我们一致认为公司</w:t>
      </w:r>
      <w:r>
        <w:rPr>
          <w:rFonts w:asciiTheme="minorEastAsia" w:hAnsiTheme="minorEastAsia" w:eastAsiaTheme="minorEastAsia"/>
          <w:sz w:val="24"/>
        </w:rPr>
        <w:t>2021年限制性股票激励计划的首次授予条件已经成就，</w:t>
      </w:r>
      <w:r>
        <w:rPr>
          <w:rFonts w:hint="eastAsia" w:asciiTheme="minorEastAsia" w:hAnsiTheme="minorEastAsia" w:eastAsiaTheme="minorEastAsia"/>
          <w:sz w:val="24"/>
        </w:rPr>
        <w:t>同意确定以</w:t>
      </w:r>
      <w:r>
        <w:rPr>
          <w:rFonts w:asciiTheme="minorEastAsia" w:hAnsiTheme="minorEastAsia" w:eastAsiaTheme="minorEastAsia"/>
          <w:sz w:val="24"/>
        </w:rPr>
        <w:t>2022年2月16日为限制性股票首次授予日，向符合条件的110</w:t>
      </w:r>
      <w:r>
        <w:rPr>
          <w:rFonts w:hint="eastAsia" w:asciiTheme="minorEastAsia" w:hAnsiTheme="minorEastAsia" w:eastAsiaTheme="minorEastAsia"/>
          <w:sz w:val="24"/>
        </w:rPr>
        <w:t>名激励对象授予</w:t>
      </w:r>
      <w:r>
        <w:rPr>
          <w:rFonts w:asciiTheme="minorEastAsia" w:hAnsiTheme="minorEastAsia" w:eastAsiaTheme="minorEastAsia"/>
          <w:sz w:val="24"/>
        </w:rPr>
        <w:t>331.9000</w:t>
      </w:r>
      <w:r>
        <w:rPr>
          <w:rFonts w:hint="eastAsia" w:asciiTheme="minorEastAsia" w:hAnsiTheme="minorEastAsia" w:eastAsiaTheme="minorEastAsia"/>
          <w:sz w:val="24"/>
        </w:rPr>
        <w:t>万股限制性股票，授予价格为</w:t>
      </w:r>
      <w:r>
        <w:rPr>
          <w:rFonts w:asciiTheme="minorEastAsia" w:hAnsiTheme="minorEastAsia" w:eastAsiaTheme="minorEastAsia"/>
          <w:sz w:val="24"/>
        </w:rPr>
        <w:t>3.68元/</w:t>
      </w:r>
      <w:r>
        <w:rPr>
          <w:rFonts w:hint="eastAsia" w:asciiTheme="minorEastAsia" w:hAnsiTheme="minorEastAsia" w:eastAsiaTheme="minorEastAsia"/>
          <w:sz w:val="24"/>
        </w:rPr>
        <w:t>股。</w:t>
      </w:r>
    </w:p>
    <w:p>
      <w:pPr>
        <w:spacing w:before="156"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六、法律意见书的结论性意见</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浙江天册律师事务所认为：公司具备实施本次激励计划的主体资格和条件；公司本次激励计划所涉限制性股票调整和授予事宜已取得了现阶段必要的批准和授权；本次限制性股票调整和授予事宜及授予日及授予对象的确定符合《管理办法》等法律法规、规范性文件以及《激励计划（草案）》的相关规定，合法有效；公司本次限制性股票授予的前提条件均已成就，符合《激励计划（草案）》的相关规定。</w:t>
      </w:r>
    </w:p>
    <w:p>
      <w:pPr>
        <w:spacing w:before="156"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七、独立财务顾问意见</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上海信公轶禾企业管理咨询有限公司认为：公司首次授予相关事项已取得了必要的批准与授权，本次限制性股票授予日、授予价格、授予对象、授予数量等的确定以及本次限制性股票激励计划的调整及授予事项符合《公司法》《证券法》《管理办法》等法律、法规和规范性文件的规定，公司不存在不符合公司</w:t>
      </w:r>
      <w:r>
        <w:rPr>
          <w:rFonts w:asciiTheme="minorEastAsia" w:hAnsiTheme="minorEastAsia" w:eastAsiaTheme="minorEastAsia"/>
          <w:sz w:val="24"/>
        </w:rPr>
        <w:t>2021</w:t>
      </w:r>
      <w:r>
        <w:rPr>
          <w:rFonts w:hint="eastAsia" w:asciiTheme="minorEastAsia" w:hAnsiTheme="minorEastAsia" w:eastAsiaTheme="minorEastAsia"/>
          <w:sz w:val="24"/>
        </w:rPr>
        <w:t>年限制性股票激励计划规定的授予条件的情形。</w:t>
      </w:r>
    </w:p>
    <w:p>
      <w:pPr>
        <w:spacing w:before="156" w:beforeLines="50" w:line="360" w:lineRule="auto"/>
        <w:ind w:firstLine="480" w:firstLineChars="200"/>
        <w:rPr>
          <w:rFonts w:asciiTheme="minorEastAsia" w:hAnsiTheme="minorEastAsia" w:eastAsiaTheme="minorEastAsia"/>
          <w:sz w:val="24"/>
        </w:rPr>
      </w:pPr>
    </w:p>
    <w:p>
      <w:pPr>
        <w:spacing w:before="156"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八、上网公告附件</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1、江苏吴中医药发展股份有限公司第十届董事会2022年第二次临时会议（通讯表决）决议；</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2、江苏吴中医药发展股份有限公司第十届监事会2022年第一次临时会议（通讯表决）决议；</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3、江苏吴中医药发展股份有限公司独立董事关于第十届董事会2022年第二次临时会议（通讯表决）相关</w:t>
      </w:r>
      <w:r>
        <w:rPr>
          <w:rFonts w:asciiTheme="minorEastAsia" w:hAnsiTheme="minorEastAsia" w:eastAsiaTheme="minorEastAsia"/>
          <w:sz w:val="24"/>
        </w:rPr>
        <w:t>事项</w:t>
      </w:r>
      <w:r>
        <w:rPr>
          <w:rFonts w:hint="eastAsia" w:asciiTheme="minorEastAsia" w:hAnsiTheme="minorEastAsia" w:eastAsiaTheme="minorEastAsia"/>
          <w:sz w:val="24"/>
        </w:rPr>
        <w:t>的独立意见；</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4、浙江天册律师事务所关于江苏吴中医药发展股份有限公司调整2021年限制性股票激励计划激励对象名单、授予数量及首次授予事宜的法律意见书；</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5、上海信公轶禾企业管理咨询有限公司关于江苏吴中医药发展股份有限公司</w:t>
      </w:r>
      <w:r>
        <w:rPr>
          <w:rFonts w:asciiTheme="minorEastAsia" w:hAnsiTheme="minorEastAsia" w:eastAsiaTheme="minorEastAsia"/>
          <w:sz w:val="24"/>
        </w:rPr>
        <w:t>2021</w:t>
      </w:r>
      <w:r>
        <w:rPr>
          <w:rFonts w:hint="eastAsia" w:asciiTheme="minorEastAsia" w:hAnsiTheme="minorEastAsia" w:eastAsiaTheme="minorEastAsia"/>
          <w:sz w:val="24"/>
        </w:rPr>
        <w:t>年限制性股票激励计划首次授予相关事项之独立财务顾问报告；</w:t>
      </w:r>
    </w:p>
    <w:p>
      <w:pPr>
        <w:spacing w:before="156"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6、江苏吴中医药发展股份有限公司</w:t>
      </w:r>
      <w:r>
        <w:rPr>
          <w:rFonts w:asciiTheme="minorEastAsia" w:hAnsiTheme="minorEastAsia" w:eastAsiaTheme="minorEastAsia"/>
          <w:sz w:val="24"/>
        </w:rPr>
        <w:t>2021</w:t>
      </w:r>
      <w:r>
        <w:rPr>
          <w:rFonts w:hint="eastAsia" w:asciiTheme="minorEastAsia" w:hAnsiTheme="minorEastAsia" w:eastAsiaTheme="minorEastAsia"/>
          <w:sz w:val="24"/>
        </w:rPr>
        <w:t>年限制性股票激励计划首次授予激励对象名单（授予日）。</w:t>
      </w:r>
    </w:p>
    <w:p>
      <w:pPr>
        <w:spacing w:before="156" w:beforeLines="50" w:line="360" w:lineRule="auto"/>
        <w:ind w:firstLine="480" w:firstLineChars="200"/>
        <w:rPr>
          <w:rFonts w:asciiTheme="minorEastAsia" w:hAnsiTheme="minorEastAsia" w:eastAsiaTheme="minorEastAsia"/>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2022年2月17日</w:t>
      </w:r>
    </w:p>
    <w:p>
      <w:pPr>
        <w:spacing w:line="360" w:lineRule="auto"/>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CA3624"/>
    <w:multiLevelType w:val="multilevel"/>
    <w:tmpl w:val="74CA362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6B"/>
    <w:rsid w:val="00003634"/>
    <w:rsid w:val="000052DC"/>
    <w:rsid w:val="0001153F"/>
    <w:rsid w:val="00014AE5"/>
    <w:rsid w:val="00015559"/>
    <w:rsid w:val="0003171D"/>
    <w:rsid w:val="00034EAF"/>
    <w:rsid w:val="00036534"/>
    <w:rsid w:val="000377FA"/>
    <w:rsid w:val="00037B42"/>
    <w:rsid w:val="000514F9"/>
    <w:rsid w:val="00054AB4"/>
    <w:rsid w:val="00055DC4"/>
    <w:rsid w:val="000567D0"/>
    <w:rsid w:val="00060AD4"/>
    <w:rsid w:val="00062BBC"/>
    <w:rsid w:val="0007113B"/>
    <w:rsid w:val="00076231"/>
    <w:rsid w:val="00077985"/>
    <w:rsid w:val="00084BC3"/>
    <w:rsid w:val="000A0D49"/>
    <w:rsid w:val="000A1F83"/>
    <w:rsid w:val="000C1EBF"/>
    <w:rsid w:val="000D5160"/>
    <w:rsid w:val="000D59A8"/>
    <w:rsid w:val="000E2525"/>
    <w:rsid w:val="000E5928"/>
    <w:rsid w:val="000E6B18"/>
    <w:rsid w:val="000E7F53"/>
    <w:rsid w:val="000F4B47"/>
    <w:rsid w:val="00101299"/>
    <w:rsid w:val="001044FC"/>
    <w:rsid w:val="00113399"/>
    <w:rsid w:val="00115DE0"/>
    <w:rsid w:val="00125BE8"/>
    <w:rsid w:val="00125EB5"/>
    <w:rsid w:val="001302DF"/>
    <w:rsid w:val="0013094B"/>
    <w:rsid w:val="00134288"/>
    <w:rsid w:val="00141A30"/>
    <w:rsid w:val="0014235B"/>
    <w:rsid w:val="001449C0"/>
    <w:rsid w:val="00151157"/>
    <w:rsid w:val="00163205"/>
    <w:rsid w:val="00167B35"/>
    <w:rsid w:val="00173650"/>
    <w:rsid w:val="00173BB6"/>
    <w:rsid w:val="001741A0"/>
    <w:rsid w:val="00184711"/>
    <w:rsid w:val="00190F6C"/>
    <w:rsid w:val="00194544"/>
    <w:rsid w:val="0019599D"/>
    <w:rsid w:val="001A0D46"/>
    <w:rsid w:val="001A69DA"/>
    <w:rsid w:val="001A6F91"/>
    <w:rsid w:val="001B7C60"/>
    <w:rsid w:val="001C16DA"/>
    <w:rsid w:val="001C41F0"/>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0190"/>
    <w:rsid w:val="002C43B8"/>
    <w:rsid w:val="002C45E5"/>
    <w:rsid w:val="002C71E7"/>
    <w:rsid w:val="002D2369"/>
    <w:rsid w:val="002D4C8C"/>
    <w:rsid w:val="002D65CF"/>
    <w:rsid w:val="002F64AF"/>
    <w:rsid w:val="002F74DC"/>
    <w:rsid w:val="0030503B"/>
    <w:rsid w:val="00324EB8"/>
    <w:rsid w:val="003307ED"/>
    <w:rsid w:val="003334F6"/>
    <w:rsid w:val="003402E8"/>
    <w:rsid w:val="00342CB6"/>
    <w:rsid w:val="003445AA"/>
    <w:rsid w:val="00353BA1"/>
    <w:rsid w:val="003559CC"/>
    <w:rsid w:val="00360937"/>
    <w:rsid w:val="00363847"/>
    <w:rsid w:val="0036422B"/>
    <w:rsid w:val="003657D5"/>
    <w:rsid w:val="00367CCA"/>
    <w:rsid w:val="003726BC"/>
    <w:rsid w:val="0037324C"/>
    <w:rsid w:val="00373349"/>
    <w:rsid w:val="0038210C"/>
    <w:rsid w:val="003846DD"/>
    <w:rsid w:val="003870CC"/>
    <w:rsid w:val="0039274C"/>
    <w:rsid w:val="003A1590"/>
    <w:rsid w:val="003B1D84"/>
    <w:rsid w:val="003B5345"/>
    <w:rsid w:val="003C607D"/>
    <w:rsid w:val="003D0C3B"/>
    <w:rsid w:val="003D3FFF"/>
    <w:rsid w:val="003D798A"/>
    <w:rsid w:val="003E1D67"/>
    <w:rsid w:val="003E2FD2"/>
    <w:rsid w:val="003E355B"/>
    <w:rsid w:val="003F5DA1"/>
    <w:rsid w:val="00410015"/>
    <w:rsid w:val="00417107"/>
    <w:rsid w:val="0041720E"/>
    <w:rsid w:val="0042410C"/>
    <w:rsid w:val="00434F0B"/>
    <w:rsid w:val="004374BE"/>
    <w:rsid w:val="00437E6F"/>
    <w:rsid w:val="0044127B"/>
    <w:rsid w:val="00444265"/>
    <w:rsid w:val="004502F4"/>
    <w:rsid w:val="004667F2"/>
    <w:rsid w:val="00475AC0"/>
    <w:rsid w:val="0048128E"/>
    <w:rsid w:val="004958E0"/>
    <w:rsid w:val="00496E8A"/>
    <w:rsid w:val="004A41EF"/>
    <w:rsid w:val="004A44DF"/>
    <w:rsid w:val="004B2EFC"/>
    <w:rsid w:val="004B70B1"/>
    <w:rsid w:val="004B7E3E"/>
    <w:rsid w:val="004C0C76"/>
    <w:rsid w:val="004C15AF"/>
    <w:rsid w:val="004C27B9"/>
    <w:rsid w:val="004C3A3E"/>
    <w:rsid w:val="004C3DB4"/>
    <w:rsid w:val="004D2BA0"/>
    <w:rsid w:val="004E1768"/>
    <w:rsid w:val="004E363D"/>
    <w:rsid w:val="004E61A3"/>
    <w:rsid w:val="004F0123"/>
    <w:rsid w:val="004F1ED6"/>
    <w:rsid w:val="004F1F15"/>
    <w:rsid w:val="004F65E5"/>
    <w:rsid w:val="005014D1"/>
    <w:rsid w:val="00507FDE"/>
    <w:rsid w:val="00517BE0"/>
    <w:rsid w:val="00517C61"/>
    <w:rsid w:val="005216F4"/>
    <w:rsid w:val="00536C6C"/>
    <w:rsid w:val="0054211F"/>
    <w:rsid w:val="00542DA0"/>
    <w:rsid w:val="0054311D"/>
    <w:rsid w:val="005477DA"/>
    <w:rsid w:val="005542A7"/>
    <w:rsid w:val="00555131"/>
    <w:rsid w:val="00557690"/>
    <w:rsid w:val="0056173B"/>
    <w:rsid w:val="005712CB"/>
    <w:rsid w:val="00572AC7"/>
    <w:rsid w:val="00572D96"/>
    <w:rsid w:val="005737FA"/>
    <w:rsid w:val="00577CBB"/>
    <w:rsid w:val="00580E39"/>
    <w:rsid w:val="00591636"/>
    <w:rsid w:val="00597CEB"/>
    <w:rsid w:val="005A329B"/>
    <w:rsid w:val="005A68C2"/>
    <w:rsid w:val="005B4F18"/>
    <w:rsid w:val="005C3668"/>
    <w:rsid w:val="005D417A"/>
    <w:rsid w:val="005D4ACB"/>
    <w:rsid w:val="005D5BB7"/>
    <w:rsid w:val="005D5EDA"/>
    <w:rsid w:val="005E4AFF"/>
    <w:rsid w:val="005F06AA"/>
    <w:rsid w:val="005F0AEF"/>
    <w:rsid w:val="005F754C"/>
    <w:rsid w:val="00606509"/>
    <w:rsid w:val="006132D5"/>
    <w:rsid w:val="00615D49"/>
    <w:rsid w:val="0062719F"/>
    <w:rsid w:val="00632601"/>
    <w:rsid w:val="006412D7"/>
    <w:rsid w:val="006446F0"/>
    <w:rsid w:val="00645C77"/>
    <w:rsid w:val="00646FC8"/>
    <w:rsid w:val="00647683"/>
    <w:rsid w:val="006567A1"/>
    <w:rsid w:val="00662769"/>
    <w:rsid w:val="00663516"/>
    <w:rsid w:val="0067327D"/>
    <w:rsid w:val="0067661A"/>
    <w:rsid w:val="00682D83"/>
    <w:rsid w:val="00683AED"/>
    <w:rsid w:val="00691DF1"/>
    <w:rsid w:val="0069424B"/>
    <w:rsid w:val="00695D72"/>
    <w:rsid w:val="006A1A8F"/>
    <w:rsid w:val="006A4EA1"/>
    <w:rsid w:val="006B29CA"/>
    <w:rsid w:val="006B2B65"/>
    <w:rsid w:val="006B7491"/>
    <w:rsid w:val="006C1D25"/>
    <w:rsid w:val="006C6E5D"/>
    <w:rsid w:val="006E099F"/>
    <w:rsid w:val="006E12CC"/>
    <w:rsid w:val="007001F0"/>
    <w:rsid w:val="007014FC"/>
    <w:rsid w:val="007032A8"/>
    <w:rsid w:val="0070427E"/>
    <w:rsid w:val="00712B2A"/>
    <w:rsid w:val="007230C3"/>
    <w:rsid w:val="007264D8"/>
    <w:rsid w:val="00727A34"/>
    <w:rsid w:val="0073085C"/>
    <w:rsid w:val="0075060C"/>
    <w:rsid w:val="00750755"/>
    <w:rsid w:val="00750BDA"/>
    <w:rsid w:val="007564B5"/>
    <w:rsid w:val="0076676A"/>
    <w:rsid w:val="00766EEB"/>
    <w:rsid w:val="00772A33"/>
    <w:rsid w:val="007826E8"/>
    <w:rsid w:val="0078609E"/>
    <w:rsid w:val="007918EE"/>
    <w:rsid w:val="00794576"/>
    <w:rsid w:val="007A1575"/>
    <w:rsid w:val="007A4A68"/>
    <w:rsid w:val="007C0761"/>
    <w:rsid w:val="007C79A9"/>
    <w:rsid w:val="007C7BAF"/>
    <w:rsid w:val="007E3476"/>
    <w:rsid w:val="00802A0A"/>
    <w:rsid w:val="008051A9"/>
    <w:rsid w:val="008051F9"/>
    <w:rsid w:val="00810B15"/>
    <w:rsid w:val="00816299"/>
    <w:rsid w:val="00824AB0"/>
    <w:rsid w:val="00832660"/>
    <w:rsid w:val="008378DC"/>
    <w:rsid w:val="00837AFB"/>
    <w:rsid w:val="008412C9"/>
    <w:rsid w:val="00860AB7"/>
    <w:rsid w:val="00887DA0"/>
    <w:rsid w:val="00893296"/>
    <w:rsid w:val="008935D4"/>
    <w:rsid w:val="008A72B1"/>
    <w:rsid w:val="008B3703"/>
    <w:rsid w:val="008B3DD4"/>
    <w:rsid w:val="008B43ED"/>
    <w:rsid w:val="008B4735"/>
    <w:rsid w:val="008B5B30"/>
    <w:rsid w:val="008B6235"/>
    <w:rsid w:val="008B6EA8"/>
    <w:rsid w:val="008C0E07"/>
    <w:rsid w:val="008C627B"/>
    <w:rsid w:val="008E57CC"/>
    <w:rsid w:val="008F5155"/>
    <w:rsid w:val="008F6AB5"/>
    <w:rsid w:val="00933FA5"/>
    <w:rsid w:val="00934104"/>
    <w:rsid w:val="009346F6"/>
    <w:rsid w:val="009405FF"/>
    <w:rsid w:val="009440E4"/>
    <w:rsid w:val="00946054"/>
    <w:rsid w:val="0094672C"/>
    <w:rsid w:val="009543CD"/>
    <w:rsid w:val="00955A3F"/>
    <w:rsid w:val="00960430"/>
    <w:rsid w:val="00967AA4"/>
    <w:rsid w:val="00972218"/>
    <w:rsid w:val="009759F0"/>
    <w:rsid w:val="009841CB"/>
    <w:rsid w:val="00986785"/>
    <w:rsid w:val="00995DC5"/>
    <w:rsid w:val="009E1FA0"/>
    <w:rsid w:val="009E3014"/>
    <w:rsid w:val="009E66F9"/>
    <w:rsid w:val="009F0BB3"/>
    <w:rsid w:val="00A05A16"/>
    <w:rsid w:val="00A06832"/>
    <w:rsid w:val="00A1341B"/>
    <w:rsid w:val="00A13AC5"/>
    <w:rsid w:val="00A1423D"/>
    <w:rsid w:val="00A204FB"/>
    <w:rsid w:val="00A205C1"/>
    <w:rsid w:val="00A206E4"/>
    <w:rsid w:val="00A26702"/>
    <w:rsid w:val="00A267F9"/>
    <w:rsid w:val="00A31603"/>
    <w:rsid w:val="00A34683"/>
    <w:rsid w:val="00A36051"/>
    <w:rsid w:val="00A37C3C"/>
    <w:rsid w:val="00A42891"/>
    <w:rsid w:val="00A51FF0"/>
    <w:rsid w:val="00A647B0"/>
    <w:rsid w:val="00A72475"/>
    <w:rsid w:val="00A842DF"/>
    <w:rsid w:val="00A9296B"/>
    <w:rsid w:val="00A950B9"/>
    <w:rsid w:val="00A973BC"/>
    <w:rsid w:val="00AA10D4"/>
    <w:rsid w:val="00AA363D"/>
    <w:rsid w:val="00AA4D1D"/>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303F"/>
    <w:rsid w:val="00B36741"/>
    <w:rsid w:val="00B369BE"/>
    <w:rsid w:val="00B40795"/>
    <w:rsid w:val="00B40E4D"/>
    <w:rsid w:val="00B52013"/>
    <w:rsid w:val="00B57C2F"/>
    <w:rsid w:val="00B730B4"/>
    <w:rsid w:val="00B83882"/>
    <w:rsid w:val="00B83EF8"/>
    <w:rsid w:val="00B87AB6"/>
    <w:rsid w:val="00B929E0"/>
    <w:rsid w:val="00B93BC2"/>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3274"/>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948A4"/>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192E"/>
    <w:rsid w:val="00D141A5"/>
    <w:rsid w:val="00D21B8D"/>
    <w:rsid w:val="00D24824"/>
    <w:rsid w:val="00D26D15"/>
    <w:rsid w:val="00D3212E"/>
    <w:rsid w:val="00D40F66"/>
    <w:rsid w:val="00D431AD"/>
    <w:rsid w:val="00D45281"/>
    <w:rsid w:val="00D53DC4"/>
    <w:rsid w:val="00D601FE"/>
    <w:rsid w:val="00D60BB2"/>
    <w:rsid w:val="00D6753A"/>
    <w:rsid w:val="00D7040A"/>
    <w:rsid w:val="00D71559"/>
    <w:rsid w:val="00D73864"/>
    <w:rsid w:val="00D77523"/>
    <w:rsid w:val="00D819D3"/>
    <w:rsid w:val="00D8622A"/>
    <w:rsid w:val="00D86A2F"/>
    <w:rsid w:val="00D909E7"/>
    <w:rsid w:val="00D90BC6"/>
    <w:rsid w:val="00D92B06"/>
    <w:rsid w:val="00D9452A"/>
    <w:rsid w:val="00DA1824"/>
    <w:rsid w:val="00DC0757"/>
    <w:rsid w:val="00DC1510"/>
    <w:rsid w:val="00DD409A"/>
    <w:rsid w:val="00DE24B3"/>
    <w:rsid w:val="00DE3893"/>
    <w:rsid w:val="00DE4805"/>
    <w:rsid w:val="00DE505D"/>
    <w:rsid w:val="00DF08C9"/>
    <w:rsid w:val="00E003D0"/>
    <w:rsid w:val="00E025CD"/>
    <w:rsid w:val="00E05034"/>
    <w:rsid w:val="00E14AD6"/>
    <w:rsid w:val="00E220DE"/>
    <w:rsid w:val="00E26F68"/>
    <w:rsid w:val="00E30EA1"/>
    <w:rsid w:val="00E31233"/>
    <w:rsid w:val="00E373CB"/>
    <w:rsid w:val="00E44BFC"/>
    <w:rsid w:val="00E4508D"/>
    <w:rsid w:val="00E56CC7"/>
    <w:rsid w:val="00E62058"/>
    <w:rsid w:val="00E74755"/>
    <w:rsid w:val="00E74E4D"/>
    <w:rsid w:val="00E77D37"/>
    <w:rsid w:val="00E81D6C"/>
    <w:rsid w:val="00E90C0B"/>
    <w:rsid w:val="00E915EA"/>
    <w:rsid w:val="00E9529E"/>
    <w:rsid w:val="00E96761"/>
    <w:rsid w:val="00E97E93"/>
    <w:rsid w:val="00EA5DE8"/>
    <w:rsid w:val="00EA6444"/>
    <w:rsid w:val="00EB0FB2"/>
    <w:rsid w:val="00EB5658"/>
    <w:rsid w:val="00EB7FBA"/>
    <w:rsid w:val="00EC7CB2"/>
    <w:rsid w:val="00ED4428"/>
    <w:rsid w:val="00ED6800"/>
    <w:rsid w:val="00EE1637"/>
    <w:rsid w:val="00EF67AA"/>
    <w:rsid w:val="00F03114"/>
    <w:rsid w:val="00F03FA2"/>
    <w:rsid w:val="00F07A0E"/>
    <w:rsid w:val="00F11687"/>
    <w:rsid w:val="00F12677"/>
    <w:rsid w:val="00F13C59"/>
    <w:rsid w:val="00F161EE"/>
    <w:rsid w:val="00F168FB"/>
    <w:rsid w:val="00F21312"/>
    <w:rsid w:val="00F23D77"/>
    <w:rsid w:val="00F24E3A"/>
    <w:rsid w:val="00F25681"/>
    <w:rsid w:val="00F3504C"/>
    <w:rsid w:val="00F41B3B"/>
    <w:rsid w:val="00F43502"/>
    <w:rsid w:val="00F632D3"/>
    <w:rsid w:val="00F642E6"/>
    <w:rsid w:val="00F75621"/>
    <w:rsid w:val="00F75B8D"/>
    <w:rsid w:val="00F7601B"/>
    <w:rsid w:val="00F767F2"/>
    <w:rsid w:val="00F84401"/>
    <w:rsid w:val="00F92A30"/>
    <w:rsid w:val="00FA5496"/>
    <w:rsid w:val="00FB3375"/>
    <w:rsid w:val="00FB56C5"/>
    <w:rsid w:val="00FB79DD"/>
    <w:rsid w:val="00FC49C6"/>
    <w:rsid w:val="00FD17D4"/>
    <w:rsid w:val="00FD212D"/>
    <w:rsid w:val="00FD2E08"/>
    <w:rsid w:val="00FD484F"/>
    <w:rsid w:val="00FE4FBE"/>
    <w:rsid w:val="00FE57F0"/>
    <w:rsid w:val="00FE5ACA"/>
    <w:rsid w:val="00FF4417"/>
    <w:rsid w:val="03457CFC"/>
    <w:rsid w:val="0648666E"/>
    <w:rsid w:val="14B00D4D"/>
    <w:rsid w:val="177D585E"/>
    <w:rsid w:val="1AF51BB0"/>
    <w:rsid w:val="1C2F4C4D"/>
    <w:rsid w:val="1F9951FF"/>
    <w:rsid w:val="2232796E"/>
    <w:rsid w:val="28E03EC8"/>
    <w:rsid w:val="399802BF"/>
    <w:rsid w:val="3E120657"/>
    <w:rsid w:val="417F1D76"/>
    <w:rsid w:val="47873E4F"/>
    <w:rsid w:val="49F16F3E"/>
    <w:rsid w:val="53717738"/>
    <w:rsid w:val="6197067F"/>
    <w:rsid w:val="7173477F"/>
    <w:rsid w:val="7F527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3"/>
    <w:qFormat/>
    <w:uiPriority w:val="1"/>
    <w:pPr>
      <w:autoSpaceDE w:val="0"/>
      <w:autoSpaceDN w:val="0"/>
      <w:jc w:val="left"/>
    </w:pPr>
    <w:rPr>
      <w:rFonts w:ascii="宋体" w:hAnsi="宋体" w:cs="宋体"/>
      <w:kern w:val="0"/>
      <w:sz w:val="24"/>
      <w:lang w:eastAsia="en-US"/>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 Char"/>
    <w:basedOn w:val="9"/>
    <w:link w:val="3"/>
    <w:qFormat/>
    <w:uiPriority w:val="1"/>
    <w:rPr>
      <w:rFonts w:ascii="宋体" w:hAnsi="宋体" w:eastAsia="宋体" w:cs="宋体"/>
      <w:kern w:val="0"/>
      <w:sz w:val="24"/>
      <w:szCs w:val="24"/>
      <w:lang w:eastAsia="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批注框文本 Char"/>
    <w:basedOn w:val="9"/>
    <w:link w:val="4"/>
    <w:semiHidden/>
    <w:qFormat/>
    <w:uiPriority w:val="99"/>
    <w:rPr>
      <w:rFonts w:ascii="Times New Roman" w:hAnsi="Times New Roman" w:eastAsia="宋体" w:cs="Times New Roman"/>
      <w:sz w:val="18"/>
      <w:szCs w:val="18"/>
    </w:rPr>
  </w:style>
  <w:style w:type="character" w:customStyle="1" w:styleId="16">
    <w:name w:val="批注文字 Char"/>
    <w:basedOn w:val="9"/>
    <w:link w:val="2"/>
    <w:semiHidden/>
    <w:qFormat/>
    <w:uiPriority w:val="99"/>
    <w:rPr>
      <w:rFonts w:ascii="Times New Roman" w:hAnsi="Times New Roman" w:eastAsia="宋体" w:cs="Times New Roman"/>
      <w:szCs w:val="24"/>
    </w:rPr>
  </w:style>
  <w:style w:type="character" w:customStyle="1" w:styleId="17">
    <w:name w:val="批注主题 Char"/>
    <w:basedOn w:val="16"/>
    <w:link w:val="7"/>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948</Words>
  <Characters>5408</Characters>
  <Lines>45</Lines>
  <Paragraphs>12</Paragraphs>
  <TotalTime>2</TotalTime>
  <ScaleCrop>false</ScaleCrop>
  <LinksUpToDate>false</LinksUpToDate>
  <CharactersWithSpaces>6344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2022-02-16T07:25:00Z</dcterms:created>
  <dc:creator>李锐</dc:creator>
  <cp:lastModifiedBy>王雅杰</cp:lastModifiedBy>
  <dcterms:modified xsi:type="dcterms:W3CDTF">2022-02-16T07:33:22Z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79112440CD314CCFBF8A27C82BEEE17F</vt:lpwstr>
  </property>
</Properties>
</file>