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auto"/>
          <w:sz w:val="32"/>
          <w:highlight w:val="none"/>
          <w:lang w:val="en-US" w:eastAsia="zh-CN"/>
        </w:rPr>
      </w:pPr>
      <w:r>
        <w:rPr>
          <w:rFonts w:hint="eastAsia" w:ascii="宋体" w:hAnsi="宋体" w:cs="宋体"/>
          <w:color w:val="auto"/>
          <w:kern w:val="0"/>
          <w:sz w:val="24"/>
          <w:highlight w:val="none"/>
        </w:rPr>
        <w:t>证券代码：600200         证券简称：江苏吴中      公告编号：临2022-</w:t>
      </w:r>
      <w:r>
        <w:rPr>
          <w:rFonts w:hint="eastAsia" w:ascii="宋体" w:hAnsi="宋体" w:cs="宋体"/>
          <w:color w:val="auto"/>
          <w:kern w:val="0"/>
          <w:sz w:val="24"/>
          <w:highlight w:val="none"/>
          <w:lang w:val="en-US" w:eastAsia="zh-CN"/>
        </w:rPr>
        <w:t>055</w:t>
      </w:r>
    </w:p>
    <w:p>
      <w:pPr>
        <w:spacing w:line="360" w:lineRule="auto"/>
        <w:ind w:right="-153" w:rightChars="-73"/>
        <w:jc w:val="center"/>
        <w:rPr>
          <w:rFonts w:ascii="黑体" w:hAnsi="宋体" w:eastAsia="黑体"/>
          <w:b/>
          <w:bCs/>
          <w:color w:val="auto"/>
          <w:sz w:val="32"/>
          <w:highlight w:val="none"/>
        </w:rPr>
      </w:pPr>
    </w:p>
    <w:p>
      <w:pPr>
        <w:ind w:right="-153" w:rightChars="-73"/>
        <w:jc w:val="center"/>
        <w:rPr>
          <w:rFonts w:hint="eastAsia" w:ascii="黑体" w:hAnsi="宋体" w:eastAsia="黑体"/>
          <w:b/>
          <w:bCs/>
          <w:color w:val="FF0000"/>
          <w:sz w:val="32"/>
        </w:rPr>
      </w:pPr>
      <w:r>
        <w:rPr>
          <w:rFonts w:hint="eastAsia" w:ascii="黑体" w:hAnsi="宋体" w:eastAsia="黑体"/>
          <w:b/>
          <w:bCs/>
          <w:color w:val="FF0000"/>
          <w:sz w:val="32"/>
        </w:rPr>
        <w:t>江苏吴中医药发展股份有限公司</w:t>
      </w:r>
    </w:p>
    <w:p>
      <w:pPr>
        <w:ind w:right="-153" w:rightChars="-73"/>
        <w:jc w:val="center"/>
        <w:rPr>
          <w:rFonts w:hint="eastAsia" w:ascii="黑体" w:hAnsi="宋体" w:eastAsia="黑体"/>
          <w:b/>
          <w:bCs/>
          <w:color w:val="FF0000"/>
          <w:sz w:val="32"/>
        </w:rPr>
      </w:pPr>
      <w:r>
        <w:rPr>
          <w:rFonts w:hint="eastAsia" w:ascii="黑体" w:hAnsi="宋体" w:eastAsia="黑体"/>
          <w:b/>
          <w:bCs/>
          <w:color w:val="FF0000"/>
          <w:sz w:val="32"/>
        </w:rPr>
        <w:t>关于使用闲置自有资金进行现金管理的公告</w:t>
      </w:r>
    </w:p>
    <w:p>
      <w:pPr>
        <w:autoSpaceDE w:val="0"/>
        <w:autoSpaceDN w:val="0"/>
        <w:adjustRightInd w:val="0"/>
        <w:spacing w:line="360" w:lineRule="auto"/>
        <w:ind w:firstLine="482" w:firstLineChars="200"/>
        <w:rPr>
          <w:rFonts w:hint="eastAsia" w:ascii="ˎ̥" w:hAnsi="ˎ̥"/>
          <w:b/>
          <w:color w:val="auto"/>
          <w:sz w:val="24"/>
          <w:highlight w:val="none"/>
        </w:rPr>
      </w:pPr>
    </w:p>
    <w:p>
      <w:pPr>
        <w:autoSpaceDE w:val="0"/>
        <w:autoSpaceDN w:val="0"/>
        <w:adjustRightInd w:val="0"/>
        <w:spacing w:line="360" w:lineRule="auto"/>
        <w:ind w:firstLine="482" w:firstLineChars="200"/>
        <w:rPr>
          <w:rFonts w:hint="eastAsia" w:ascii="ˎ̥" w:hAnsi="ˎ̥"/>
          <w:b/>
          <w:color w:val="auto"/>
          <w:sz w:val="24"/>
          <w:highlight w:val="none"/>
        </w:rPr>
      </w:pPr>
      <w:r>
        <w:rPr>
          <w:rFonts w:hint="eastAsia" w:ascii="ˎ̥" w:hAnsi="ˎ̥"/>
          <w:b/>
          <w:color w:val="auto"/>
          <w:sz w:val="24"/>
          <w:highlight w:val="none"/>
        </w:rPr>
        <w:t>本公司董事会及董事会全体成员保证公告内容不存在虚假记载、误导性陈述或者重大遗漏，</w:t>
      </w:r>
      <w:r>
        <w:rPr>
          <w:rFonts w:hint="eastAsia" w:asciiTheme="minorEastAsia" w:hAnsiTheme="minorEastAsia" w:eastAsiaTheme="minorEastAsia" w:cstheme="minorEastAsia"/>
          <w:b/>
          <w:sz w:val="24"/>
        </w:rPr>
        <w:t>并对其内容的真实、准确和完整承担法律责任</w:t>
      </w:r>
      <w:r>
        <w:rPr>
          <w:rFonts w:hint="eastAsia" w:asciiTheme="minorEastAsia" w:hAnsiTheme="minorEastAsia" w:eastAsiaTheme="minorEastAsia" w:cstheme="minorEastAsia"/>
          <w:b/>
          <w:sz w:val="24"/>
          <w:szCs w:val="24"/>
        </w:rPr>
        <w:t>。</w:t>
      </w:r>
    </w:p>
    <w:p>
      <w:pPr>
        <w:pStyle w:val="9"/>
        <w:spacing w:line="360" w:lineRule="auto"/>
        <w:rPr>
          <w:color w:val="auto"/>
          <w:highlight w:val="none"/>
        </w:rPr>
      </w:pPr>
    </w:p>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重要内容提示：</w:t>
      </w:r>
    </w:p>
    <w:p>
      <w:pPr>
        <w:numPr>
          <w:ilvl w:val="0"/>
          <w:numId w:val="1"/>
        </w:num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现金管理金额：江苏吴中医药发展股份有限公司（以下简称“公司”）及其全资子（孙）公司、控股子（孙）公司拟使用不超过人民币3.2亿元的暂时闲置自有资金进行现金管理，在上述额度及决议有效期内，资金可以循环滚动使用。</w:t>
      </w:r>
    </w:p>
    <w:p>
      <w:pPr>
        <w:numPr>
          <w:ilvl w:val="0"/>
          <w:numId w:val="1"/>
        </w:num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现金管理投资类型：仅限于安全性高、低风险、流动性好、稳健型理财产品以及结构性存款。</w:t>
      </w:r>
    </w:p>
    <w:p>
      <w:pPr>
        <w:numPr>
          <w:ilvl w:val="0"/>
          <w:numId w:val="1"/>
        </w:num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现金管理期限：自公司第十届董事会第六次会议（通讯表决）审议通过之日起一年之内有效。</w:t>
      </w:r>
    </w:p>
    <w:p>
      <w:pPr>
        <w:numPr>
          <w:ilvl w:val="0"/>
          <w:numId w:val="1"/>
        </w:num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履行的审议程序：2022年10月28日，公司召开第十届董事会第六次会议（通讯表决）和第十届监事会第六次会议（通讯表决），审议通过了该事项。该事项无需提交公司股东大会审议。</w:t>
      </w:r>
    </w:p>
    <w:p>
      <w:pPr>
        <w:pStyle w:val="9"/>
        <w:spacing w:line="360" w:lineRule="auto"/>
        <w:rPr>
          <w:color w:val="auto"/>
          <w:highlight w:val="none"/>
        </w:rPr>
      </w:pPr>
    </w:p>
    <w:p>
      <w:pPr>
        <w:pStyle w:val="2"/>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一、现金管理概况</w:t>
      </w:r>
    </w:p>
    <w:p>
      <w:pPr>
        <w:pStyle w:val="2"/>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（一）现金管理目的</w:t>
      </w:r>
    </w:p>
    <w:p>
      <w:pPr>
        <w:pStyle w:val="2"/>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为提高资金使用效率，合理利用闲置自有资金，本着股东利益最大化的原则，根据公司自有资金情况，在不影响公司正常经营及风险可控的前提下，公司及其全资子（孙）公司、控股子（孙）公司拟使用不超过人民币3</w:t>
      </w:r>
      <w:r>
        <w:rPr>
          <w:rFonts w:ascii="宋体" w:hAnsi="宋体"/>
          <w:color w:val="auto"/>
          <w:sz w:val="24"/>
          <w:szCs w:val="24"/>
          <w:highlight w:val="none"/>
        </w:rPr>
        <w:t>.2</w:t>
      </w:r>
      <w:r>
        <w:rPr>
          <w:rFonts w:hint="eastAsia" w:ascii="宋体" w:hAnsi="宋体"/>
          <w:color w:val="auto"/>
          <w:sz w:val="24"/>
          <w:highlight w:val="none"/>
        </w:rPr>
        <w:t>亿元</w:t>
      </w:r>
      <w:r>
        <w:rPr>
          <w:rFonts w:hint="eastAsia" w:ascii="宋体" w:hAnsi="宋体"/>
          <w:color w:val="auto"/>
          <w:sz w:val="24"/>
          <w:szCs w:val="24"/>
          <w:highlight w:val="none"/>
        </w:rPr>
        <w:t>的闲置自有资金进行现金管理。</w:t>
      </w:r>
    </w:p>
    <w:p>
      <w:pPr>
        <w:pStyle w:val="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（二）资金来源</w:t>
      </w:r>
    </w:p>
    <w:p>
      <w:pPr>
        <w:pStyle w:val="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资金来源为公司闲置自有资金。</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（三）现金管理品种</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为控制风险，现金管理产品仅限于安全性高、低风险、流动性好、稳健型理财产品以及结构性存款。公司进行结构性存款或购买理财产品不得与发行主体存在关联关系。</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（四）现金管理额度及有效期</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公司拟使用不超过人民币3</w:t>
      </w:r>
      <w:r>
        <w:rPr>
          <w:rFonts w:ascii="宋体" w:hAnsi="宋体"/>
          <w:color w:val="auto"/>
          <w:sz w:val="24"/>
          <w:highlight w:val="none"/>
        </w:rPr>
        <w:t>.2</w:t>
      </w:r>
      <w:r>
        <w:rPr>
          <w:rFonts w:hint="eastAsia" w:ascii="宋体" w:hAnsi="宋体"/>
          <w:color w:val="auto"/>
          <w:sz w:val="24"/>
          <w:highlight w:val="none"/>
        </w:rPr>
        <w:t>亿元的闲置自有资金进行现金管理，在上述额度及决议有效期内，资金可以循环滚动使用。有效期自公司第十届董事会第六次会议（通讯表决）审议通过之日起一年之内有效。</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（五）实施方式</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额度范围内公司董事会授权公司管理层行使该项投资决策权并签署相关合同文件，具体事项由公司资金管理中心负责组织实施。公司将按照《上海证券交易所股票上市规则》等相关法律法规要求及时披露公司现金管理的具体情况。</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（六）公司对现金管理相关风险的内部控制</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公司进行结构性存款</w:t>
      </w:r>
      <w:r>
        <w:rPr>
          <w:rFonts w:hint="eastAsia"/>
          <w:color w:val="auto"/>
          <w:sz w:val="24"/>
          <w:highlight w:val="none"/>
        </w:rPr>
        <w:t>及购买低风险理财产品，风险可控，符合公司内部资金管理的要求。公司按照决策、执行、监督职</w:t>
      </w:r>
      <w:r>
        <w:rPr>
          <w:rFonts w:hint="eastAsia" w:cs="宋体" w:asciiTheme="minorEastAsia" w:hAnsiTheme="minorEastAsia"/>
          <w:color w:val="auto"/>
          <w:sz w:val="24"/>
          <w:highlight w:val="none"/>
        </w:rPr>
        <w:t xml:space="preserve">能相分离的原则建立健全相关投资的审批和执行程序，确保资金安全。拟采取的具体措施如下： </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1、公司将根据阶段性闲置自有资金情况，选择相适应的理财产品种类和期限，确保不影响公司正常生产经营活动所需资金。</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2、公司资金管理中心需进行事前审核与评估风险，及时跟踪理财产品的进展，分析理财产品投向、项目进展情况，如评估发现存在可能影响公司资金安全的风险因素，将及时采取相应的措施，控制投资风险。</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3、独立董事、监事会有权对资金使用情况进行监督与检查，必要时可以聘请专业机构进行审计。</w:t>
      </w:r>
    </w:p>
    <w:p>
      <w:pPr>
        <w:spacing w:line="360" w:lineRule="auto"/>
        <w:ind w:firstLine="482" w:firstLineChars="200"/>
        <w:rPr>
          <w:rFonts w:hint="eastAsia" w:cs="宋体" w:asciiTheme="minorEastAsia" w:hAnsiTheme="minorEastAsia"/>
          <w:b/>
          <w:color w:val="auto"/>
          <w:sz w:val="24"/>
          <w:highlight w:val="none"/>
        </w:rPr>
      </w:pPr>
    </w:p>
    <w:p>
      <w:pPr>
        <w:spacing w:line="360" w:lineRule="auto"/>
        <w:ind w:firstLine="482" w:firstLineChars="200"/>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二、对公司的影响</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eastAsiaTheme="minorEastAsia"/>
          <w:color w:val="auto"/>
          <w:sz w:val="24"/>
          <w:highlight w:val="none"/>
        </w:rPr>
        <w:t>公司目前核心产业为医药行业</w:t>
      </w:r>
      <w:r>
        <w:rPr>
          <w:rFonts w:hint="eastAsia" w:cs="宋体" w:asciiTheme="minorEastAsia" w:hAnsiTheme="minorEastAsia"/>
          <w:color w:val="auto"/>
          <w:sz w:val="24"/>
          <w:highlight w:val="none"/>
        </w:rPr>
        <w:t>。公司 2021年度及 2022年 1-9月份的基本财务指标如下表：</w:t>
      </w:r>
    </w:p>
    <w:p>
      <w:pPr>
        <w:spacing w:line="360" w:lineRule="auto"/>
        <w:jc w:val="righ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单位：万元</w:t>
      </w:r>
    </w:p>
    <w:tbl>
      <w:tblPr>
        <w:tblStyle w:val="5"/>
        <w:tblW w:w="5000" w:type="pct"/>
        <w:tblInd w:w="0" w:type="dxa"/>
        <w:tblLayout w:type="fixed"/>
        <w:tblCellMar>
          <w:top w:w="0" w:type="dxa"/>
          <w:left w:w="108" w:type="dxa"/>
          <w:bottom w:w="0" w:type="dxa"/>
          <w:right w:w="108" w:type="dxa"/>
        </w:tblCellMar>
      </w:tblPr>
      <w:tblGrid>
        <w:gridCol w:w="2376"/>
        <w:gridCol w:w="3119"/>
        <w:gridCol w:w="3027"/>
      </w:tblGrid>
      <w:tr>
        <w:tblPrEx>
          <w:tblCellMar>
            <w:top w:w="0" w:type="dxa"/>
            <w:left w:w="108" w:type="dxa"/>
            <w:bottom w:w="0" w:type="dxa"/>
            <w:right w:w="108" w:type="dxa"/>
          </w:tblCellMar>
        </w:tblPrEx>
        <w:trPr>
          <w:trHeight w:val="270" w:hRule="atLeast"/>
        </w:trPr>
        <w:tc>
          <w:tcPr>
            <w:tcW w:w="13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项目</w:t>
            </w:r>
          </w:p>
        </w:tc>
        <w:tc>
          <w:tcPr>
            <w:tcW w:w="1830" w:type="pct"/>
            <w:tcBorders>
              <w:top w:val="single" w:color="auto" w:sz="4" w:space="0"/>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2022年9月30日（未经审计）</w:t>
            </w:r>
          </w:p>
        </w:tc>
        <w:tc>
          <w:tcPr>
            <w:tcW w:w="1776" w:type="pct"/>
            <w:tcBorders>
              <w:top w:val="single" w:color="auto" w:sz="4" w:space="0"/>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2021年12月31日（已经审计）</w:t>
            </w:r>
          </w:p>
        </w:tc>
      </w:tr>
      <w:tr>
        <w:tblPrEx>
          <w:tblCellMar>
            <w:top w:w="0" w:type="dxa"/>
            <w:left w:w="108" w:type="dxa"/>
            <w:bottom w:w="0" w:type="dxa"/>
            <w:right w:w="108" w:type="dxa"/>
          </w:tblCellMar>
        </w:tblPrEx>
        <w:trPr>
          <w:trHeight w:val="270" w:hRule="atLeast"/>
        </w:trPr>
        <w:tc>
          <w:tcPr>
            <w:tcW w:w="1394" w:type="pct"/>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资产总额</w:t>
            </w:r>
          </w:p>
        </w:tc>
        <w:tc>
          <w:tcPr>
            <w:tcW w:w="1830" w:type="pct"/>
            <w:tcBorders>
              <w:top w:val="nil"/>
              <w:left w:val="nil"/>
              <w:bottom w:val="single" w:color="auto" w:sz="4" w:space="0"/>
              <w:right w:val="single" w:color="auto" w:sz="4" w:space="0"/>
            </w:tcBorders>
            <w:shd w:val="clear" w:color="auto" w:fill="auto"/>
            <w:noWrap/>
            <w:vAlign w:val="bottom"/>
          </w:tcPr>
          <w:p>
            <w:pPr>
              <w:jc w:val="right"/>
              <w:rPr>
                <w:rFonts w:ascii="宋体" w:hAnsi="宋体" w:cs="宋体"/>
                <w:color w:val="auto"/>
                <w:sz w:val="22"/>
                <w:szCs w:val="22"/>
                <w:highlight w:val="none"/>
              </w:rPr>
            </w:pPr>
            <w:r>
              <w:rPr>
                <w:rFonts w:hint="eastAsia"/>
                <w:color w:val="auto"/>
                <w:sz w:val="22"/>
                <w:szCs w:val="22"/>
                <w:highlight w:val="none"/>
              </w:rPr>
              <w:t xml:space="preserve">  382,382.37 </w:t>
            </w:r>
          </w:p>
        </w:tc>
        <w:tc>
          <w:tcPr>
            <w:tcW w:w="1776" w:type="pct"/>
            <w:tcBorders>
              <w:top w:val="nil"/>
              <w:left w:val="nil"/>
              <w:bottom w:val="single" w:color="auto" w:sz="4" w:space="0"/>
              <w:right w:val="single" w:color="auto" w:sz="4" w:space="0"/>
            </w:tcBorders>
            <w:shd w:val="clear" w:color="auto" w:fill="auto"/>
            <w:noWrap/>
            <w:vAlign w:val="bottom"/>
          </w:tcPr>
          <w:p>
            <w:pPr>
              <w:jc w:val="right"/>
              <w:rPr>
                <w:rFonts w:ascii="宋体" w:hAnsi="宋体" w:cs="宋体"/>
                <w:color w:val="auto"/>
                <w:sz w:val="22"/>
                <w:szCs w:val="22"/>
                <w:highlight w:val="none"/>
              </w:rPr>
            </w:pPr>
            <w:r>
              <w:rPr>
                <w:rFonts w:hint="eastAsia"/>
                <w:color w:val="auto"/>
                <w:sz w:val="22"/>
                <w:szCs w:val="22"/>
                <w:highlight w:val="none"/>
              </w:rPr>
              <w:t xml:space="preserve">  375,833.76 </w:t>
            </w:r>
          </w:p>
        </w:tc>
      </w:tr>
      <w:tr>
        <w:tblPrEx>
          <w:tblCellMar>
            <w:top w:w="0" w:type="dxa"/>
            <w:left w:w="108" w:type="dxa"/>
            <w:bottom w:w="0" w:type="dxa"/>
            <w:right w:w="108" w:type="dxa"/>
          </w:tblCellMar>
        </w:tblPrEx>
        <w:trPr>
          <w:trHeight w:val="270" w:hRule="atLeast"/>
        </w:trPr>
        <w:tc>
          <w:tcPr>
            <w:tcW w:w="1394" w:type="pct"/>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负债总额</w:t>
            </w:r>
          </w:p>
        </w:tc>
        <w:tc>
          <w:tcPr>
            <w:tcW w:w="1830" w:type="pct"/>
            <w:tcBorders>
              <w:top w:val="nil"/>
              <w:left w:val="nil"/>
              <w:bottom w:val="single" w:color="auto" w:sz="4" w:space="0"/>
              <w:right w:val="single" w:color="auto" w:sz="4" w:space="0"/>
            </w:tcBorders>
            <w:shd w:val="clear" w:color="auto" w:fill="auto"/>
            <w:noWrap/>
            <w:vAlign w:val="bottom"/>
          </w:tcPr>
          <w:p>
            <w:pPr>
              <w:jc w:val="right"/>
              <w:rPr>
                <w:rFonts w:ascii="宋体" w:hAnsi="宋体" w:cs="宋体"/>
                <w:color w:val="auto"/>
                <w:sz w:val="22"/>
                <w:szCs w:val="22"/>
                <w:highlight w:val="none"/>
              </w:rPr>
            </w:pPr>
            <w:r>
              <w:rPr>
                <w:rFonts w:hint="eastAsia"/>
                <w:color w:val="auto"/>
                <w:sz w:val="22"/>
                <w:szCs w:val="22"/>
                <w:highlight w:val="none"/>
              </w:rPr>
              <w:t xml:space="preserve">  197,501.55 </w:t>
            </w:r>
          </w:p>
        </w:tc>
        <w:tc>
          <w:tcPr>
            <w:tcW w:w="1776" w:type="pct"/>
            <w:tcBorders>
              <w:top w:val="nil"/>
              <w:left w:val="nil"/>
              <w:bottom w:val="single" w:color="auto" w:sz="4" w:space="0"/>
              <w:right w:val="single" w:color="auto" w:sz="4" w:space="0"/>
            </w:tcBorders>
            <w:shd w:val="clear" w:color="auto" w:fill="auto"/>
            <w:noWrap/>
            <w:vAlign w:val="bottom"/>
          </w:tcPr>
          <w:p>
            <w:pPr>
              <w:jc w:val="right"/>
              <w:rPr>
                <w:rFonts w:ascii="宋体" w:hAnsi="宋体" w:cs="宋体"/>
                <w:color w:val="auto"/>
                <w:sz w:val="22"/>
                <w:szCs w:val="22"/>
                <w:highlight w:val="none"/>
              </w:rPr>
            </w:pPr>
            <w:r>
              <w:rPr>
                <w:rFonts w:hint="eastAsia"/>
                <w:color w:val="auto"/>
                <w:sz w:val="22"/>
                <w:szCs w:val="22"/>
                <w:highlight w:val="none"/>
              </w:rPr>
              <w:t xml:space="preserve">  188,141.01 </w:t>
            </w:r>
          </w:p>
        </w:tc>
      </w:tr>
      <w:tr>
        <w:tblPrEx>
          <w:tblCellMar>
            <w:top w:w="0" w:type="dxa"/>
            <w:left w:w="108" w:type="dxa"/>
            <w:bottom w:w="0" w:type="dxa"/>
            <w:right w:w="108" w:type="dxa"/>
          </w:tblCellMar>
        </w:tblPrEx>
        <w:trPr>
          <w:trHeight w:val="270" w:hRule="atLeast"/>
        </w:trPr>
        <w:tc>
          <w:tcPr>
            <w:tcW w:w="1394" w:type="pct"/>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资产净额</w:t>
            </w:r>
          </w:p>
        </w:tc>
        <w:tc>
          <w:tcPr>
            <w:tcW w:w="1830" w:type="pct"/>
            <w:tcBorders>
              <w:top w:val="nil"/>
              <w:left w:val="nil"/>
              <w:bottom w:val="single" w:color="auto" w:sz="4" w:space="0"/>
              <w:right w:val="single" w:color="auto" w:sz="4" w:space="0"/>
            </w:tcBorders>
            <w:shd w:val="clear" w:color="auto" w:fill="auto"/>
            <w:noWrap/>
            <w:vAlign w:val="bottom"/>
          </w:tcPr>
          <w:p>
            <w:pPr>
              <w:jc w:val="right"/>
              <w:rPr>
                <w:rFonts w:ascii="宋体" w:hAnsi="宋体" w:cs="宋体"/>
                <w:color w:val="auto"/>
                <w:sz w:val="22"/>
                <w:szCs w:val="22"/>
                <w:highlight w:val="none"/>
              </w:rPr>
            </w:pPr>
            <w:r>
              <w:rPr>
                <w:rFonts w:hint="eastAsia"/>
                <w:color w:val="auto"/>
                <w:sz w:val="22"/>
                <w:szCs w:val="22"/>
                <w:highlight w:val="none"/>
              </w:rPr>
              <w:t xml:space="preserve">  184,880.82 </w:t>
            </w:r>
          </w:p>
        </w:tc>
        <w:tc>
          <w:tcPr>
            <w:tcW w:w="1776" w:type="pct"/>
            <w:tcBorders>
              <w:top w:val="nil"/>
              <w:left w:val="nil"/>
              <w:bottom w:val="single" w:color="auto" w:sz="4" w:space="0"/>
              <w:right w:val="single" w:color="auto" w:sz="4" w:space="0"/>
            </w:tcBorders>
            <w:shd w:val="clear" w:color="auto" w:fill="auto"/>
            <w:noWrap/>
            <w:vAlign w:val="bottom"/>
          </w:tcPr>
          <w:p>
            <w:pPr>
              <w:jc w:val="right"/>
              <w:rPr>
                <w:rFonts w:ascii="宋体" w:hAnsi="宋体" w:cs="宋体"/>
                <w:color w:val="auto"/>
                <w:sz w:val="22"/>
                <w:szCs w:val="22"/>
                <w:highlight w:val="none"/>
              </w:rPr>
            </w:pPr>
            <w:r>
              <w:rPr>
                <w:rFonts w:hint="eastAsia"/>
                <w:color w:val="auto"/>
                <w:sz w:val="22"/>
                <w:szCs w:val="22"/>
                <w:highlight w:val="none"/>
              </w:rPr>
              <w:t xml:space="preserve">  187,692.75 </w:t>
            </w:r>
          </w:p>
        </w:tc>
      </w:tr>
      <w:tr>
        <w:tblPrEx>
          <w:tblCellMar>
            <w:top w:w="0" w:type="dxa"/>
            <w:left w:w="108" w:type="dxa"/>
            <w:bottom w:w="0" w:type="dxa"/>
            <w:right w:w="108" w:type="dxa"/>
          </w:tblCellMar>
        </w:tblPrEx>
        <w:trPr>
          <w:trHeight w:val="270" w:hRule="atLeast"/>
        </w:trPr>
        <w:tc>
          <w:tcPr>
            <w:tcW w:w="1394" w:type="pct"/>
            <w:tcBorders>
              <w:top w:val="nil"/>
              <w:left w:val="single" w:color="auto" w:sz="4" w:space="0"/>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w:t>
            </w:r>
          </w:p>
        </w:tc>
        <w:tc>
          <w:tcPr>
            <w:tcW w:w="1830"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 xml:space="preserve"> 2022年1-9月（未经审计） </w:t>
            </w:r>
          </w:p>
        </w:tc>
        <w:tc>
          <w:tcPr>
            <w:tcW w:w="177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 xml:space="preserve"> 2021年度（已经审计） </w:t>
            </w:r>
          </w:p>
        </w:tc>
      </w:tr>
      <w:tr>
        <w:tblPrEx>
          <w:tblCellMar>
            <w:top w:w="0" w:type="dxa"/>
            <w:left w:w="108" w:type="dxa"/>
            <w:bottom w:w="0" w:type="dxa"/>
            <w:right w:w="108" w:type="dxa"/>
          </w:tblCellMar>
        </w:tblPrEx>
        <w:trPr>
          <w:trHeight w:val="270" w:hRule="atLeast"/>
        </w:trPr>
        <w:tc>
          <w:tcPr>
            <w:tcW w:w="1394" w:type="pct"/>
            <w:tcBorders>
              <w:top w:val="nil"/>
              <w:left w:val="single" w:color="auto" w:sz="4" w:space="0"/>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经营活动产生的现金流量净额 </w:t>
            </w:r>
          </w:p>
        </w:tc>
        <w:tc>
          <w:tcPr>
            <w:tcW w:w="1830" w:type="pct"/>
            <w:tcBorders>
              <w:top w:val="nil"/>
              <w:left w:val="nil"/>
              <w:bottom w:val="single" w:color="auto" w:sz="4" w:space="0"/>
              <w:right w:val="single" w:color="auto" w:sz="4" w:space="0"/>
            </w:tcBorders>
            <w:shd w:val="clear" w:color="auto" w:fill="auto"/>
            <w:noWrap/>
            <w:vAlign w:val="bottom"/>
          </w:tcPr>
          <w:p>
            <w:pPr>
              <w:jc w:val="right"/>
              <w:rPr>
                <w:rFonts w:ascii="宋体" w:hAnsi="宋体" w:cs="宋体"/>
                <w:color w:val="auto"/>
                <w:sz w:val="22"/>
                <w:szCs w:val="22"/>
                <w:highlight w:val="none"/>
              </w:rPr>
            </w:pPr>
            <w:r>
              <w:rPr>
                <w:rFonts w:hint="eastAsia"/>
                <w:color w:val="auto"/>
                <w:sz w:val="22"/>
                <w:szCs w:val="22"/>
                <w:highlight w:val="none"/>
              </w:rPr>
              <w:t xml:space="preserve">  -16,160.25 </w:t>
            </w:r>
          </w:p>
        </w:tc>
        <w:tc>
          <w:tcPr>
            <w:tcW w:w="1776" w:type="pct"/>
            <w:tcBorders>
              <w:top w:val="nil"/>
              <w:left w:val="nil"/>
              <w:bottom w:val="single" w:color="auto" w:sz="4" w:space="0"/>
              <w:right w:val="single" w:color="auto" w:sz="4" w:space="0"/>
            </w:tcBorders>
            <w:shd w:val="clear" w:color="auto" w:fill="auto"/>
            <w:noWrap/>
            <w:vAlign w:val="bottom"/>
          </w:tcPr>
          <w:p>
            <w:pPr>
              <w:jc w:val="right"/>
              <w:rPr>
                <w:rFonts w:ascii="宋体" w:hAnsi="宋体" w:cs="宋体"/>
                <w:color w:val="auto"/>
                <w:sz w:val="22"/>
                <w:szCs w:val="22"/>
                <w:highlight w:val="none"/>
              </w:rPr>
            </w:pPr>
            <w:r>
              <w:rPr>
                <w:rFonts w:hint="eastAsia"/>
                <w:color w:val="auto"/>
                <w:sz w:val="22"/>
                <w:szCs w:val="22"/>
                <w:highlight w:val="none"/>
              </w:rPr>
              <w:t xml:space="preserve">   44,764.37 </w:t>
            </w:r>
          </w:p>
        </w:tc>
      </w:tr>
    </w:tbl>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2022年9月末，公司资产负债率51.65%，公司资产负债率较低，资金结构合理，运营健康，公司不存在负有大额负债的同时购买大额理财产品的情形。</w:t>
      </w:r>
      <w:r>
        <w:rPr>
          <w:rFonts w:asciiTheme="minorEastAsia" w:hAnsiTheme="minorEastAsia"/>
          <w:color w:val="auto"/>
          <w:sz w:val="24"/>
          <w:highlight w:val="none"/>
        </w:rPr>
        <w:t>公司使用闲置自有资金进行现金管理，不影响公司日常资金正常周转需要，不会影响公司主营业务的正常发展。通过进行现金管理，可以提高资金使用效率，能获得一定的投资收益，提高公司的整体业绩水平，为公司股东谋求更多的投资回报。</w:t>
      </w:r>
    </w:p>
    <w:p>
      <w:pPr>
        <w:widowControl/>
        <w:spacing w:line="360" w:lineRule="auto"/>
        <w:ind w:firstLine="482" w:firstLineChars="200"/>
        <w:rPr>
          <w:rFonts w:hint="eastAsia" w:cs="宋体" w:asciiTheme="minorEastAsia" w:hAnsiTheme="minorEastAsia" w:eastAsiaTheme="minorEastAsia"/>
          <w:b/>
          <w:color w:val="auto"/>
          <w:kern w:val="0"/>
          <w:sz w:val="24"/>
          <w:highlight w:val="none"/>
        </w:rPr>
      </w:pPr>
    </w:p>
    <w:p>
      <w:pPr>
        <w:widowControl/>
        <w:spacing w:line="360" w:lineRule="auto"/>
        <w:ind w:firstLine="482" w:firstLineChars="200"/>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三、风险提示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公司现金管理产品仅限于安全性高、低风险、流动性好、稳健型理财产品以及结构性存款。主要风险如下：</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（1）尽管公司现金管理产品属于低风险投资品种，但金融市场受宏观经济的影响较大，不排除该项投资受到市场波动的影响。</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（2）公司将根据经济形势以及金融市场的变化适时适量的介入，因此现金管理的实际收益不可预期。</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（3）相关工作人员的操作风险。</w:t>
      </w:r>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针对上述风险，公司将严格按照《上海证券交易所股票上市规则》、《公司章程》等相关法律法规、规章制度，对现金管理事项进行决策、管理、检查和监督。在保障公司业务正常开展的前提下，谨慎选择理财产品种类，做好投资组合，确定投资期限，控制投资风险。</w:t>
      </w:r>
    </w:p>
    <w:p>
      <w:pPr>
        <w:widowControl/>
        <w:spacing w:line="360" w:lineRule="auto"/>
        <w:ind w:firstLine="482" w:firstLineChars="200"/>
        <w:rPr>
          <w:rFonts w:hint="eastAsia" w:cs="宋体" w:asciiTheme="minorEastAsia" w:hAnsiTheme="minorEastAsia" w:eastAsiaTheme="minorEastAsia"/>
          <w:b/>
          <w:color w:val="auto"/>
          <w:kern w:val="0"/>
          <w:sz w:val="24"/>
          <w:highlight w:val="none"/>
        </w:rPr>
      </w:pPr>
    </w:p>
    <w:p>
      <w:pPr>
        <w:widowControl/>
        <w:spacing w:line="360" w:lineRule="auto"/>
        <w:ind w:firstLine="482" w:firstLineChars="200"/>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四、决策程序的履行及监事会、独立董事意见</w:t>
      </w:r>
    </w:p>
    <w:p>
      <w:pPr>
        <w:widowControl/>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（一）决策程序的履行</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2022年10月28日，公司召开第十届董事会第六次会议（通讯表决）和第十届监事会第六次会议（通讯表决），审议通过了《江苏吴中医药发展股份有限公司关于使用闲置自有资金进行现金管理的议案》，根据《上海证券交易所股票上市规则》和《公司章程》的相关规定，该事项无需提交公司股东大会审议。</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（二）监事会意见</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监事会经核查后认为：在不影响公司正常经营及风险可控的前提下，公司使用闲置自有资金进行现金管理进一步提高了资金使用效率，增加公司投资收益。该事项的审议、决策程序符合有关法律法规和《公司章程》的规定。公司监事会同意公司及其全资子（孙）公司、控股子（孙）公司使用不超过人民币3.2亿元的暂时闲置自有资金进行现金管理，使用期限不超过12个月，资金可以循环滚动使用。</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（三）独立董事意见</w:t>
      </w:r>
    </w:p>
    <w:p>
      <w:pPr>
        <w:autoSpaceDE w:val="0"/>
        <w:autoSpaceDN w:val="0"/>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公司独立董事对此事项发表的独立意见如下：</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公司在有效控制投资风险的前提下，对暂时闲置的自有资金进行现金管理，有利于提高公司资金使用效率，增加投资收益，符合公司及股东的利益。利用闲置自有资金进行理财前提必须确保资金安全、及时收回、可控合理操作，并以保守稳健低风险理财产品为主。该事项的审议、决策程序符合相关法律法规和《公司章程》的规定，不存在侵害中小股东利益的情形。因此，我们同意公司使用不超过人民币3.2亿元暂时闲置自有资金进行现金管理，使用期限不超过12个月，资金可以循环滚动使用。</w:t>
      </w:r>
    </w:p>
    <w:p>
      <w:pPr>
        <w:spacing w:line="360" w:lineRule="auto"/>
        <w:ind w:firstLine="482" w:firstLineChars="200"/>
        <w:rPr>
          <w:rFonts w:hint="eastAsia" w:cs="宋体" w:asciiTheme="minorEastAsia" w:hAnsiTheme="minorEastAsia"/>
          <w:b/>
          <w:color w:val="auto"/>
          <w:sz w:val="24"/>
          <w:highlight w:val="none"/>
        </w:rPr>
      </w:pPr>
    </w:p>
    <w:p>
      <w:pPr>
        <w:spacing w:line="360" w:lineRule="auto"/>
        <w:ind w:firstLine="482" w:firstLineChars="200"/>
        <w:rPr>
          <w:rFonts w:cs="宋体" w:asciiTheme="minorEastAsia" w:hAnsiTheme="minorEastAsia"/>
          <w:b/>
          <w:color w:val="auto"/>
          <w:sz w:val="24"/>
          <w:highlight w:val="none"/>
        </w:rPr>
      </w:pPr>
      <w:bookmarkStart w:id="0" w:name="_GoBack"/>
      <w:bookmarkEnd w:id="0"/>
      <w:r>
        <w:rPr>
          <w:rFonts w:hint="eastAsia" w:cs="宋体" w:asciiTheme="minorEastAsia" w:hAnsiTheme="minorEastAsia"/>
          <w:b/>
          <w:color w:val="auto"/>
          <w:sz w:val="24"/>
          <w:highlight w:val="none"/>
        </w:rPr>
        <w:t>五、截至本会议召开日，公司最近十二个月使用自有资金现金管理的情况</w:t>
      </w:r>
    </w:p>
    <w:p>
      <w:pPr>
        <w:tabs>
          <w:tab w:val="left" w:pos="1080"/>
        </w:tabs>
        <w:adjustRightInd w:val="0"/>
        <w:snapToGrid w:val="0"/>
        <w:spacing w:line="560" w:lineRule="exact"/>
        <w:ind w:firstLine="420" w:firstLineChars="200"/>
        <w:jc w:val="right"/>
        <w:rPr>
          <w:bCs/>
          <w:color w:val="auto"/>
          <w:szCs w:val="21"/>
          <w:highlight w:val="none"/>
        </w:rPr>
      </w:pPr>
      <w:r>
        <w:rPr>
          <w:rFonts w:hint="eastAsia"/>
          <w:bCs/>
          <w:color w:val="auto"/>
          <w:szCs w:val="21"/>
          <w:highlight w:val="none"/>
        </w:rPr>
        <w:t>金额：万元</w:t>
      </w:r>
    </w:p>
    <w:tbl>
      <w:tblPr>
        <w:tblStyle w:val="5"/>
        <w:tblW w:w="8407"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410"/>
        <w:gridCol w:w="1134"/>
        <w:gridCol w:w="1134"/>
        <w:gridCol w:w="1520"/>
        <w:gridCol w:w="1449"/>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shd w:val="clear" w:color="auto" w:fill="auto"/>
            <w:vAlign w:val="center"/>
          </w:tcPr>
          <w:p>
            <w:pPr>
              <w:autoSpaceDE w:val="0"/>
              <w:autoSpaceDN w:val="0"/>
              <w:adjustRightInd w:val="0"/>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序号</w:t>
            </w:r>
          </w:p>
        </w:tc>
        <w:tc>
          <w:tcPr>
            <w:tcW w:w="2410" w:type="dxa"/>
            <w:shd w:val="clear" w:color="auto" w:fill="auto"/>
            <w:vAlign w:val="center"/>
          </w:tcPr>
          <w:p>
            <w:pPr>
              <w:autoSpaceDE w:val="0"/>
              <w:autoSpaceDN w:val="0"/>
              <w:adjustRightInd w:val="0"/>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理财产品类型</w:t>
            </w:r>
          </w:p>
        </w:tc>
        <w:tc>
          <w:tcPr>
            <w:tcW w:w="1134" w:type="dxa"/>
            <w:shd w:val="clear" w:color="auto" w:fill="auto"/>
            <w:vAlign w:val="center"/>
          </w:tcPr>
          <w:p>
            <w:pPr>
              <w:autoSpaceDE w:val="0"/>
              <w:autoSpaceDN w:val="0"/>
              <w:adjustRightInd w:val="0"/>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实际投入金额</w:t>
            </w:r>
          </w:p>
        </w:tc>
        <w:tc>
          <w:tcPr>
            <w:tcW w:w="1134" w:type="dxa"/>
            <w:shd w:val="clear" w:color="auto" w:fill="auto"/>
            <w:vAlign w:val="center"/>
          </w:tcPr>
          <w:p>
            <w:pPr>
              <w:autoSpaceDE w:val="0"/>
              <w:autoSpaceDN w:val="0"/>
              <w:adjustRightInd w:val="0"/>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实际收回</w:t>
            </w:r>
          </w:p>
          <w:p>
            <w:pPr>
              <w:autoSpaceDE w:val="0"/>
              <w:autoSpaceDN w:val="0"/>
              <w:adjustRightInd w:val="0"/>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本金</w:t>
            </w:r>
          </w:p>
        </w:tc>
        <w:tc>
          <w:tcPr>
            <w:tcW w:w="1520" w:type="dxa"/>
            <w:shd w:val="clear" w:color="auto" w:fill="auto"/>
            <w:vAlign w:val="center"/>
          </w:tcPr>
          <w:p>
            <w:pPr>
              <w:autoSpaceDE w:val="0"/>
              <w:autoSpaceDN w:val="0"/>
              <w:adjustRightInd w:val="0"/>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实际收益</w:t>
            </w:r>
          </w:p>
        </w:tc>
        <w:tc>
          <w:tcPr>
            <w:tcW w:w="1449" w:type="dxa"/>
          </w:tcPr>
          <w:p>
            <w:pPr>
              <w:autoSpaceDE w:val="0"/>
              <w:autoSpaceDN w:val="0"/>
              <w:adjustRightInd w:val="0"/>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尚未收回</w:t>
            </w:r>
          </w:p>
          <w:p>
            <w:pPr>
              <w:autoSpaceDE w:val="0"/>
              <w:autoSpaceDN w:val="0"/>
              <w:adjustRightInd w:val="0"/>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本金金额</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shd w:val="clear" w:color="auto" w:fill="auto"/>
            <w:noWrap/>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p>
        </w:tc>
        <w:tc>
          <w:tcPr>
            <w:tcW w:w="2410" w:type="dxa"/>
            <w:shd w:val="clear" w:color="auto" w:fill="auto"/>
            <w:noWrap/>
            <w:vAlign w:val="center"/>
          </w:tcPr>
          <w:p>
            <w:pPr>
              <w:widowControl/>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kern w:val="0"/>
                <w:sz w:val="18"/>
                <w:szCs w:val="18"/>
                <w:highlight w:val="none"/>
              </w:rPr>
              <w:t>山东金融资产交易中心</w:t>
            </w:r>
          </w:p>
          <w:p>
            <w:pPr>
              <w:spacing w:line="276"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 w:val="18"/>
                <w:szCs w:val="18"/>
                <w:highlight w:val="none"/>
              </w:rPr>
              <w:t>有限公司理财产品</w:t>
            </w:r>
          </w:p>
        </w:tc>
        <w:tc>
          <w:tcPr>
            <w:tcW w:w="1134" w:type="dxa"/>
            <w:shd w:val="clear" w:color="auto" w:fill="auto"/>
            <w:noWrap/>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c>
          <w:tcPr>
            <w:tcW w:w="1134" w:type="dxa"/>
            <w:shd w:val="clear" w:color="auto" w:fill="auto"/>
            <w:noWrap/>
            <w:vAlign w:val="center"/>
          </w:tcPr>
          <w:p>
            <w:pPr>
              <w:autoSpaceDE w:val="0"/>
              <w:autoSpaceDN w:val="0"/>
              <w:adjustRightInd w:val="0"/>
              <w:spacing w:line="276" w:lineRule="auto"/>
              <w:jc w:val="righ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c>
          <w:tcPr>
            <w:tcW w:w="1520" w:type="dxa"/>
            <w:shd w:val="clear" w:color="auto" w:fill="auto"/>
            <w:noWrap/>
            <w:vAlign w:val="center"/>
          </w:tcPr>
          <w:p>
            <w:pPr>
              <w:autoSpaceDE w:val="0"/>
              <w:autoSpaceDN w:val="0"/>
              <w:adjustRightInd w:val="0"/>
              <w:spacing w:line="276"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w:t>
            </w:r>
            <w:r>
              <w:rPr>
                <w:rFonts w:asciiTheme="minorEastAsia" w:hAnsiTheme="minorEastAsia" w:eastAsiaTheme="minorEastAsia"/>
                <w:color w:val="auto"/>
                <w:szCs w:val="21"/>
                <w:highlight w:val="none"/>
              </w:rPr>
              <w:t>145.32</w:t>
            </w:r>
          </w:p>
        </w:tc>
        <w:tc>
          <w:tcPr>
            <w:tcW w:w="1449" w:type="dxa"/>
            <w:vAlign w:val="center"/>
          </w:tcPr>
          <w:p>
            <w:pPr>
              <w:autoSpaceDE w:val="0"/>
              <w:autoSpaceDN w:val="0"/>
              <w:adjustRightInd w:val="0"/>
              <w:spacing w:line="276" w:lineRule="auto"/>
              <w:ind w:right="21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70" w:type="dxa"/>
            <w:gridSpan w:val="2"/>
            <w:tcBorders>
              <w:bottom w:val="thinThickSmallGap" w:color="auto" w:sz="24" w:space="0"/>
            </w:tcBorders>
            <w:shd w:val="clear" w:color="auto" w:fill="auto"/>
            <w:noWrap/>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合计</w:t>
            </w:r>
          </w:p>
        </w:tc>
        <w:tc>
          <w:tcPr>
            <w:tcW w:w="1134" w:type="dxa"/>
            <w:tcBorders>
              <w:bottom w:val="thinThickSmallGap" w:color="auto" w:sz="24" w:space="0"/>
            </w:tcBorders>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c>
          <w:tcPr>
            <w:tcW w:w="1134" w:type="dxa"/>
            <w:tcBorders>
              <w:bottom w:val="thinThickSmallGap" w:color="auto" w:sz="24" w:space="0"/>
            </w:tcBorders>
            <w:shd w:val="clear" w:color="auto" w:fill="auto"/>
            <w:vAlign w:val="center"/>
          </w:tcPr>
          <w:p>
            <w:pPr>
              <w:autoSpaceDE w:val="0"/>
              <w:autoSpaceDN w:val="0"/>
              <w:adjustRightInd w:val="0"/>
              <w:spacing w:line="276" w:lineRule="auto"/>
              <w:jc w:val="righ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c>
          <w:tcPr>
            <w:tcW w:w="1520" w:type="dxa"/>
            <w:tcBorders>
              <w:bottom w:val="thinThickSmallGap" w:color="auto" w:sz="24" w:space="0"/>
            </w:tcBorders>
            <w:shd w:val="clear" w:color="auto" w:fill="auto"/>
            <w:vAlign w:val="center"/>
          </w:tcPr>
          <w:p>
            <w:pPr>
              <w:autoSpaceDE w:val="0"/>
              <w:autoSpaceDN w:val="0"/>
              <w:adjustRightInd w:val="0"/>
              <w:spacing w:line="276" w:lineRule="auto"/>
              <w:jc w:val="center"/>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w:t>
            </w:r>
            <w:r>
              <w:rPr>
                <w:rFonts w:asciiTheme="minorEastAsia" w:hAnsiTheme="minorEastAsia" w:eastAsiaTheme="minorEastAsia"/>
                <w:color w:val="auto"/>
                <w:szCs w:val="21"/>
                <w:highlight w:val="none"/>
              </w:rPr>
              <w:t>145.32</w:t>
            </w:r>
          </w:p>
        </w:tc>
        <w:tc>
          <w:tcPr>
            <w:tcW w:w="1449" w:type="dxa"/>
            <w:tcBorders>
              <w:bottom w:val="thinThickSmallGap" w:color="auto" w:sz="24" w:space="0"/>
            </w:tcBorders>
            <w:vAlign w:val="center"/>
          </w:tcPr>
          <w:p>
            <w:pPr>
              <w:autoSpaceDE w:val="0"/>
              <w:autoSpaceDN w:val="0"/>
              <w:adjustRightInd w:val="0"/>
              <w:spacing w:line="276" w:lineRule="auto"/>
              <w:ind w:right="210" w:rightChars="0"/>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438" w:type="dxa"/>
            <w:gridSpan w:val="4"/>
            <w:tcBorders>
              <w:top w:val="thinThickSmallGap" w:color="auto" w:sz="24" w:space="0"/>
              <w:bottom w:val="single" w:color="auto" w:sz="4" w:space="0"/>
            </w:tcBorders>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最近12个月内单日最高投入金额</w:t>
            </w:r>
          </w:p>
        </w:tc>
        <w:tc>
          <w:tcPr>
            <w:tcW w:w="2969" w:type="dxa"/>
            <w:gridSpan w:val="2"/>
            <w:tcBorders>
              <w:top w:val="thinThickSmallGap" w:color="auto" w:sz="24" w:space="0"/>
              <w:bottom w:val="single" w:color="auto" w:sz="4" w:space="0"/>
            </w:tcBorders>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38" w:type="dxa"/>
            <w:gridSpan w:val="4"/>
            <w:tcBorders>
              <w:top w:val="single" w:color="auto" w:sz="4" w:space="0"/>
            </w:tcBorders>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最近12个月内单日最高投入金额/最近一年净资产（%）　</w:t>
            </w:r>
          </w:p>
        </w:tc>
        <w:tc>
          <w:tcPr>
            <w:tcW w:w="2969" w:type="dxa"/>
            <w:gridSpan w:val="2"/>
            <w:tcBorders>
              <w:top w:val="single" w:color="auto" w:sz="4" w:space="0"/>
            </w:tcBorders>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9.06</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438" w:type="dxa"/>
            <w:gridSpan w:val="4"/>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最近12个月现金管理累计收益/最近一年净利润（%）　</w:t>
            </w:r>
          </w:p>
        </w:tc>
        <w:tc>
          <w:tcPr>
            <w:tcW w:w="2969" w:type="dxa"/>
            <w:gridSpan w:val="2"/>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50.42</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438" w:type="dxa"/>
            <w:gridSpan w:val="4"/>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目前已使用的现金管理额度</w:t>
            </w:r>
          </w:p>
        </w:tc>
        <w:tc>
          <w:tcPr>
            <w:tcW w:w="2969" w:type="dxa"/>
            <w:gridSpan w:val="2"/>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438" w:type="dxa"/>
            <w:gridSpan w:val="4"/>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尚未使用的现金管理额度　</w:t>
            </w:r>
          </w:p>
        </w:tc>
        <w:tc>
          <w:tcPr>
            <w:tcW w:w="2969" w:type="dxa"/>
            <w:gridSpan w:val="2"/>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438" w:type="dxa"/>
            <w:gridSpan w:val="4"/>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现金管理总额度</w:t>
            </w:r>
          </w:p>
        </w:tc>
        <w:tc>
          <w:tcPr>
            <w:tcW w:w="2969" w:type="dxa"/>
            <w:gridSpan w:val="2"/>
            <w:shd w:val="clear" w:color="auto" w:fill="auto"/>
            <w:vAlign w:val="center"/>
          </w:tcPr>
          <w:p>
            <w:pPr>
              <w:autoSpaceDE w:val="0"/>
              <w:autoSpaceDN w:val="0"/>
              <w:adjustRightInd w:val="0"/>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lang w:val="en-US" w:eastAsia="zh-CN"/>
              </w:rPr>
              <w:t>,</w:t>
            </w:r>
            <w:r>
              <w:rPr>
                <w:rFonts w:cs="宋体" w:asciiTheme="minorEastAsia" w:hAnsiTheme="minorEastAsia" w:eastAsiaTheme="minorEastAsia"/>
                <w:color w:val="auto"/>
                <w:szCs w:val="21"/>
                <w:highlight w:val="none"/>
              </w:rPr>
              <w:t>000</w:t>
            </w:r>
          </w:p>
        </w:tc>
      </w:tr>
    </w:tbl>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r>
        <w:rPr>
          <w:rFonts w:ascii="宋体" w:hAnsi="宋体"/>
          <w:color w:val="auto"/>
          <w:sz w:val="24"/>
          <w:highlight w:val="none"/>
        </w:rPr>
        <w:t>特此公告</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320" w:firstLineChars="1800"/>
        <w:jc w:val="right"/>
        <w:rPr>
          <w:rFonts w:ascii="宋体" w:hAnsi="宋体"/>
          <w:color w:val="auto"/>
          <w:sz w:val="24"/>
          <w:highlight w:val="none"/>
        </w:rPr>
      </w:pPr>
      <w:r>
        <w:rPr>
          <w:rFonts w:hint="eastAsia" w:ascii="宋体" w:hAnsi="宋体"/>
          <w:color w:val="auto"/>
          <w:sz w:val="24"/>
          <w:highlight w:val="none"/>
        </w:rPr>
        <w:t>江苏吴中医药发展股份有限公司</w:t>
      </w:r>
    </w:p>
    <w:p>
      <w:pPr>
        <w:spacing w:line="360" w:lineRule="auto"/>
        <w:ind w:right="1200" w:firstLine="4320" w:firstLineChars="1800"/>
        <w:jc w:val="right"/>
        <w:rPr>
          <w:rFonts w:ascii="宋体" w:hAnsi="宋体"/>
          <w:color w:val="auto"/>
          <w:sz w:val="24"/>
          <w:highlight w:val="none"/>
        </w:rPr>
      </w:pPr>
      <w:r>
        <w:rPr>
          <w:rFonts w:hint="eastAsia" w:ascii="宋体" w:hAnsi="宋体"/>
          <w:color w:val="auto"/>
          <w:sz w:val="24"/>
          <w:highlight w:val="none"/>
        </w:rPr>
        <w:t xml:space="preserve">董事会      </w:t>
      </w:r>
    </w:p>
    <w:p>
      <w:pPr>
        <w:spacing w:line="360" w:lineRule="auto"/>
        <w:ind w:right="480" w:firstLine="5220" w:firstLineChars="2175"/>
        <w:jc w:val="center"/>
        <w:rPr>
          <w:rFonts w:ascii="宋体" w:hAnsi="宋体"/>
          <w:color w:val="auto"/>
          <w:sz w:val="24"/>
          <w:highlight w:val="none"/>
        </w:rPr>
      </w:pPr>
      <w:r>
        <w:rPr>
          <w:rFonts w:hint="eastAsia" w:ascii="宋体" w:hAnsi="宋体"/>
          <w:color w:val="auto"/>
          <w:sz w:val="24"/>
          <w:highlight w:val="none"/>
        </w:rPr>
        <w:t xml:space="preserve">    2022年10月29日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203A59"/>
    <w:rsid w:val="00003634"/>
    <w:rsid w:val="000052DC"/>
    <w:rsid w:val="0001153F"/>
    <w:rsid w:val="00014AE5"/>
    <w:rsid w:val="00015559"/>
    <w:rsid w:val="0003171D"/>
    <w:rsid w:val="00034EAF"/>
    <w:rsid w:val="000377FA"/>
    <w:rsid w:val="00037B42"/>
    <w:rsid w:val="000514F9"/>
    <w:rsid w:val="00055DC4"/>
    <w:rsid w:val="00060AD4"/>
    <w:rsid w:val="0007113B"/>
    <w:rsid w:val="00077985"/>
    <w:rsid w:val="00084BC3"/>
    <w:rsid w:val="000A1BCD"/>
    <w:rsid w:val="000C1EBF"/>
    <w:rsid w:val="000D5160"/>
    <w:rsid w:val="000D59A8"/>
    <w:rsid w:val="000E2525"/>
    <w:rsid w:val="000E5928"/>
    <w:rsid w:val="000E7F53"/>
    <w:rsid w:val="000F4B47"/>
    <w:rsid w:val="000F764A"/>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976DD"/>
    <w:rsid w:val="001A69DA"/>
    <w:rsid w:val="001A6F91"/>
    <w:rsid w:val="001C16DA"/>
    <w:rsid w:val="001D0721"/>
    <w:rsid w:val="001D198B"/>
    <w:rsid w:val="001E39C4"/>
    <w:rsid w:val="001E49FF"/>
    <w:rsid w:val="001E57CA"/>
    <w:rsid w:val="001F698F"/>
    <w:rsid w:val="00201E57"/>
    <w:rsid w:val="00203A59"/>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3D37"/>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1192"/>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00E5"/>
    <w:rsid w:val="00551333"/>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11B04"/>
    <w:rsid w:val="00824AB0"/>
    <w:rsid w:val="008378DC"/>
    <w:rsid w:val="00837AFB"/>
    <w:rsid w:val="008412C9"/>
    <w:rsid w:val="00863DCE"/>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0E32"/>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0A20"/>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A5E0F"/>
    <w:rsid w:val="00CB2DCE"/>
    <w:rsid w:val="00CC65AD"/>
    <w:rsid w:val="00CC7C0B"/>
    <w:rsid w:val="00CD2A4D"/>
    <w:rsid w:val="00CD44DC"/>
    <w:rsid w:val="00CD5891"/>
    <w:rsid w:val="00CD607E"/>
    <w:rsid w:val="00CD6EAB"/>
    <w:rsid w:val="00CD7F62"/>
    <w:rsid w:val="00CE3B3D"/>
    <w:rsid w:val="00CE4D8A"/>
    <w:rsid w:val="00CF2676"/>
    <w:rsid w:val="00CF42BE"/>
    <w:rsid w:val="00CF5FA1"/>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D6B75"/>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56C3B"/>
    <w:rsid w:val="00E74755"/>
    <w:rsid w:val="00E74E4D"/>
    <w:rsid w:val="00E77D37"/>
    <w:rsid w:val="00E81D6C"/>
    <w:rsid w:val="00E90C0B"/>
    <w:rsid w:val="00E90EA3"/>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11B00A36"/>
    <w:rsid w:val="11BF336F"/>
    <w:rsid w:val="14294AD0"/>
    <w:rsid w:val="22BD2FB3"/>
    <w:rsid w:val="24C543A1"/>
    <w:rsid w:val="24D10F97"/>
    <w:rsid w:val="25BD3CBE"/>
    <w:rsid w:val="30586A11"/>
    <w:rsid w:val="32F46F2B"/>
    <w:rsid w:val="3695603B"/>
    <w:rsid w:val="3C8F7316"/>
    <w:rsid w:val="40617A47"/>
    <w:rsid w:val="442933D9"/>
    <w:rsid w:val="4AC52207"/>
    <w:rsid w:val="4D3A1520"/>
    <w:rsid w:val="4FF74E86"/>
    <w:rsid w:val="5E614ADF"/>
    <w:rsid w:val="645A5DA2"/>
    <w:rsid w:val="64D836A1"/>
    <w:rsid w:val="76533950"/>
    <w:rsid w:val="76607052"/>
    <w:rsid w:val="7D3B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after="120"/>
    </w:pPr>
    <w:rPr>
      <w:sz w:val="28"/>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正文文本 Char"/>
    <w:basedOn w:val="6"/>
    <w:link w:val="2"/>
    <w:qFormat/>
    <w:uiPriority w:val="99"/>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2537</Words>
  <Characters>2754</Characters>
  <Lines>20</Lines>
  <Paragraphs>5</Paragraphs>
  <TotalTime>3</TotalTime>
  <ScaleCrop>false</ScaleCrop>
  <LinksUpToDate>false</LinksUpToDate>
  <CharactersWithSpaces>2818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2021-10-26T00:52:00Z</dcterms:created>
  <dc:creator>李锐</dc:creator>
  <cp:lastModifiedBy>王雅杰</cp:lastModifiedBy>
  <dcterms:modified xsi:type="dcterms:W3CDTF">2022-10-27T01:01:52Z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30F9C2A11B6D4614BE8B34914CC45737</vt:lpwstr>
  </property>
</Properties>
</file>