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ascii="黑体" w:hAnsi="宋体"/>
          <w:b/>
          <w:bCs/>
          <w:color w:val="FF0000"/>
          <w:sz w:val="32"/>
        </w:rPr>
      </w:pPr>
      <w:r>
        <w:rPr>
          <w:rFonts w:hint="eastAsia" w:ascii="宋体" w:hAnsi="宋体" w:cs="宋体"/>
          <w:color w:val="000000"/>
          <w:kern w:val="0"/>
          <w:sz w:val="24"/>
        </w:rPr>
        <w:t>证券代码：600200        证券简称：江苏吴中      公告编号：临2023-</w:t>
      </w:r>
      <w:r>
        <w:rPr>
          <w:rFonts w:hint="eastAsia" w:ascii="宋体" w:hAnsi="宋体" w:cs="宋体"/>
          <w:color w:val="000000"/>
          <w:kern w:val="0"/>
          <w:sz w:val="24"/>
          <w:lang w:val="en-US" w:eastAsia="zh-CN"/>
        </w:rPr>
        <w:t>0</w:t>
      </w:r>
      <w:r>
        <w:rPr>
          <w:rFonts w:hint="eastAsia" w:ascii="宋体" w:hAnsi="宋体" w:cs="宋体"/>
          <w:color w:val="000000"/>
          <w:kern w:val="0"/>
          <w:sz w:val="24"/>
        </w:rPr>
        <w:t>47</w:t>
      </w:r>
    </w:p>
    <w:p>
      <w:pPr>
        <w:spacing w:line="360" w:lineRule="auto"/>
        <w:ind w:right="-153" w:rightChars="-73"/>
        <w:jc w:val="center"/>
        <w:rPr>
          <w:rFonts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关于上海证券交易所对公司2022年年度报告</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的信息披露监管工作函的回复公告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ˎ̥" w:hAnsi="ˎ̥"/>
          <w:b/>
          <w:sz w:val="24"/>
        </w:rPr>
      </w:pPr>
      <w:r>
        <w:rPr>
          <w:rFonts w:hint="eastAsia" w:ascii="ˎ̥" w:hAnsi="ˎ̥"/>
          <w:b/>
          <w:sz w:val="24"/>
        </w:rPr>
        <w:t>本公司董事会及董事会全体成员保证公告内容不存在虚假记载、误导性陈述或者重大遗漏，并对其内容的真实、准确和完整承担法律责任。</w:t>
      </w:r>
    </w:p>
    <w:p>
      <w:pPr>
        <w:spacing w:line="420" w:lineRule="exact"/>
        <w:rPr>
          <w:rFonts w:ascii="宋体" w:cs="宋体"/>
          <w:color w:val="000000"/>
          <w:kern w:val="0"/>
          <w:sz w:val="24"/>
        </w:rPr>
      </w:pPr>
    </w:p>
    <w:p>
      <w:pPr>
        <w:spacing w:line="360" w:lineRule="auto"/>
        <w:ind w:firstLine="480" w:firstLineChars="200"/>
        <w:rPr>
          <w:rFonts w:asciiTheme="minorEastAsia" w:hAnsiTheme="minorEastAsia"/>
          <w:sz w:val="24"/>
        </w:rPr>
      </w:pPr>
      <w:r>
        <w:rPr>
          <w:rFonts w:hint="eastAsia" w:asciiTheme="minorEastAsia" w:hAnsiTheme="minorEastAsia"/>
          <w:sz w:val="24"/>
        </w:rPr>
        <w:t>江苏吴中医药发展股份有限公司（以下简称“公司”）于近日收到上海证券交易所上市公司管理一部下发的《关于江苏吴中医药发展股份有限公司2022年年度报告的信息披露监管工作函》（上证公函【2023】0582号）（以下简称“监管工作函”）。公司及会计师事务所中兴财光华会计师事务所（特殊普通合伙）对监管工作函所提出的问题进行了认真核查和分析。现就监管工作函回复内容公告如下：</w:t>
      </w:r>
    </w:p>
    <w:p>
      <w:pPr>
        <w:tabs>
          <w:tab w:val="left" w:pos="567"/>
        </w:tabs>
        <w:spacing w:line="360" w:lineRule="auto"/>
        <w:ind w:firstLine="482" w:firstLineChars="200"/>
        <w:outlineLvl w:val="0"/>
        <w:rPr>
          <w:rFonts w:asciiTheme="minorEastAsia" w:hAnsiTheme="minorEastAsia"/>
          <w:b/>
          <w:sz w:val="24"/>
          <w:szCs w:val="24"/>
        </w:rPr>
      </w:pPr>
      <w:r>
        <w:rPr>
          <w:rFonts w:asciiTheme="minorEastAsia" w:hAnsiTheme="minorEastAsia"/>
          <w:b/>
          <w:sz w:val="24"/>
          <w:szCs w:val="24"/>
        </w:rPr>
        <w:t>一、根据年度报告，公司2022年度实现营业收入20.26亿元，同比增长14.12%；归母净利润-7,620万元，由盈转亏；扣非净利润-9,652万元，亏幅加大且为连续第5年扣非后亏损。分季度看，第一至四季度营业收入分别为4.44亿元、3.42亿元、5.94亿元和6.46亿元，归母净利润分别为762万元、-2,703万元、-2,742万元和-2,937万元，其中第二至四季度营业收入增长且第四季度营业收入增幅明显，但亏损金额不断加大，变动趋势与营业收入相反。</w:t>
      </w:r>
    </w:p>
    <w:p>
      <w:pPr>
        <w:tabs>
          <w:tab w:val="left" w:pos="567"/>
        </w:tabs>
        <w:spacing w:line="360" w:lineRule="auto"/>
        <w:ind w:firstLine="482" w:firstLineChars="200"/>
        <w:rPr>
          <w:rFonts w:asciiTheme="minorEastAsia" w:hAnsiTheme="minorEastAsia"/>
          <w:b/>
          <w:sz w:val="24"/>
          <w:szCs w:val="24"/>
        </w:rPr>
      </w:pPr>
      <w:r>
        <w:rPr>
          <w:rFonts w:asciiTheme="minorEastAsia" w:hAnsiTheme="minorEastAsia"/>
          <w:b/>
          <w:sz w:val="24"/>
          <w:szCs w:val="24"/>
        </w:rPr>
        <w:t>请公司：（一）结合行业整体趋势和自身经营情况，以及主要业务板块产品的产销量、营业收入、成本及毛利率的变化等，量化分析报告期亏损的具体原因；（二）补充披露第二至四季度营业收入与归母净利润变动趋势不一致且第四季度营业收入同比大幅上升的原因及合理性，是否与季节性特征、市场环境、同行业可比公司情况相符；（三）说明公司持续盈利能力是否存在较大不确定性，公司已采取及拟采取的改善经营状况的的应对措施，并做必要的风险提示。请会计师对问题（一）和（二）发表意见。</w:t>
      </w:r>
    </w:p>
    <w:p>
      <w:pPr>
        <w:tabs>
          <w:tab w:val="left" w:pos="567"/>
        </w:tabs>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公司回复：</w:t>
      </w:r>
    </w:p>
    <w:p>
      <w:pPr>
        <w:tabs>
          <w:tab w:val="left" w:pos="567"/>
        </w:tabs>
        <w:spacing w:line="360" w:lineRule="auto"/>
        <w:ind w:firstLine="482" w:firstLineChars="200"/>
        <w:outlineLvl w:val="1"/>
        <w:rPr>
          <w:rFonts w:asciiTheme="minorEastAsia" w:hAnsiTheme="minorEastAsia"/>
          <w:b/>
          <w:sz w:val="24"/>
          <w:szCs w:val="24"/>
        </w:rPr>
      </w:pPr>
      <w:r>
        <w:rPr>
          <w:rFonts w:asciiTheme="minorEastAsia" w:hAnsiTheme="minorEastAsia"/>
          <w:b/>
          <w:sz w:val="24"/>
          <w:szCs w:val="24"/>
        </w:rPr>
        <w:t>（一）结合行业整体趋势和自身经营情况，以及主要业务板块产品的产销量、营业收入、成本及毛利率的变化等，量化分析报告期亏损的具体原因</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1、公司所处行业整体趋势和自身经营情况</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医药行业是我国国民经济的重要组成部分</w:t>
      </w:r>
      <w:r>
        <w:rPr>
          <w:rFonts w:hint="eastAsia" w:asciiTheme="minorEastAsia" w:hAnsiTheme="minorEastAsia"/>
          <w:sz w:val="24"/>
          <w:szCs w:val="24"/>
          <w:lang w:eastAsia="zh-CN"/>
        </w:rPr>
        <w:t>。</w:t>
      </w:r>
      <w:r>
        <w:rPr>
          <w:rFonts w:asciiTheme="minorEastAsia" w:hAnsiTheme="minorEastAsia"/>
          <w:sz w:val="24"/>
          <w:szCs w:val="24"/>
        </w:rPr>
        <w:t>2022年，国家层面产业利好政策的密集发布、产业改革围绕人民健康需求的持续深化、五大产业集聚区创新引领地位的持续提升、全球资本市场的广泛关注及投资加持，中国生物医药产业高质量发展依然保持加速推进的局面。国家统计局数据显示，2022年1-12月，医药制造业规模以上营业收入累计值为29,111.40亿元，累计同比增速为-1.60%。公司医药主营业务涉及药品研发、生产和销售，目前主要产品涵盖“抗病毒/抗感染、免疫调节、抗肿瘤、消化系统、心血管类”等领域。</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公司2022年度除公司本级母公司</w:t>
      </w:r>
      <w:r>
        <w:rPr>
          <w:rFonts w:hint="eastAsia" w:asciiTheme="minorEastAsia" w:hAnsiTheme="minorEastAsia"/>
          <w:sz w:val="24"/>
          <w:szCs w:val="24"/>
        </w:rPr>
        <w:t>（以下简称“公司总部”）</w:t>
      </w:r>
      <w:r>
        <w:rPr>
          <w:rFonts w:asciiTheme="minorEastAsia" w:hAnsiTheme="minorEastAsia"/>
          <w:sz w:val="24"/>
          <w:szCs w:val="24"/>
        </w:rPr>
        <w:t>外，业务板块主要可分为医药业务板块、医美生科业务板块和贸易业务板块，其中为公司贡献利润的业务板块主要包括医药业务板块和贸易业务板块，医美生科业务板块目前处于项目研发及医疗器械许可证注册审批阶段。</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2、公司主要业务板块产品的产销量、营业收入、成本及毛利率的变化</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公司2022年度及2021年度主要业务板块产品的产销量、营业收入、成本及毛利率的变化情况如下表：</w:t>
      </w:r>
    </w:p>
    <w:tbl>
      <w:tblPr>
        <w:tblStyle w:val="8"/>
        <w:tblW w:w="9313" w:type="dxa"/>
        <w:tblInd w:w="9" w:type="dxa"/>
        <w:tblLayout w:type="autofit"/>
        <w:tblCellMar>
          <w:top w:w="0" w:type="dxa"/>
          <w:left w:w="108" w:type="dxa"/>
          <w:bottom w:w="0" w:type="dxa"/>
          <w:right w:w="108" w:type="dxa"/>
        </w:tblCellMar>
      </w:tblPr>
      <w:tblGrid>
        <w:gridCol w:w="1659"/>
        <w:gridCol w:w="1134"/>
        <w:gridCol w:w="1275"/>
        <w:gridCol w:w="1276"/>
        <w:gridCol w:w="1559"/>
        <w:gridCol w:w="1560"/>
        <w:gridCol w:w="850"/>
      </w:tblGrid>
      <w:tr>
        <w:tblPrEx>
          <w:tblCellMar>
            <w:top w:w="0" w:type="dxa"/>
            <w:left w:w="108" w:type="dxa"/>
            <w:bottom w:w="0" w:type="dxa"/>
            <w:right w:w="108" w:type="dxa"/>
          </w:tblCellMar>
        </w:tblPrEx>
        <w:trPr>
          <w:trHeight w:val="280" w:hRule="atLeast"/>
        </w:trPr>
        <w:tc>
          <w:tcPr>
            <w:tcW w:w="1659" w:type="dxa"/>
            <w:tcBorders>
              <w:top w:val="single" w:color="auto" w:sz="4" w:space="0"/>
              <w:left w:val="single" w:color="auto" w:sz="4" w:space="0"/>
              <w:bottom w:val="single" w:color="auto" w:sz="4" w:space="0"/>
              <w:right w:val="single" w:color="auto" w:sz="4" w:space="0"/>
            </w:tcBorders>
            <w:shd w:val="clear" w:color="auto" w:fill="auto"/>
            <w:noWrap/>
            <w:vAlign w:val="bottom"/>
          </w:tcPr>
          <w:p>
            <w:pPr>
              <w:jc w:val="center"/>
              <w:rPr>
                <w:rFonts w:asciiTheme="minorEastAsia" w:hAnsiTheme="minorEastAsia"/>
                <w:sz w:val="18"/>
                <w:szCs w:val="18"/>
              </w:rPr>
            </w:pPr>
            <w:r>
              <w:rPr>
                <w:rFonts w:asciiTheme="minorEastAsia" w:hAnsiTheme="minorEastAsia"/>
                <w:sz w:val="18"/>
                <w:szCs w:val="18"/>
              </w:rPr>
              <w:t>产品</w:t>
            </w:r>
          </w:p>
        </w:tc>
        <w:tc>
          <w:tcPr>
            <w:tcW w:w="1134" w:type="dxa"/>
            <w:tcBorders>
              <w:top w:val="single" w:color="auto" w:sz="4" w:space="0"/>
              <w:left w:val="nil"/>
              <w:bottom w:val="single" w:color="auto" w:sz="4" w:space="0"/>
              <w:right w:val="single" w:color="auto" w:sz="4" w:space="0"/>
            </w:tcBorders>
            <w:shd w:val="clear" w:color="auto" w:fill="auto"/>
            <w:noWrap/>
          </w:tcPr>
          <w:p>
            <w:pPr>
              <w:jc w:val="center"/>
              <w:rPr>
                <w:rFonts w:asciiTheme="minorEastAsia" w:hAnsiTheme="minorEastAsia"/>
                <w:sz w:val="18"/>
                <w:szCs w:val="18"/>
              </w:rPr>
            </w:pPr>
            <w:r>
              <w:rPr>
                <w:rFonts w:hint="eastAsia" w:asciiTheme="minorEastAsia" w:hAnsiTheme="minorEastAsia"/>
                <w:sz w:val="18"/>
                <w:szCs w:val="18"/>
              </w:rPr>
              <w:t>年度</w:t>
            </w:r>
          </w:p>
        </w:tc>
        <w:tc>
          <w:tcPr>
            <w:tcW w:w="1275" w:type="dxa"/>
            <w:tcBorders>
              <w:top w:val="single" w:color="auto" w:sz="4" w:space="0"/>
              <w:left w:val="nil"/>
              <w:bottom w:val="single" w:color="auto" w:sz="4" w:space="0"/>
              <w:right w:val="single" w:color="auto" w:sz="4" w:space="0"/>
            </w:tcBorders>
            <w:shd w:val="clear" w:color="auto" w:fill="auto"/>
            <w:noWrap/>
          </w:tcPr>
          <w:p>
            <w:pPr>
              <w:jc w:val="center"/>
              <w:rPr>
                <w:rFonts w:asciiTheme="minorEastAsia" w:hAnsiTheme="minorEastAsia"/>
                <w:sz w:val="18"/>
                <w:szCs w:val="18"/>
              </w:rPr>
            </w:pPr>
            <w:r>
              <w:rPr>
                <w:rFonts w:hint="eastAsia" w:asciiTheme="minorEastAsia" w:hAnsiTheme="minorEastAsia"/>
                <w:sz w:val="18"/>
                <w:szCs w:val="18"/>
              </w:rPr>
              <w:t>产量</w:t>
            </w:r>
          </w:p>
        </w:tc>
        <w:tc>
          <w:tcPr>
            <w:tcW w:w="1276" w:type="dxa"/>
            <w:tcBorders>
              <w:top w:val="single" w:color="auto" w:sz="4" w:space="0"/>
              <w:left w:val="nil"/>
              <w:bottom w:val="single" w:color="auto" w:sz="4" w:space="0"/>
              <w:right w:val="single" w:color="auto" w:sz="4" w:space="0"/>
            </w:tcBorders>
            <w:shd w:val="clear" w:color="auto" w:fill="auto"/>
            <w:noWrap/>
          </w:tcPr>
          <w:p>
            <w:pPr>
              <w:jc w:val="center"/>
              <w:rPr>
                <w:rFonts w:asciiTheme="minorEastAsia" w:hAnsiTheme="minorEastAsia"/>
                <w:sz w:val="18"/>
                <w:szCs w:val="18"/>
              </w:rPr>
            </w:pPr>
            <w:r>
              <w:rPr>
                <w:rFonts w:hint="eastAsia" w:asciiTheme="minorEastAsia" w:hAnsiTheme="minorEastAsia"/>
                <w:sz w:val="18"/>
                <w:szCs w:val="18"/>
              </w:rPr>
              <w:t>销售量</w:t>
            </w:r>
          </w:p>
        </w:tc>
        <w:tc>
          <w:tcPr>
            <w:tcW w:w="1559" w:type="dxa"/>
            <w:tcBorders>
              <w:top w:val="single" w:color="auto" w:sz="4" w:space="0"/>
              <w:left w:val="nil"/>
              <w:bottom w:val="single" w:color="auto" w:sz="4" w:space="0"/>
              <w:right w:val="single" w:color="auto" w:sz="4" w:space="0"/>
            </w:tcBorders>
            <w:shd w:val="clear" w:color="auto" w:fill="auto"/>
            <w:noWrap/>
          </w:tcPr>
          <w:p>
            <w:pPr>
              <w:jc w:val="center"/>
              <w:rPr>
                <w:rFonts w:asciiTheme="minorEastAsia" w:hAnsiTheme="minorEastAsia"/>
                <w:sz w:val="18"/>
                <w:szCs w:val="18"/>
              </w:rPr>
            </w:pPr>
            <w:r>
              <w:rPr>
                <w:rFonts w:hint="eastAsia" w:asciiTheme="minorEastAsia" w:hAnsiTheme="minorEastAsia"/>
                <w:sz w:val="18"/>
                <w:szCs w:val="18"/>
              </w:rPr>
              <w:t>营业收入（万元）</w:t>
            </w:r>
          </w:p>
        </w:tc>
        <w:tc>
          <w:tcPr>
            <w:tcW w:w="1560" w:type="dxa"/>
            <w:tcBorders>
              <w:top w:val="single" w:color="auto" w:sz="4" w:space="0"/>
              <w:left w:val="nil"/>
              <w:bottom w:val="single" w:color="auto" w:sz="4" w:space="0"/>
              <w:right w:val="single" w:color="auto" w:sz="4" w:space="0"/>
            </w:tcBorders>
            <w:shd w:val="clear" w:color="auto" w:fill="auto"/>
            <w:noWrap/>
          </w:tcPr>
          <w:p>
            <w:pPr>
              <w:jc w:val="center"/>
              <w:rPr>
                <w:rFonts w:asciiTheme="minorEastAsia" w:hAnsiTheme="minorEastAsia"/>
                <w:sz w:val="18"/>
                <w:szCs w:val="18"/>
              </w:rPr>
            </w:pPr>
            <w:r>
              <w:rPr>
                <w:rFonts w:hint="eastAsia" w:asciiTheme="minorEastAsia" w:hAnsiTheme="minorEastAsia"/>
                <w:sz w:val="18"/>
                <w:szCs w:val="18"/>
              </w:rPr>
              <w:t>营业成本（万元）</w:t>
            </w:r>
          </w:p>
        </w:tc>
        <w:tc>
          <w:tcPr>
            <w:tcW w:w="850" w:type="dxa"/>
            <w:tcBorders>
              <w:top w:val="single" w:color="auto" w:sz="4" w:space="0"/>
              <w:left w:val="nil"/>
              <w:bottom w:val="single" w:color="auto" w:sz="4" w:space="0"/>
              <w:right w:val="single" w:color="auto" w:sz="4" w:space="0"/>
            </w:tcBorders>
            <w:shd w:val="clear" w:color="auto" w:fill="auto"/>
          </w:tcPr>
          <w:p>
            <w:pPr>
              <w:jc w:val="center"/>
              <w:rPr>
                <w:rFonts w:asciiTheme="minorEastAsia" w:hAnsiTheme="minorEastAsia"/>
                <w:sz w:val="18"/>
                <w:szCs w:val="18"/>
              </w:rPr>
            </w:pPr>
            <w:r>
              <w:rPr>
                <w:rFonts w:hint="eastAsia" w:asciiTheme="minorEastAsia" w:hAnsiTheme="minorEastAsia"/>
                <w:sz w:val="18"/>
                <w:szCs w:val="18"/>
              </w:rPr>
              <w:t>毛利率</w:t>
            </w:r>
          </w:p>
        </w:tc>
      </w:tr>
      <w:tr>
        <w:tblPrEx>
          <w:tblCellMar>
            <w:top w:w="0" w:type="dxa"/>
            <w:left w:w="108" w:type="dxa"/>
            <w:bottom w:w="0" w:type="dxa"/>
            <w:right w:w="108" w:type="dxa"/>
          </w:tblCellMar>
        </w:tblPrEx>
        <w:trPr>
          <w:trHeight w:val="280" w:hRule="atLeast"/>
        </w:trPr>
        <w:tc>
          <w:tcPr>
            <w:tcW w:w="165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Theme="minorEastAsia" w:hAnsiTheme="minorEastAsia"/>
                <w:sz w:val="18"/>
                <w:szCs w:val="18"/>
              </w:rPr>
            </w:pPr>
            <w:r>
              <w:rPr>
                <w:rFonts w:asciiTheme="minorEastAsia" w:hAnsiTheme="minorEastAsia"/>
                <w:sz w:val="18"/>
                <w:szCs w:val="18"/>
              </w:rPr>
              <w:t>匹多莫德口服溶液（万盒）</w:t>
            </w: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2022年度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325.84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338.89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10,015.89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2,774.04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72.30%</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2021年度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332.18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310.26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8,718.</w:t>
            </w:r>
            <w:r>
              <w:rPr>
                <w:rFonts w:asciiTheme="minorEastAsia" w:hAnsiTheme="minorEastAsia"/>
                <w:sz w:val="18"/>
                <w:szCs w:val="18"/>
              </w:rPr>
              <w:t>8</w:t>
            </w:r>
            <w:r>
              <w:rPr>
                <w:rFonts w:hint="eastAsia" w:asciiTheme="minorEastAsia" w:hAnsiTheme="minorEastAsia"/>
                <w:sz w:val="18"/>
                <w:szCs w:val="18"/>
              </w:rPr>
              <w:t xml:space="preserve">5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2,482.33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71.53%</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增减额</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-6.34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28.63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1,297.</w:t>
            </w:r>
            <w:r>
              <w:rPr>
                <w:rFonts w:asciiTheme="minorEastAsia" w:hAnsiTheme="minorEastAsia"/>
                <w:sz w:val="18"/>
                <w:szCs w:val="18"/>
              </w:rPr>
              <w:t>0</w:t>
            </w:r>
            <w:r>
              <w:rPr>
                <w:rFonts w:hint="eastAsia" w:asciiTheme="minorEastAsia" w:hAnsiTheme="minorEastAsia"/>
                <w:sz w:val="18"/>
                <w:szCs w:val="18"/>
              </w:rPr>
              <w:t xml:space="preserve">4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291.71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增减比例</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-1.91%</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9.23%</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14.88%</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11.75%</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0.77%</w:t>
            </w:r>
          </w:p>
        </w:tc>
      </w:tr>
      <w:tr>
        <w:tblPrEx>
          <w:tblCellMar>
            <w:top w:w="0" w:type="dxa"/>
            <w:left w:w="108" w:type="dxa"/>
            <w:bottom w:w="0" w:type="dxa"/>
            <w:right w:w="108" w:type="dxa"/>
          </w:tblCellMar>
        </w:tblPrEx>
        <w:trPr>
          <w:trHeight w:val="300" w:hRule="atLeast"/>
        </w:trPr>
        <w:tc>
          <w:tcPr>
            <w:tcW w:w="165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Theme="minorEastAsia" w:hAnsiTheme="minorEastAsia"/>
                <w:sz w:val="18"/>
                <w:szCs w:val="18"/>
              </w:rPr>
            </w:pPr>
            <w:r>
              <w:rPr>
                <w:rFonts w:asciiTheme="minorEastAsia" w:hAnsiTheme="minorEastAsia"/>
                <w:sz w:val="18"/>
                <w:szCs w:val="18"/>
              </w:rPr>
              <w:t>注射用奥美拉唑钠（万瓶）</w:t>
            </w: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2022年度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215.60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273.66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3,193.62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606.51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81.01%</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2021年度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282.68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315.36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4,202.58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634.29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84.91%</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增减额</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-67.08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-41.70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-1,008.96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-27.78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增减比例</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-23.73%</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-13.22%</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-24.01%</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-4.38%</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-3.90%</w:t>
            </w:r>
          </w:p>
        </w:tc>
      </w:tr>
      <w:tr>
        <w:tblPrEx>
          <w:tblCellMar>
            <w:top w:w="0" w:type="dxa"/>
            <w:left w:w="108" w:type="dxa"/>
            <w:bottom w:w="0" w:type="dxa"/>
            <w:right w:w="108" w:type="dxa"/>
          </w:tblCellMar>
        </w:tblPrEx>
        <w:trPr>
          <w:trHeight w:val="280" w:hRule="atLeast"/>
        </w:trPr>
        <w:tc>
          <w:tcPr>
            <w:tcW w:w="165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Theme="minorEastAsia" w:hAnsiTheme="minorEastAsia"/>
                <w:sz w:val="18"/>
                <w:szCs w:val="18"/>
              </w:rPr>
            </w:pPr>
            <w:r>
              <w:rPr>
                <w:rFonts w:asciiTheme="minorEastAsia" w:hAnsiTheme="minorEastAsia"/>
                <w:sz w:val="18"/>
                <w:szCs w:val="18"/>
              </w:rPr>
              <w:t>注射用卡络磺钠（万瓶）</w:t>
            </w: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2022年度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590.15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611.88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3,608.80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784.46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78.26%</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2021年度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713.62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657.05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3,930.73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780.26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80.15%</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增减额</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-123.47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-45.17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-321.93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4.20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增减比例</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-17.30%</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-6.87%</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-8.19%</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0.54%</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-1.89%</w:t>
            </w:r>
          </w:p>
        </w:tc>
      </w:tr>
      <w:tr>
        <w:tblPrEx>
          <w:tblCellMar>
            <w:top w:w="0" w:type="dxa"/>
            <w:left w:w="108" w:type="dxa"/>
            <w:bottom w:w="0" w:type="dxa"/>
            <w:right w:w="108" w:type="dxa"/>
          </w:tblCellMar>
        </w:tblPrEx>
        <w:trPr>
          <w:trHeight w:val="280" w:hRule="atLeast"/>
        </w:trPr>
        <w:tc>
          <w:tcPr>
            <w:tcW w:w="165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Theme="minorEastAsia" w:hAnsiTheme="minorEastAsia"/>
                <w:sz w:val="18"/>
                <w:szCs w:val="18"/>
              </w:rPr>
            </w:pPr>
            <w:r>
              <w:rPr>
                <w:rFonts w:asciiTheme="minorEastAsia" w:hAnsiTheme="minorEastAsia"/>
                <w:sz w:val="18"/>
                <w:szCs w:val="18"/>
              </w:rPr>
              <w:t>重组人粒细胞刺激因子注射液（万瓶）</w:t>
            </w: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2022年度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70.88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1,581.36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168.98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89.31%</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2021年度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160.66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84.06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1,935.90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287.09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85.17%</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增减额</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-160.66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-13.18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-354.54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-118.11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增减比例</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-100.00%</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-15.68%</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-18.31%</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-41.14%</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4.14%</w:t>
            </w:r>
          </w:p>
        </w:tc>
      </w:tr>
      <w:tr>
        <w:tblPrEx>
          <w:tblCellMar>
            <w:top w:w="0" w:type="dxa"/>
            <w:left w:w="108" w:type="dxa"/>
            <w:bottom w:w="0" w:type="dxa"/>
            <w:right w:w="108" w:type="dxa"/>
          </w:tblCellMar>
        </w:tblPrEx>
        <w:trPr>
          <w:trHeight w:val="280" w:hRule="atLeast"/>
        </w:trPr>
        <w:tc>
          <w:tcPr>
            <w:tcW w:w="165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Theme="minorEastAsia" w:hAnsiTheme="minorEastAsia"/>
                <w:sz w:val="18"/>
                <w:szCs w:val="18"/>
              </w:rPr>
            </w:pPr>
            <w:r>
              <w:rPr>
                <w:rFonts w:asciiTheme="minorEastAsia" w:hAnsiTheme="minorEastAsia"/>
                <w:sz w:val="18"/>
                <w:szCs w:val="18"/>
              </w:rPr>
              <w:t>盐酸曲美他嗪片（万盒）</w:t>
            </w: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2022年度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787.40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798.94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2,010.52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1,859.81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7.50%</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2021年度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878.89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832.57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2,073.53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2,313.14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-11.56%</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增减额</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-91.49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-33.63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-63.01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-453.32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增减比例</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-10.41%</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-4.04%</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-3.04%</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-19.60%</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19.05%</w:t>
            </w:r>
          </w:p>
        </w:tc>
      </w:tr>
      <w:tr>
        <w:tblPrEx>
          <w:tblCellMar>
            <w:top w:w="0" w:type="dxa"/>
            <w:left w:w="108" w:type="dxa"/>
            <w:bottom w:w="0" w:type="dxa"/>
            <w:right w:w="108" w:type="dxa"/>
          </w:tblCellMar>
        </w:tblPrEx>
        <w:trPr>
          <w:trHeight w:val="280" w:hRule="atLeast"/>
        </w:trPr>
        <w:tc>
          <w:tcPr>
            <w:tcW w:w="165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Theme="minorEastAsia" w:hAnsiTheme="minorEastAsia"/>
                <w:sz w:val="18"/>
                <w:szCs w:val="18"/>
              </w:rPr>
            </w:pPr>
            <w:r>
              <w:rPr>
                <w:rFonts w:asciiTheme="minorEastAsia" w:hAnsiTheme="minorEastAsia"/>
                <w:sz w:val="18"/>
                <w:szCs w:val="18"/>
              </w:rPr>
              <w:t>美索巴莫注射液（万支）</w:t>
            </w: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2022年度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232.74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246.71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18,676.54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2,185.56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88.30%</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2021年度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273.21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221.08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16,936.31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2,336.27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86.21%</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增减额</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-40.47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25.63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1,740.23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-150.71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增减比例</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-14.81%</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11.59%</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10.28%</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-6.45%</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2.09%</w:t>
            </w:r>
          </w:p>
        </w:tc>
      </w:tr>
      <w:tr>
        <w:tblPrEx>
          <w:tblCellMar>
            <w:top w:w="0" w:type="dxa"/>
            <w:left w:w="108" w:type="dxa"/>
            <w:bottom w:w="0" w:type="dxa"/>
            <w:right w:w="108" w:type="dxa"/>
          </w:tblCellMar>
        </w:tblPrEx>
        <w:trPr>
          <w:trHeight w:val="280" w:hRule="atLeast"/>
        </w:trPr>
        <w:tc>
          <w:tcPr>
            <w:tcW w:w="165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Theme="minorEastAsia" w:hAnsiTheme="minorEastAsia"/>
                <w:sz w:val="18"/>
                <w:szCs w:val="18"/>
              </w:rPr>
            </w:pPr>
            <w:r>
              <w:rPr>
                <w:rFonts w:asciiTheme="minorEastAsia" w:hAnsiTheme="minorEastAsia"/>
                <w:sz w:val="18"/>
                <w:szCs w:val="18"/>
              </w:rPr>
              <w:t>注射用兰索拉唑（万瓶）</w:t>
            </w: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2022年度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9.83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2.42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34.71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4.86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86.00%</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2021年度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31.99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78.68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999.26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261.91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73.79%</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增减额</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-22.16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-76.26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-964.55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-257.05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增减比例</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-69.27%</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-96.92%</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-96.53%</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-98.15%</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12.21%</w:t>
            </w:r>
          </w:p>
        </w:tc>
      </w:tr>
      <w:tr>
        <w:tblPrEx>
          <w:tblCellMar>
            <w:top w:w="0" w:type="dxa"/>
            <w:left w:w="108" w:type="dxa"/>
            <w:bottom w:w="0" w:type="dxa"/>
            <w:right w:w="108" w:type="dxa"/>
          </w:tblCellMar>
        </w:tblPrEx>
        <w:trPr>
          <w:trHeight w:val="280" w:hRule="atLeast"/>
        </w:trPr>
        <w:tc>
          <w:tcPr>
            <w:tcW w:w="165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Theme="minorEastAsia" w:hAnsiTheme="minorEastAsia"/>
                <w:sz w:val="18"/>
                <w:szCs w:val="18"/>
              </w:rPr>
            </w:pPr>
            <w:r>
              <w:rPr>
                <w:rFonts w:asciiTheme="minorEastAsia" w:hAnsiTheme="minorEastAsia"/>
                <w:sz w:val="18"/>
                <w:szCs w:val="18"/>
              </w:rPr>
              <w:t>盐酸阿比多尔片（万盒）</w:t>
            </w: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2022年度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494.64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522.20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7,324.29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1,696.28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76.84%</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2021年度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153.83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105.51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1,566.30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355.14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77.33%</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增减额</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340.81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416.69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5,757.99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1,341.13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增减比例</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221.55%</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394.93%</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367.62%</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377.63%</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-0.49%</w:t>
            </w:r>
          </w:p>
        </w:tc>
      </w:tr>
      <w:tr>
        <w:tblPrEx>
          <w:tblCellMar>
            <w:top w:w="0" w:type="dxa"/>
            <w:left w:w="108" w:type="dxa"/>
            <w:bottom w:w="0" w:type="dxa"/>
            <w:right w:w="108" w:type="dxa"/>
          </w:tblCellMar>
        </w:tblPrEx>
        <w:trPr>
          <w:trHeight w:val="280" w:hRule="atLeast"/>
        </w:trPr>
        <w:tc>
          <w:tcPr>
            <w:tcW w:w="165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Theme="minorEastAsia" w:hAnsiTheme="minorEastAsia"/>
                <w:sz w:val="18"/>
                <w:szCs w:val="18"/>
              </w:rPr>
            </w:pPr>
            <w:r>
              <w:rPr>
                <w:rFonts w:asciiTheme="minorEastAsia" w:hAnsiTheme="minorEastAsia"/>
                <w:sz w:val="18"/>
                <w:szCs w:val="18"/>
              </w:rPr>
              <w:t>注射用普罗碘铵（万瓶）</w:t>
            </w: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2022年度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69.99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53.23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6,079.14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289.15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95.24%</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2021年度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32.97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35.71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4,138.60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202.63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95.10%</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增减额</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37.02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17.52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1,940.54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86.52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增减比例</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112.28%</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49.06%</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46.89%</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42.70%</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0.14%</w:t>
            </w:r>
          </w:p>
        </w:tc>
      </w:tr>
      <w:tr>
        <w:tblPrEx>
          <w:tblCellMar>
            <w:top w:w="0" w:type="dxa"/>
            <w:left w:w="108" w:type="dxa"/>
            <w:bottom w:w="0" w:type="dxa"/>
            <w:right w:w="108" w:type="dxa"/>
          </w:tblCellMar>
        </w:tblPrEx>
        <w:trPr>
          <w:trHeight w:val="280" w:hRule="atLeast"/>
        </w:trPr>
        <w:tc>
          <w:tcPr>
            <w:tcW w:w="165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Theme="minorEastAsia" w:hAnsiTheme="minorEastAsia"/>
                <w:sz w:val="18"/>
                <w:szCs w:val="18"/>
              </w:rPr>
            </w:pPr>
            <w:r>
              <w:rPr>
                <w:rFonts w:asciiTheme="minorEastAsia" w:hAnsiTheme="minorEastAsia"/>
                <w:sz w:val="18"/>
                <w:szCs w:val="18"/>
              </w:rPr>
              <w:t>其他</w:t>
            </w: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2022年度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14,694.36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7,197.09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51.02%</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2021年度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16,967.11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7,574.36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55.36%</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增减额</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   </w:t>
            </w: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   </w:t>
            </w: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-2,272.75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-377.27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增减比例</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highlight w:val="yellow"/>
              </w:rPr>
            </w:pP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highlight w:val="yellow"/>
              </w:rPr>
            </w:pP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-13.40%</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-4.98%</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-4.34%</w:t>
            </w:r>
          </w:p>
        </w:tc>
      </w:tr>
      <w:tr>
        <w:tblPrEx>
          <w:tblCellMar>
            <w:top w:w="0" w:type="dxa"/>
            <w:left w:w="108" w:type="dxa"/>
            <w:bottom w:w="0" w:type="dxa"/>
            <w:right w:w="108" w:type="dxa"/>
          </w:tblCellMar>
        </w:tblPrEx>
        <w:trPr>
          <w:trHeight w:val="280" w:hRule="atLeast"/>
        </w:trPr>
        <w:tc>
          <w:tcPr>
            <w:tcW w:w="1659" w:type="dxa"/>
            <w:vMerge w:val="restart"/>
            <w:tcBorders>
              <w:top w:val="nil"/>
              <w:left w:val="single" w:color="auto" w:sz="4" w:space="0"/>
              <w:bottom w:val="single" w:color="000000" w:sz="4" w:space="0"/>
              <w:right w:val="single" w:color="auto" w:sz="4" w:space="0"/>
            </w:tcBorders>
            <w:shd w:val="clear" w:color="auto" w:fill="auto"/>
            <w:vAlign w:val="center"/>
          </w:tcPr>
          <w:p>
            <w:pPr>
              <w:rPr>
                <w:rFonts w:asciiTheme="minorEastAsia" w:hAnsiTheme="minorEastAsia"/>
                <w:sz w:val="18"/>
                <w:szCs w:val="18"/>
              </w:rPr>
            </w:pPr>
            <w:r>
              <w:rPr>
                <w:rFonts w:asciiTheme="minorEastAsia" w:hAnsiTheme="minorEastAsia"/>
                <w:sz w:val="18"/>
                <w:szCs w:val="18"/>
              </w:rPr>
              <w:t>合计</w:t>
            </w: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2022年度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highlight w:val="yellow"/>
              </w:rPr>
            </w:pP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highlight w:val="yellow"/>
              </w:rPr>
            </w:pP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67,219.24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17,566.74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73.87%</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2021年度</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highlight w:val="yellow"/>
              </w:rPr>
            </w:pP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highlight w:val="yellow"/>
              </w:rPr>
            </w:pP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61,256.88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17,227.43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71.88%</w:t>
            </w: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增减额</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highlight w:val="yellow"/>
              </w:rPr>
            </w:pP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highlight w:val="yellow"/>
              </w:rPr>
            </w:pP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5,962.36 </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 xml:space="preserve"> 339.31 </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p>
        </w:tc>
      </w:tr>
      <w:tr>
        <w:tblPrEx>
          <w:tblCellMar>
            <w:top w:w="0" w:type="dxa"/>
            <w:left w:w="108" w:type="dxa"/>
            <w:bottom w:w="0" w:type="dxa"/>
            <w:right w:w="108" w:type="dxa"/>
          </w:tblCellMar>
        </w:tblPrEx>
        <w:trPr>
          <w:trHeight w:val="280" w:hRule="atLeast"/>
        </w:trPr>
        <w:tc>
          <w:tcPr>
            <w:tcW w:w="1659" w:type="dxa"/>
            <w:vMerge w:val="continue"/>
            <w:tcBorders>
              <w:top w:val="nil"/>
              <w:left w:val="single" w:color="auto" w:sz="4" w:space="0"/>
              <w:bottom w:val="single" w:color="000000" w:sz="4" w:space="0"/>
              <w:right w:val="single" w:color="auto" w:sz="4" w:space="0"/>
            </w:tcBorders>
            <w:vAlign w:val="center"/>
          </w:tcPr>
          <w:p>
            <w:pPr>
              <w:rPr>
                <w:rFonts w:asciiTheme="minorEastAsia" w:hAnsiTheme="minorEastAsia"/>
                <w:sz w:val="18"/>
                <w:szCs w:val="18"/>
              </w:rPr>
            </w:pPr>
          </w:p>
        </w:tc>
        <w:tc>
          <w:tcPr>
            <w:tcW w:w="1134" w:type="dxa"/>
            <w:tcBorders>
              <w:top w:val="nil"/>
              <w:left w:val="nil"/>
              <w:bottom w:val="single" w:color="auto" w:sz="4" w:space="0"/>
              <w:right w:val="single" w:color="auto" w:sz="4" w:space="0"/>
            </w:tcBorders>
            <w:shd w:val="clear" w:color="auto" w:fill="auto"/>
          </w:tcPr>
          <w:p>
            <w:pPr>
              <w:rPr>
                <w:rFonts w:asciiTheme="minorEastAsia" w:hAnsiTheme="minorEastAsia"/>
                <w:sz w:val="18"/>
                <w:szCs w:val="18"/>
              </w:rPr>
            </w:pPr>
            <w:r>
              <w:rPr>
                <w:rFonts w:hint="eastAsia" w:asciiTheme="minorEastAsia" w:hAnsiTheme="minorEastAsia"/>
                <w:sz w:val="18"/>
                <w:szCs w:val="18"/>
              </w:rPr>
              <w:t>增减比例</w:t>
            </w:r>
          </w:p>
        </w:tc>
        <w:tc>
          <w:tcPr>
            <w:tcW w:w="1275"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highlight w:val="yellow"/>
              </w:rPr>
            </w:pPr>
          </w:p>
        </w:tc>
        <w:tc>
          <w:tcPr>
            <w:tcW w:w="1276"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highlight w:val="yellow"/>
              </w:rPr>
            </w:pPr>
          </w:p>
        </w:tc>
        <w:tc>
          <w:tcPr>
            <w:tcW w:w="1559"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9.73%</w:t>
            </w:r>
          </w:p>
        </w:tc>
        <w:tc>
          <w:tcPr>
            <w:tcW w:w="1560" w:type="dxa"/>
            <w:tcBorders>
              <w:top w:val="nil"/>
              <w:left w:val="nil"/>
              <w:bottom w:val="single" w:color="auto" w:sz="4" w:space="0"/>
              <w:right w:val="single" w:color="auto" w:sz="4" w:space="0"/>
            </w:tcBorders>
            <w:shd w:val="clear" w:color="auto" w:fill="auto"/>
            <w:vAlign w:val="center"/>
          </w:tcPr>
          <w:p>
            <w:pPr>
              <w:jc w:val="right"/>
              <w:rPr>
                <w:rFonts w:asciiTheme="minorEastAsia" w:hAnsiTheme="minorEastAsia"/>
                <w:sz w:val="18"/>
                <w:szCs w:val="18"/>
              </w:rPr>
            </w:pPr>
            <w:r>
              <w:rPr>
                <w:rFonts w:hint="eastAsia" w:asciiTheme="minorEastAsia" w:hAnsiTheme="minorEastAsia"/>
                <w:sz w:val="18"/>
                <w:szCs w:val="18"/>
              </w:rPr>
              <w:t>1.97%</w:t>
            </w:r>
          </w:p>
        </w:tc>
        <w:tc>
          <w:tcPr>
            <w:tcW w:w="850" w:type="dxa"/>
            <w:tcBorders>
              <w:top w:val="nil"/>
              <w:left w:val="nil"/>
              <w:bottom w:val="single" w:color="auto" w:sz="4" w:space="0"/>
              <w:right w:val="single" w:color="auto" w:sz="4" w:space="0"/>
            </w:tcBorders>
            <w:vAlign w:val="center"/>
          </w:tcPr>
          <w:p>
            <w:pPr>
              <w:jc w:val="right"/>
              <w:rPr>
                <w:rFonts w:asciiTheme="minorEastAsia" w:hAnsiTheme="minorEastAsia"/>
                <w:sz w:val="18"/>
                <w:szCs w:val="18"/>
              </w:rPr>
            </w:pPr>
            <w:r>
              <w:rPr>
                <w:rFonts w:hint="eastAsia" w:asciiTheme="minorEastAsia" w:hAnsiTheme="minorEastAsia"/>
                <w:sz w:val="18"/>
                <w:szCs w:val="18"/>
              </w:rPr>
              <w:t>1.99%</w:t>
            </w:r>
          </w:p>
        </w:tc>
      </w:tr>
    </w:tbl>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上表显示，公司2022年度医药工业销售较2021年度增长5,962.36万元，</w:t>
      </w:r>
      <w:r>
        <w:rPr>
          <w:rFonts w:hint="eastAsia" w:asciiTheme="minorEastAsia" w:hAnsiTheme="minorEastAsia"/>
          <w:sz w:val="24"/>
          <w:szCs w:val="24"/>
        </w:rPr>
        <w:t>涨幅</w:t>
      </w:r>
      <w:r>
        <w:rPr>
          <w:rFonts w:asciiTheme="minorEastAsia" w:hAnsiTheme="minorEastAsia"/>
          <w:sz w:val="24"/>
          <w:szCs w:val="24"/>
        </w:rPr>
        <w:t>9.73%，主要</w:t>
      </w:r>
      <w:r>
        <w:rPr>
          <w:rFonts w:hint="eastAsia" w:asciiTheme="minorEastAsia" w:hAnsiTheme="minorEastAsia"/>
          <w:sz w:val="24"/>
          <w:szCs w:val="24"/>
        </w:rPr>
        <w:t>原因</w:t>
      </w:r>
      <w:r>
        <w:rPr>
          <w:rFonts w:asciiTheme="minorEastAsia" w:hAnsiTheme="minorEastAsia"/>
          <w:sz w:val="24"/>
          <w:szCs w:val="24"/>
        </w:rPr>
        <w:t>为年底</w:t>
      </w:r>
      <w:r>
        <w:rPr>
          <w:rFonts w:hint="eastAsia" w:asciiTheme="minorEastAsia" w:hAnsiTheme="minorEastAsia"/>
          <w:sz w:val="24"/>
          <w:szCs w:val="24"/>
        </w:rPr>
        <w:t>地域</w:t>
      </w:r>
      <w:r>
        <w:rPr>
          <w:rFonts w:asciiTheme="minorEastAsia" w:hAnsiTheme="minorEastAsia"/>
          <w:sz w:val="24"/>
          <w:szCs w:val="24"/>
        </w:rPr>
        <w:t>管控放开，公司抗病毒产品盐酸阿比多尔片需求</w:t>
      </w:r>
      <w:r>
        <w:rPr>
          <w:rFonts w:hint="eastAsia" w:asciiTheme="minorEastAsia" w:hAnsiTheme="minorEastAsia"/>
          <w:sz w:val="24"/>
          <w:szCs w:val="24"/>
        </w:rPr>
        <w:t>量</w:t>
      </w:r>
      <w:r>
        <w:rPr>
          <w:rFonts w:asciiTheme="minorEastAsia" w:hAnsiTheme="minorEastAsia"/>
          <w:sz w:val="24"/>
          <w:szCs w:val="24"/>
        </w:rPr>
        <w:t>大幅增加；公司独家品种美索巴莫注射液、注射用普罗碘铵</w:t>
      </w:r>
      <w:r>
        <w:rPr>
          <w:rFonts w:hint="eastAsia" w:asciiTheme="minorEastAsia" w:hAnsiTheme="minorEastAsia"/>
          <w:sz w:val="24"/>
          <w:szCs w:val="24"/>
        </w:rPr>
        <w:t>随着</w:t>
      </w:r>
      <w:r>
        <w:rPr>
          <w:rFonts w:asciiTheme="minorEastAsia" w:hAnsiTheme="minorEastAsia"/>
          <w:sz w:val="24"/>
          <w:szCs w:val="24"/>
        </w:rPr>
        <w:t>学术推广力度加大</w:t>
      </w:r>
      <w:r>
        <w:rPr>
          <w:rFonts w:hint="eastAsia" w:asciiTheme="minorEastAsia" w:hAnsiTheme="minorEastAsia"/>
          <w:sz w:val="24"/>
          <w:szCs w:val="24"/>
        </w:rPr>
        <w:t>，相应的</w:t>
      </w:r>
      <w:r>
        <w:rPr>
          <w:rFonts w:asciiTheme="minorEastAsia" w:hAnsiTheme="minorEastAsia"/>
          <w:sz w:val="24"/>
          <w:szCs w:val="24"/>
        </w:rPr>
        <w:t>销售</w:t>
      </w:r>
      <w:r>
        <w:rPr>
          <w:rFonts w:hint="eastAsia" w:asciiTheme="minorEastAsia" w:hAnsiTheme="minorEastAsia"/>
          <w:sz w:val="24"/>
          <w:szCs w:val="24"/>
        </w:rPr>
        <w:t>量有所</w:t>
      </w:r>
      <w:r>
        <w:rPr>
          <w:rFonts w:asciiTheme="minorEastAsia" w:hAnsiTheme="minorEastAsia"/>
          <w:sz w:val="24"/>
          <w:szCs w:val="24"/>
        </w:rPr>
        <w:t>增长。</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3、量化分析报告期亏损的具体原因</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2022年度</w:t>
      </w:r>
      <w:r>
        <w:rPr>
          <w:rFonts w:hint="eastAsia" w:asciiTheme="minorEastAsia" w:hAnsiTheme="minorEastAsia"/>
          <w:sz w:val="24"/>
          <w:szCs w:val="24"/>
        </w:rPr>
        <w:t>公司</w:t>
      </w:r>
      <w:r>
        <w:rPr>
          <w:rFonts w:asciiTheme="minorEastAsia" w:hAnsiTheme="minorEastAsia"/>
          <w:sz w:val="24"/>
          <w:szCs w:val="24"/>
        </w:rPr>
        <w:t>各业务板块相关财务数据如下：</w:t>
      </w:r>
    </w:p>
    <w:p>
      <w:pPr>
        <w:tabs>
          <w:tab w:val="left" w:pos="567"/>
        </w:tabs>
        <w:spacing w:line="360" w:lineRule="auto"/>
        <w:ind w:left="424" w:leftChars="202" w:firstLine="480" w:firstLineChars="200"/>
        <w:jc w:val="right"/>
        <w:rPr>
          <w:rFonts w:asciiTheme="minorEastAsia" w:hAnsiTheme="minorEastAsia"/>
          <w:sz w:val="24"/>
          <w:szCs w:val="24"/>
        </w:rPr>
      </w:pPr>
      <w:r>
        <w:rPr>
          <w:rFonts w:hint="eastAsia" w:asciiTheme="minorEastAsia" w:hAnsiTheme="minorEastAsia"/>
          <w:sz w:val="24"/>
          <w:szCs w:val="24"/>
        </w:rPr>
        <w:t>单位：万元</w:t>
      </w:r>
    </w:p>
    <w:tbl>
      <w:tblPr>
        <w:tblStyle w:val="8"/>
        <w:tblW w:w="4952" w:type="pct"/>
        <w:tblInd w:w="0" w:type="dxa"/>
        <w:tblLayout w:type="autofit"/>
        <w:tblCellMar>
          <w:top w:w="0" w:type="dxa"/>
          <w:left w:w="108" w:type="dxa"/>
          <w:bottom w:w="0" w:type="dxa"/>
          <w:right w:w="108" w:type="dxa"/>
        </w:tblCellMar>
      </w:tblPr>
      <w:tblGrid>
        <w:gridCol w:w="2215"/>
        <w:gridCol w:w="1266"/>
        <w:gridCol w:w="1266"/>
        <w:gridCol w:w="1161"/>
        <w:gridCol w:w="1266"/>
        <w:gridCol w:w="1266"/>
      </w:tblGrid>
      <w:tr>
        <w:tblPrEx>
          <w:tblCellMar>
            <w:top w:w="0" w:type="dxa"/>
            <w:left w:w="108" w:type="dxa"/>
            <w:bottom w:w="0" w:type="dxa"/>
            <w:right w:w="108" w:type="dxa"/>
          </w:tblCellMar>
        </w:tblPrEx>
        <w:trPr>
          <w:trHeight w:val="290" w:hRule="atLeast"/>
        </w:trPr>
        <w:tc>
          <w:tcPr>
            <w:tcW w:w="1436" w:type="pct"/>
            <w:tcBorders>
              <w:top w:val="single" w:color="auto" w:sz="4" w:space="0"/>
              <w:left w:val="single" w:color="auto" w:sz="4" w:space="0"/>
              <w:bottom w:val="single" w:color="auto" w:sz="4" w:space="0"/>
              <w:right w:val="single" w:color="auto" w:sz="4" w:space="0"/>
            </w:tcBorders>
            <w:shd w:val="clear" w:color="auto" w:fill="auto"/>
            <w:noWrap/>
            <w:vAlign w:val="bottom"/>
          </w:tcPr>
          <w:p>
            <w:pPr>
              <w:jc w:val="left"/>
              <w:rPr>
                <w:rFonts w:asciiTheme="minorEastAsia" w:hAnsiTheme="minorEastAsia"/>
                <w:szCs w:val="21"/>
              </w:rPr>
            </w:pPr>
            <w:r>
              <w:rPr>
                <w:rFonts w:asciiTheme="minorEastAsia" w:hAnsiTheme="minorEastAsia"/>
                <w:szCs w:val="21"/>
              </w:rPr>
              <w:t>项目</w:t>
            </w:r>
          </w:p>
        </w:tc>
        <w:tc>
          <w:tcPr>
            <w:tcW w:w="713" w:type="pct"/>
            <w:tcBorders>
              <w:top w:val="single" w:color="auto" w:sz="4" w:space="0"/>
              <w:left w:val="nil"/>
              <w:bottom w:val="single" w:color="auto" w:sz="4" w:space="0"/>
              <w:right w:val="single" w:color="auto" w:sz="4" w:space="0"/>
            </w:tcBorders>
            <w:shd w:val="clear" w:color="auto" w:fill="auto"/>
            <w:noWrap/>
            <w:vAlign w:val="bottom"/>
          </w:tcPr>
          <w:p>
            <w:pPr>
              <w:jc w:val="left"/>
              <w:rPr>
                <w:rFonts w:asciiTheme="minorEastAsia" w:hAnsiTheme="minorEastAsia"/>
                <w:szCs w:val="21"/>
              </w:rPr>
            </w:pPr>
            <w:r>
              <w:rPr>
                <w:rFonts w:hint="eastAsia" w:asciiTheme="minorEastAsia" w:hAnsiTheme="minorEastAsia"/>
                <w:szCs w:val="21"/>
              </w:rPr>
              <w:t>本级母公司</w:t>
            </w:r>
          </w:p>
        </w:tc>
        <w:tc>
          <w:tcPr>
            <w:tcW w:w="767" w:type="pct"/>
            <w:tcBorders>
              <w:top w:val="single" w:color="auto" w:sz="4" w:space="0"/>
              <w:left w:val="nil"/>
              <w:bottom w:val="single" w:color="auto" w:sz="4" w:space="0"/>
              <w:right w:val="single" w:color="auto" w:sz="4" w:space="0"/>
            </w:tcBorders>
            <w:shd w:val="clear" w:color="auto" w:fill="auto"/>
            <w:noWrap/>
            <w:vAlign w:val="bottom"/>
          </w:tcPr>
          <w:p>
            <w:pPr>
              <w:jc w:val="left"/>
              <w:rPr>
                <w:rFonts w:asciiTheme="minorEastAsia" w:hAnsiTheme="minorEastAsia"/>
                <w:szCs w:val="21"/>
              </w:rPr>
            </w:pPr>
            <w:r>
              <w:rPr>
                <w:rFonts w:asciiTheme="minorEastAsia" w:hAnsiTheme="minorEastAsia"/>
                <w:szCs w:val="21"/>
              </w:rPr>
              <w:t>医药</w:t>
            </w:r>
          </w:p>
        </w:tc>
        <w:tc>
          <w:tcPr>
            <w:tcW w:w="646" w:type="pct"/>
            <w:tcBorders>
              <w:top w:val="single" w:color="auto" w:sz="4" w:space="0"/>
              <w:left w:val="nil"/>
              <w:bottom w:val="single" w:color="auto" w:sz="4" w:space="0"/>
              <w:right w:val="single" w:color="auto" w:sz="4" w:space="0"/>
            </w:tcBorders>
            <w:shd w:val="clear" w:color="auto" w:fill="auto"/>
            <w:noWrap/>
            <w:vAlign w:val="center"/>
          </w:tcPr>
          <w:p>
            <w:pPr>
              <w:jc w:val="left"/>
              <w:rPr>
                <w:rFonts w:asciiTheme="minorEastAsia" w:hAnsiTheme="minorEastAsia"/>
                <w:szCs w:val="21"/>
              </w:rPr>
            </w:pPr>
            <w:r>
              <w:rPr>
                <w:rFonts w:asciiTheme="minorEastAsia" w:hAnsiTheme="minorEastAsia"/>
                <w:szCs w:val="21"/>
              </w:rPr>
              <w:t>贸易</w:t>
            </w:r>
          </w:p>
        </w:tc>
        <w:tc>
          <w:tcPr>
            <w:tcW w:w="679" w:type="pct"/>
            <w:tcBorders>
              <w:top w:val="single" w:color="auto" w:sz="4" w:space="0"/>
              <w:left w:val="nil"/>
              <w:bottom w:val="single" w:color="auto" w:sz="4" w:space="0"/>
              <w:right w:val="single" w:color="auto" w:sz="4" w:space="0"/>
            </w:tcBorders>
            <w:shd w:val="clear" w:color="auto" w:fill="auto"/>
            <w:noWrap/>
            <w:vAlign w:val="center"/>
          </w:tcPr>
          <w:p>
            <w:pPr>
              <w:jc w:val="left"/>
              <w:rPr>
                <w:rFonts w:asciiTheme="minorEastAsia" w:hAnsiTheme="minorEastAsia"/>
                <w:szCs w:val="21"/>
              </w:rPr>
            </w:pPr>
            <w:r>
              <w:rPr>
                <w:rFonts w:asciiTheme="minorEastAsia" w:hAnsiTheme="minorEastAsia"/>
                <w:szCs w:val="21"/>
              </w:rPr>
              <w:t>其他</w:t>
            </w:r>
          </w:p>
        </w:tc>
        <w:tc>
          <w:tcPr>
            <w:tcW w:w="759" w:type="pct"/>
            <w:tcBorders>
              <w:top w:val="single" w:color="auto" w:sz="4" w:space="0"/>
              <w:left w:val="nil"/>
              <w:bottom w:val="single" w:color="auto" w:sz="4" w:space="0"/>
              <w:right w:val="single" w:color="auto" w:sz="4" w:space="0"/>
            </w:tcBorders>
            <w:shd w:val="clear" w:color="auto" w:fill="auto"/>
            <w:noWrap/>
            <w:vAlign w:val="center"/>
          </w:tcPr>
          <w:p>
            <w:pPr>
              <w:jc w:val="left"/>
              <w:rPr>
                <w:rFonts w:asciiTheme="minorEastAsia" w:hAnsiTheme="minorEastAsia"/>
                <w:szCs w:val="21"/>
              </w:rPr>
            </w:pPr>
            <w:r>
              <w:rPr>
                <w:rFonts w:asciiTheme="minorEastAsia" w:hAnsiTheme="minorEastAsia"/>
                <w:szCs w:val="21"/>
              </w:rPr>
              <w:t>合计</w:t>
            </w:r>
          </w:p>
        </w:tc>
      </w:tr>
      <w:tr>
        <w:tblPrEx>
          <w:tblCellMar>
            <w:top w:w="0" w:type="dxa"/>
            <w:left w:w="108" w:type="dxa"/>
            <w:bottom w:w="0" w:type="dxa"/>
            <w:right w:w="108" w:type="dxa"/>
          </w:tblCellMar>
        </w:tblPrEx>
        <w:trPr>
          <w:trHeight w:val="290" w:hRule="atLeast"/>
        </w:trPr>
        <w:tc>
          <w:tcPr>
            <w:tcW w:w="1436" w:type="pct"/>
            <w:tcBorders>
              <w:top w:val="nil"/>
              <w:left w:val="single" w:color="auto" w:sz="4" w:space="0"/>
              <w:bottom w:val="single" w:color="auto" w:sz="4" w:space="0"/>
              <w:right w:val="single" w:color="auto" w:sz="4" w:space="0"/>
            </w:tcBorders>
            <w:shd w:val="clear" w:color="auto" w:fill="auto"/>
            <w:noWrap/>
            <w:vAlign w:val="bottom"/>
          </w:tcPr>
          <w:p>
            <w:pPr>
              <w:rPr>
                <w:rFonts w:asciiTheme="minorEastAsia" w:hAnsiTheme="minorEastAsia"/>
                <w:szCs w:val="21"/>
              </w:rPr>
            </w:pPr>
            <w:r>
              <w:rPr>
                <w:rFonts w:asciiTheme="minorEastAsia" w:hAnsiTheme="minorEastAsia"/>
                <w:szCs w:val="21"/>
              </w:rPr>
              <w:t>营业收入</w:t>
            </w:r>
          </w:p>
        </w:tc>
        <w:tc>
          <w:tcPr>
            <w:tcW w:w="71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1,019.19</w:t>
            </w:r>
          </w:p>
        </w:tc>
        <w:tc>
          <w:tcPr>
            <w:tcW w:w="76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142,454.39</w:t>
            </w:r>
          </w:p>
        </w:tc>
        <w:tc>
          <w:tcPr>
            <w:tcW w:w="646"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58,557.81</w:t>
            </w:r>
          </w:p>
        </w:tc>
        <w:tc>
          <w:tcPr>
            <w:tcW w:w="679"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591.90</w:t>
            </w:r>
          </w:p>
        </w:tc>
        <w:tc>
          <w:tcPr>
            <w:tcW w:w="759"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202,623.28</w:t>
            </w:r>
          </w:p>
        </w:tc>
      </w:tr>
      <w:tr>
        <w:tblPrEx>
          <w:tblCellMar>
            <w:top w:w="0" w:type="dxa"/>
            <w:left w:w="108" w:type="dxa"/>
            <w:bottom w:w="0" w:type="dxa"/>
            <w:right w:w="108" w:type="dxa"/>
          </w:tblCellMar>
        </w:tblPrEx>
        <w:trPr>
          <w:trHeight w:val="270" w:hRule="atLeast"/>
        </w:trPr>
        <w:tc>
          <w:tcPr>
            <w:tcW w:w="1436" w:type="pct"/>
            <w:tcBorders>
              <w:top w:val="nil"/>
              <w:left w:val="single" w:color="auto" w:sz="4" w:space="0"/>
              <w:bottom w:val="single" w:color="auto" w:sz="4" w:space="0"/>
              <w:right w:val="single" w:color="auto" w:sz="4" w:space="0"/>
            </w:tcBorders>
            <w:shd w:val="clear" w:color="auto" w:fill="auto"/>
            <w:noWrap/>
            <w:vAlign w:val="bottom"/>
          </w:tcPr>
          <w:p>
            <w:pPr>
              <w:rPr>
                <w:rFonts w:asciiTheme="minorEastAsia" w:hAnsiTheme="minorEastAsia"/>
                <w:szCs w:val="21"/>
              </w:rPr>
            </w:pPr>
            <w:r>
              <w:rPr>
                <w:rFonts w:asciiTheme="minorEastAsia" w:hAnsiTheme="minorEastAsia"/>
                <w:szCs w:val="21"/>
              </w:rPr>
              <w:t>营业成本</w:t>
            </w:r>
          </w:p>
        </w:tc>
        <w:tc>
          <w:tcPr>
            <w:tcW w:w="71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715.60</w:t>
            </w:r>
          </w:p>
        </w:tc>
        <w:tc>
          <w:tcPr>
            <w:tcW w:w="76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87,412.24</w:t>
            </w:r>
          </w:p>
        </w:tc>
        <w:tc>
          <w:tcPr>
            <w:tcW w:w="646"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55,980.88</w:t>
            </w:r>
          </w:p>
        </w:tc>
        <w:tc>
          <w:tcPr>
            <w:tcW w:w="679"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548.41</w:t>
            </w:r>
          </w:p>
        </w:tc>
        <w:tc>
          <w:tcPr>
            <w:tcW w:w="759"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144,657.13</w:t>
            </w:r>
          </w:p>
        </w:tc>
      </w:tr>
      <w:tr>
        <w:tblPrEx>
          <w:tblCellMar>
            <w:top w:w="0" w:type="dxa"/>
            <w:left w:w="108" w:type="dxa"/>
            <w:bottom w:w="0" w:type="dxa"/>
            <w:right w:w="108" w:type="dxa"/>
          </w:tblCellMar>
        </w:tblPrEx>
        <w:trPr>
          <w:trHeight w:val="290" w:hRule="atLeast"/>
        </w:trPr>
        <w:tc>
          <w:tcPr>
            <w:tcW w:w="1436" w:type="pct"/>
            <w:tcBorders>
              <w:top w:val="nil"/>
              <w:left w:val="single" w:color="auto" w:sz="4" w:space="0"/>
              <w:bottom w:val="single" w:color="auto" w:sz="4" w:space="0"/>
              <w:right w:val="single" w:color="auto" w:sz="4" w:space="0"/>
            </w:tcBorders>
            <w:shd w:val="clear" w:color="auto" w:fill="auto"/>
            <w:noWrap/>
            <w:vAlign w:val="bottom"/>
          </w:tcPr>
          <w:p>
            <w:pPr>
              <w:rPr>
                <w:rFonts w:asciiTheme="minorEastAsia" w:hAnsiTheme="minorEastAsia"/>
                <w:szCs w:val="21"/>
              </w:rPr>
            </w:pPr>
            <w:r>
              <w:rPr>
                <w:rFonts w:asciiTheme="minorEastAsia" w:hAnsiTheme="minorEastAsia"/>
                <w:szCs w:val="21"/>
              </w:rPr>
              <w:t>营业毛利</w:t>
            </w:r>
          </w:p>
        </w:tc>
        <w:tc>
          <w:tcPr>
            <w:tcW w:w="71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303.59</w:t>
            </w:r>
          </w:p>
        </w:tc>
        <w:tc>
          <w:tcPr>
            <w:tcW w:w="76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55,042.15</w:t>
            </w:r>
          </w:p>
        </w:tc>
        <w:tc>
          <w:tcPr>
            <w:tcW w:w="646"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2,576.92</w:t>
            </w:r>
          </w:p>
        </w:tc>
        <w:tc>
          <w:tcPr>
            <w:tcW w:w="679"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43.49</w:t>
            </w:r>
          </w:p>
        </w:tc>
        <w:tc>
          <w:tcPr>
            <w:tcW w:w="759"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57,966.15</w:t>
            </w:r>
          </w:p>
        </w:tc>
      </w:tr>
      <w:tr>
        <w:tblPrEx>
          <w:tblCellMar>
            <w:top w:w="0" w:type="dxa"/>
            <w:left w:w="108" w:type="dxa"/>
            <w:bottom w:w="0" w:type="dxa"/>
            <w:right w:w="108" w:type="dxa"/>
          </w:tblCellMar>
        </w:tblPrEx>
        <w:trPr>
          <w:trHeight w:val="290" w:hRule="atLeast"/>
        </w:trPr>
        <w:tc>
          <w:tcPr>
            <w:tcW w:w="1436" w:type="pct"/>
            <w:tcBorders>
              <w:top w:val="nil"/>
              <w:left w:val="single" w:color="auto" w:sz="4" w:space="0"/>
              <w:bottom w:val="single" w:color="auto" w:sz="4" w:space="0"/>
              <w:right w:val="single" w:color="auto" w:sz="4" w:space="0"/>
            </w:tcBorders>
            <w:shd w:val="clear" w:color="auto" w:fill="auto"/>
            <w:noWrap/>
            <w:vAlign w:val="bottom"/>
          </w:tcPr>
          <w:p>
            <w:pPr>
              <w:rPr>
                <w:rFonts w:asciiTheme="minorEastAsia" w:hAnsiTheme="minorEastAsia"/>
                <w:szCs w:val="21"/>
              </w:rPr>
            </w:pPr>
            <w:r>
              <w:rPr>
                <w:rFonts w:asciiTheme="minorEastAsia" w:hAnsiTheme="minorEastAsia"/>
                <w:szCs w:val="21"/>
              </w:rPr>
              <w:t>毛利率</w:t>
            </w:r>
          </w:p>
        </w:tc>
        <w:tc>
          <w:tcPr>
            <w:tcW w:w="71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29.79%</w:t>
            </w:r>
          </w:p>
        </w:tc>
        <w:tc>
          <w:tcPr>
            <w:tcW w:w="76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38.64%</w:t>
            </w:r>
          </w:p>
        </w:tc>
        <w:tc>
          <w:tcPr>
            <w:tcW w:w="646"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4.40%</w:t>
            </w:r>
          </w:p>
        </w:tc>
        <w:tc>
          <w:tcPr>
            <w:tcW w:w="679"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7.35%</w:t>
            </w:r>
          </w:p>
        </w:tc>
        <w:tc>
          <w:tcPr>
            <w:tcW w:w="759"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Cs w:val="21"/>
              </w:rPr>
            </w:pPr>
            <w:r>
              <w:rPr>
                <w:rFonts w:asciiTheme="minorEastAsia" w:hAnsiTheme="minorEastAsia"/>
                <w:szCs w:val="21"/>
              </w:rPr>
              <w:t>28.61%</w:t>
            </w:r>
          </w:p>
        </w:tc>
      </w:tr>
      <w:tr>
        <w:tblPrEx>
          <w:tblCellMar>
            <w:top w:w="0" w:type="dxa"/>
            <w:left w:w="108" w:type="dxa"/>
            <w:bottom w:w="0" w:type="dxa"/>
            <w:right w:w="108" w:type="dxa"/>
          </w:tblCellMar>
        </w:tblPrEx>
        <w:trPr>
          <w:trHeight w:val="290" w:hRule="atLeast"/>
        </w:trPr>
        <w:tc>
          <w:tcPr>
            <w:tcW w:w="1436" w:type="pct"/>
            <w:tcBorders>
              <w:top w:val="nil"/>
              <w:left w:val="single" w:color="auto" w:sz="4" w:space="0"/>
              <w:bottom w:val="single" w:color="auto" w:sz="4" w:space="0"/>
              <w:right w:val="single" w:color="auto" w:sz="4" w:space="0"/>
            </w:tcBorders>
            <w:shd w:val="clear" w:color="auto" w:fill="auto"/>
            <w:noWrap/>
          </w:tcPr>
          <w:p>
            <w:pPr>
              <w:jc w:val="left"/>
              <w:rPr>
                <w:rFonts w:asciiTheme="minorEastAsia" w:hAnsiTheme="minorEastAsia"/>
                <w:szCs w:val="21"/>
              </w:rPr>
            </w:pPr>
            <w:r>
              <w:rPr>
                <w:rFonts w:hint="eastAsia" w:asciiTheme="minorEastAsia" w:hAnsiTheme="minorEastAsia"/>
                <w:szCs w:val="21"/>
              </w:rPr>
              <w:t>期间费用</w:t>
            </w:r>
          </w:p>
        </w:tc>
        <w:tc>
          <w:tcPr>
            <w:tcW w:w="713" w:type="pct"/>
            <w:tcBorders>
              <w:top w:val="nil"/>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8,664.47 </w:t>
            </w:r>
          </w:p>
        </w:tc>
        <w:tc>
          <w:tcPr>
            <w:tcW w:w="767" w:type="pct"/>
            <w:tcBorders>
              <w:top w:val="nil"/>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52,960.38 </w:t>
            </w:r>
          </w:p>
        </w:tc>
        <w:tc>
          <w:tcPr>
            <w:tcW w:w="646" w:type="pct"/>
            <w:tcBorders>
              <w:top w:val="nil"/>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2,088.16 </w:t>
            </w:r>
          </w:p>
        </w:tc>
        <w:tc>
          <w:tcPr>
            <w:tcW w:w="679" w:type="pct"/>
            <w:tcBorders>
              <w:top w:val="nil"/>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2,771.89 </w:t>
            </w:r>
          </w:p>
        </w:tc>
        <w:tc>
          <w:tcPr>
            <w:tcW w:w="759" w:type="pct"/>
            <w:tcBorders>
              <w:top w:val="nil"/>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66,484.90 </w:t>
            </w:r>
          </w:p>
        </w:tc>
      </w:tr>
      <w:tr>
        <w:tblPrEx>
          <w:tblCellMar>
            <w:top w:w="0" w:type="dxa"/>
            <w:left w:w="108" w:type="dxa"/>
            <w:bottom w:w="0" w:type="dxa"/>
            <w:right w:w="108" w:type="dxa"/>
          </w:tblCellMar>
        </w:tblPrEx>
        <w:trPr>
          <w:trHeight w:val="290" w:hRule="atLeast"/>
        </w:trPr>
        <w:tc>
          <w:tcPr>
            <w:tcW w:w="1436" w:type="pct"/>
            <w:tcBorders>
              <w:top w:val="nil"/>
              <w:left w:val="single" w:color="auto" w:sz="4" w:space="0"/>
              <w:bottom w:val="single" w:color="auto" w:sz="4" w:space="0"/>
              <w:right w:val="single" w:color="auto" w:sz="4" w:space="0"/>
            </w:tcBorders>
            <w:shd w:val="clear" w:color="auto" w:fill="auto"/>
            <w:noWrap/>
          </w:tcPr>
          <w:p>
            <w:pPr>
              <w:jc w:val="left"/>
              <w:rPr>
                <w:rFonts w:asciiTheme="minorEastAsia" w:hAnsiTheme="minorEastAsia"/>
                <w:szCs w:val="21"/>
              </w:rPr>
            </w:pPr>
            <w:r>
              <w:rPr>
                <w:rFonts w:hint="eastAsia" w:asciiTheme="minorEastAsia" w:hAnsiTheme="minorEastAsia"/>
                <w:szCs w:val="21"/>
              </w:rPr>
              <w:t>其中</w:t>
            </w:r>
            <w:r>
              <w:rPr>
                <w:rFonts w:asciiTheme="minorEastAsia" w:hAnsiTheme="minorEastAsia"/>
                <w:szCs w:val="21"/>
              </w:rPr>
              <w:t>:</w:t>
            </w:r>
            <w:r>
              <w:rPr>
                <w:rFonts w:hint="eastAsia" w:asciiTheme="minorEastAsia" w:hAnsiTheme="minorEastAsia"/>
                <w:szCs w:val="21"/>
              </w:rPr>
              <w:t>销售费用</w:t>
            </w:r>
          </w:p>
        </w:tc>
        <w:tc>
          <w:tcPr>
            <w:tcW w:w="713" w:type="pct"/>
            <w:tcBorders>
              <w:top w:val="nil"/>
              <w:left w:val="nil"/>
              <w:bottom w:val="single" w:color="auto" w:sz="4" w:space="0"/>
              <w:right w:val="single" w:color="auto" w:sz="4" w:space="0"/>
            </w:tcBorders>
            <w:shd w:val="clear" w:color="auto" w:fill="auto"/>
            <w:noWrap/>
          </w:tcPr>
          <w:p>
            <w:pPr>
              <w:jc w:val="right"/>
              <w:rPr>
                <w:rFonts w:asciiTheme="minorEastAsia" w:hAnsiTheme="minorEastAsia"/>
                <w:szCs w:val="21"/>
              </w:rPr>
            </w:pPr>
          </w:p>
        </w:tc>
        <w:tc>
          <w:tcPr>
            <w:tcW w:w="767" w:type="pct"/>
            <w:tcBorders>
              <w:top w:val="nil"/>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44,323.22 </w:t>
            </w:r>
          </w:p>
        </w:tc>
        <w:tc>
          <w:tcPr>
            <w:tcW w:w="646" w:type="pct"/>
            <w:tcBorders>
              <w:top w:val="nil"/>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199.43 </w:t>
            </w:r>
          </w:p>
        </w:tc>
        <w:tc>
          <w:tcPr>
            <w:tcW w:w="679" w:type="pct"/>
            <w:tcBorders>
              <w:top w:val="nil"/>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308.19 </w:t>
            </w:r>
          </w:p>
        </w:tc>
        <w:tc>
          <w:tcPr>
            <w:tcW w:w="759" w:type="pct"/>
            <w:tcBorders>
              <w:top w:val="nil"/>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44,830.85 </w:t>
            </w:r>
          </w:p>
        </w:tc>
      </w:tr>
      <w:tr>
        <w:tblPrEx>
          <w:tblCellMar>
            <w:top w:w="0" w:type="dxa"/>
            <w:left w:w="108" w:type="dxa"/>
            <w:bottom w:w="0" w:type="dxa"/>
            <w:right w:w="108" w:type="dxa"/>
          </w:tblCellMar>
        </w:tblPrEx>
        <w:trPr>
          <w:trHeight w:val="290" w:hRule="atLeast"/>
        </w:trPr>
        <w:tc>
          <w:tcPr>
            <w:tcW w:w="1436" w:type="pct"/>
            <w:tcBorders>
              <w:top w:val="single" w:color="auto" w:sz="4" w:space="0"/>
              <w:left w:val="single" w:color="auto" w:sz="4" w:space="0"/>
              <w:bottom w:val="single" w:color="auto" w:sz="4" w:space="0"/>
              <w:right w:val="single" w:color="auto" w:sz="4" w:space="0"/>
            </w:tcBorders>
            <w:shd w:val="clear" w:color="auto" w:fill="auto"/>
            <w:noWrap/>
          </w:tcPr>
          <w:p>
            <w:pPr>
              <w:ind w:firstLine="527" w:firstLineChars="251"/>
              <w:jc w:val="left"/>
              <w:rPr>
                <w:rFonts w:asciiTheme="minorEastAsia" w:hAnsiTheme="minorEastAsia"/>
                <w:szCs w:val="21"/>
              </w:rPr>
            </w:pPr>
            <w:r>
              <w:rPr>
                <w:rFonts w:hint="eastAsia" w:asciiTheme="minorEastAsia" w:hAnsiTheme="minorEastAsia"/>
                <w:szCs w:val="21"/>
              </w:rPr>
              <w:t>管理费用</w:t>
            </w:r>
          </w:p>
        </w:tc>
        <w:tc>
          <w:tcPr>
            <w:tcW w:w="713"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5,931.64 </w:t>
            </w:r>
          </w:p>
        </w:tc>
        <w:tc>
          <w:tcPr>
            <w:tcW w:w="767"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3,548.15 </w:t>
            </w:r>
          </w:p>
        </w:tc>
        <w:tc>
          <w:tcPr>
            <w:tcW w:w="646"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485.98 </w:t>
            </w:r>
          </w:p>
        </w:tc>
        <w:tc>
          <w:tcPr>
            <w:tcW w:w="679"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1,695.55 </w:t>
            </w:r>
          </w:p>
        </w:tc>
        <w:tc>
          <w:tcPr>
            <w:tcW w:w="759"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11,661.32 </w:t>
            </w:r>
          </w:p>
        </w:tc>
      </w:tr>
      <w:tr>
        <w:tblPrEx>
          <w:tblCellMar>
            <w:top w:w="0" w:type="dxa"/>
            <w:left w:w="108" w:type="dxa"/>
            <w:bottom w:w="0" w:type="dxa"/>
            <w:right w:w="108" w:type="dxa"/>
          </w:tblCellMar>
        </w:tblPrEx>
        <w:trPr>
          <w:trHeight w:val="290" w:hRule="atLeast"/>
        </w:trPr>
        <w:tc>
          <w:tcPr>
            <w:tcW w:w="1436" w:type="pct"/>
            <w:tcBorders>
              <w:top w:val="single" w:color="auto" w:sz="4" w:space="0"/>
              <w:left w:val="single" w:color="auto" w:sz="4" w:space="0"/>
              <w:bottom w:val="single" w:color="auto" w:sz="4" w:space="0"/>
              <w:right w:val="single" w:color="auto" w:sz="4" w:space="0"/>
            </w:tcBorders>
            <w:shd w:val="clear" w:color="auto" w:fill="auto"/>
            <w:noWrap/>
          </w:tcPr>
          <w:p>
            <w:pPr>
              <w:ind w:firstLine="527" w:firstLineChars="251"/>
              <w:jc w:val="left"/>
              <w:rPr>
                <w:rFonts w:asciiTheme="minorEastAsia" w:hAnsiTheme="minorEastAsia"/>
                <w:szCs w:val="21"/>
              </w:rPr>
            </w:pPr>
            <w:r>
              <w:rPr>
                <w:rFonts w:hint="eastAsia" w:asciiTheme="minorEastAsia" w:hAnsiTheme="minorEastAsia"/>
                <w:szCs w:val="21"/>
              </w:rPr>
              <w:t>研发费用</w:t>
            </w:r>
          </w:p>
        </w:tc>
        <w:tc>
          <w:tcPr>
            <w:tcW w:w="713"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   </w:t>
            </w:r>
          </w:p>
        </w:tc>
        <w:tc>
          <w:tcPr>
            <w:tcW w:w="767"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2,757.18 </w:t>
            </w:r>
          </w:p>
        </w:tc>
        <w:tc>
          <w:tcPr>
            <w:tcW w:w="646"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   </w:t>
            </w:r>
          </w:p>
        </w:tc>
        <w:tc>
          <w:tcPr>
            <w:tcW w:w="679"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98.41 </w:t>
            </w:r>
          </w:p>
        </w:tc>
        <w:tc>
          <w:tcPr>
            <w:tcW w:w="759"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2,855.59 </w:t>
            </w:r>
          </w:p>
        </w:tc>
      </w:tr>
      <w:tr>
        <w:tblPrEx>
          <w:tblCellMar>
            <w:top w:w="0" w:type="dxa"/>
            <w:left w:w="108" w:type="dxa"/>
            <w:bottom w:w="0" w:type="dxa"/>
            <w:right w:w="108" w:type="dxa"/>
          </w:tblCellMar>
        </w:tblPrEx>
        <w:trPr>
          <w:trHeight w:val="290" w:hRule="atLeast"/>
        </w:trPr>
        <w:tc>
          <w:tcPr>
            <w:tcW w:w="1436" w:type="pct"/>
            <w:tcBorders>
              <w:top w:val="single" w:color="auto" w:sz="4" w:space="0"/>
              <w:left w:val="single" w:color="auto" w:sz="4" w:space="0"/>
              <w:bottom w:val="single" w:color="auto" w:sz="4" w:space="0"/>
              <w:right w:val="single" w:color="auto" w:sz="4" w:space="0"/>
            </w:tcBorders>
            <w:shd w:val="clear" w:color="auto" w:fill="auto"/>
            <w:noWrap/>
          </w:tcPr>
          <w:p>
            <w:pPr>
              <w:ind w:firstLine="527" w:firstLineChars="251"/>
              <w:jc w:val="left"/>
              <w:rPr>
                <w:rFonts w:asciiTheme="minorEastAsia" w:hAnsiTheme="minorEastAsia"/>
                <w:szCs w:val="21"/>
              </w:rPr>
            </w:pPr>
            <w:r>
              <w:rPr>
                <w:rFonts w:hint="eastAsia" w:asciiTheme="minorEastAsia" w:hAnsiTheme="minorEastAsia"/>
                <w:szCs w:val="21"/>
              </w:rPr>
              <w:t>财务费用</w:t>
            </w:r>
          </w:p>
        </w:tc>
        <w:tc>
          <w:tcPr>
            <w:tcW w:w="713"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2,732.83</w:t>
            </w:r>
          </w:p>
        </w:tc>
        <w:tc>
          <w:tcPr>
            <w:tcW w:w="767"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2,331.82</w:t>
            </w:r>
          </w:p>
        </w:tc>
        <w:tc>
          <w:tcPr>
            <w:tcW w:w="646"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1,402.75</w:t>
            </w:r>
          </w:p>
        </w:tc>
        <w:tc>
          <w:tcPr>
            <w:tcW w:w="679"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669.74</w:t>
            </w:r>
          </w:p>
        </w:tc>
        <w:tc>
          <w:tcPr>
            <w:tcW w:w="759"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7,137.13</w:t>
            </w:r>
          </w:p>
        </w:tc>
      </w:tr>
      <w:tr>
        <w:tblPrEx>
          <w:tblCellMar>
            <w:top w:w="0" w:type="dxa"/>
            <w:left w:w="108" w:type="dxa"/>
            <w:bottom w:w="0" w:type="dxa"/>
            <w:right w:w="108" w:type="dxa"/>
          </w:tblCellMar>
        </w:tblPrEx>
        <w:trPr>
          <w:trHeight w:val="290" w:hRule="atLeast"/>
        </w:trPr>
        <w:tc>
          <w:tcPr>
            <w:tcW w:w="1436" w:type="pct"/>
            <w:tcBorders>
              <w:top w:val="single" w:color="auto" w:sz="4" w:space="0"/>
              <w:left w:val="single" w:color="auto" w:sz="4" w:space="0"/>
              <w:bottom w:val="single" w:color="auto" w:sz="4" w:space="0"/>
              <w:right w:val="single" w:color="auto" w:sz="4" w:space="0"/>
            </w:tcBorders>
            <w:shd w:val="clear" w:color="auto" w:fill="auto"/>
            <w:noWrap/>
          </w:tcPr>
          <w:p>
            <w:pPr>
              <w:jc w:val="left"/>
              <w:rPr>
                <w:rFonts w:asciiTheme="minorEastAsia" w:hAnsiTheme="minorEastAsia"/>
                <w:szCs w:val="21"/>
              </w:rPr>
            </w:pPr>
            <w:r>
              <w:rPr>
                <w:rFonts w:hint="eastAsia" w:asciiTheme="minorEastAsia" w:hAnsiTheme="minorEastAsia"/>
                <w:szCs w:val="21"/>
              </w:rPr>
              <w:t>归母扣非净利润</w:t>
            </w:r>
          </w:p>
        </w:tc>
        <w:tc>
          <w:tcPr>
            <w:tcW w:w="713"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-8,672.59 </w:t>
            </w:r>
          </w:p>
        </w:tc>
        <w:tc>
          <w:tcPr>
            <w:tcW w:w="767"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845.25 </w:t>
            </w:r>
          </w:p>
        </w:tc>
        <w:tc>
          <w:tcPr>
            <w:tcW w:w="646"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344.73 </w:t>
            </w:r>
          </w:p>
        </w:tc>
        <w:tc>
          <w:tcPr>
            <w:tcW w:w="679"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-2,169.03 </w:t>
            </w:r>
          </w:p>
        </w:tc>
        <w:tc>
          <w:tcPr>
            <w:tcW w:w="759" w:type="pct"/>
            <w:tcBorders>
              <w:top w:val="single" w:color="auto" w:sz="4" w:space="0"/>
              <w:left w:val="nil"/>
              <w:bottom w:val="single" w:color="auto" w:sz="4" w:space="0"/>
              <w:right w:val="single" w:color="auto" w:sz="4" w:space="0"/>
            </w:tcBorders>
            <w:shd w:val="clear" w:color="auto" w:fill="auto"/>
            <w:noWrap/>
          </w:tcPr>
          <w:p>
            <w:pPr>
              <w:jc w:val="right"/>
              <w:rPr>
                <w:rFonts w:asciiTheme="minorEastAsia" w:hAnsiTheme="minorEastAsia"/>
                <w:szCs w:val="21"/>
              </w:rPr>
            </w:pPr>
            <w:r>
              <w:rPr>
                <w:rFonts w:asciiTheme="minorEastAsia" w:hAnsiTheme="minorEastAsia"/>
                <w:szCs w:val="21"/>
              </w:rPr>
              <w:t xml:space="preserve"> -9,651.63 </w:t>
            </w:r>
          </w:p>
        </w:tc>
      </w:tr>
    </w:tbl>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从上表可以看出，公司医药业务板块和贸易业务板块2022年度</w:t>
      </w:r>
      <w:r>
        <w:rPr>
          <w:rFonts w:hint="eastAsia" w:asciiTheme="minorEastAsia" w:hAnsiTheme="minorEastAsia"/>
          <w:sz w:val="24"/>
          <w:szCs w:val="24"/>
        </w:rPr>
        <w:t>整体</w:t>
      </w:r>
      <w:r>
        <w:rPr>
          <w:rFonts w:asciiTheme="minorEastAsia" w:hAnsiTheme="minorEastAsia"/>
          <w:sz w:val="24"/>
          <w:szCs w:val="24"/>
        </w:rPr>
        <w:t>盈利，公司亏损的主要原因为</w:t>
      </w:r>
      <w:r>
        <w:rPr>
          <w:rFonts w:hint="eastAsia" w:asciiTheme="minorEastAsia" w:hAnsiTheme="minorEastAsia"/>
          <w:sz w:val="24"/>
          <w:szCs w:val="24"/>
        </w:rPr>
        <w:t>本级母公司</w:t>
      </w:r>
      <w:r>
        <w:rPr>
          <w:rFonts w:asciiTheme="minorEastAsia" w:hAnsiTheme="minorEastAsia"/>
          <w:sz w:val="24"/>
          <w:szCs w:val="24"/>
        </w:rPr>
        <w:t>承担</w:t>
      </w:r>
      <w:r>
        <w:rPr>
          <w:rFonts w:hint="eastAsia" w:asciiTheme="minorEastAsia" w:hAnsiTheme="minorEastAsia"/>
          <w:sz w:val="24"/>
          <w:szCs w:val="24"/>
        </w:rPr>
        <w:t>期间费用8</w:t>
      </w:r>
      <w:r>
        <w:rPr>
          <w:rFonts w:asciiTheme="minorEastAsia" w:hAnsiTheme="minorEastAsia"/>
          <w:sz w:val="24"/>
          <w:szCs w:val="24"/>
        </w:rPr>
        <w:t>,664</w:t>
      </w:r>
      <w:r>
        <w:rPr>
          <w:rFonts w:hint="eastAsia" w:asciiTheme="minorEastAsia" w:hAnsiTheme="minorEastAsia"/>
          <w:sz w:val="24"/>
          <w:szCs w:val="24"/>
        </w:rPr>
        <w:t>.</w:t>
      </w:r>
      <w:r>
        <w:rPr>
          <w:rFonts w:asciiTheme="minorEastAsia" w:hAnsiTheme="minorEastAsia"/>
          <w:sz w:val="24"/>
          <w:szCs w:val="24"/>
        </w:rPr>
        <w:t>47</w:t>
      </w:r>
      <w:r>
        <w:rPr>
          <w:rFonts w:hint="eastAsia" w:asciiTheme="minorEastAsia" w:hAnsiTheme="minorEastAsia"/>
          <w:sz w:val="24"/>
          <w:szCs w:val="24"/>
        </w:rPr>
        <w:t>万元，其中</w:t>
      </w:r>
      <w:r>
        <w:rPr>
          <w:rFonts w:asciiTheme="minorEastAsia" w:hAnsiTheme="minorEastAsia"/>
          <w:sz w:val="24"/>
          <w:szCs w:val="24"/>
        </w:rPr>
        <w:t>管理费用</w:t>
      </w:r>
      <w:r>
        <w:rPr>
          <w:rFonts w:hint="eastAsia" w:asciiTheme="minorEastAsia" w:hAnsiTheme="minorEastAsia"/>
          <w:sz w:val="24"/>
          <w:szCs w:val="24"/>
        </w:rPr>
        <w:t>5</w:t>
      </w:r>
      <w:r>
        <w:rPr>
          <w:rFonts w:asciiTheme="minorEastAsia" w:hAnsiTheme="minorEastAsia"/>
          <w:sz w:val="24"/>
          <w:szCs w:val="24"/>
        </w:rPr>
        <w:t>,931</w:t>
      </w:r>
      <w:r>
        <w:rPr>
          <w:rFonts w:hint="eastAsia" w:asciiTheme="minorEastAsia" w:hAnsiTheme="minorEastAsia"/>
          <w:sz w:val="24"/>
          <w:szCs w:val="24"/>
        </w:rPr>
        <w:t>.</w:t>
      </w:r>
      <w:r>
        <w:rPr>
          <w:rFonts w:asciiTheme="minorEastAsia" w:hAnsiTheme="minorEastAsia"/>
          <w:sz w:val="24"/>
          <w:szCs w:val="24"/>
        </w:rPr>
        <w:t>64万元（主要为承担公司总部人工成本约2,754</w:t>
      </w:r>
      <w:r>
        <w:rPr>
          <w:rFonts w:hint="eastAsia" w:asciiTheme="minorEastAsia" w:hAnsiTheme="minorEastAsia"/>
          <w:sz w:val="24"/>
          <w:szCs w:val="24"/>
        </w:rPr>
        <w:t>.</w:t>
      </w:r>
      <w:r>
        <w:rPr>
          <w:rFonts w:asciiTheme="minorEastAsia" w:hAnsiTheme="minorEastAsia"/>
          <w:sz w:val="24"/>
          <w:szCs w:val="24"/>
        </w:rPr>
        <w:t>47万元、2022年度确认股权激励费用1,261.46万元和总部资产的折旧摊销费用619</w:t>
      </w:r>
      <w:r>
        <w:rPr>
          <w:rFonts w:hint="eastAsia" w:asciiTheme="minorEastAsia" w:hAnsiTheme="minorEastAsia"/>
          <w:sz w:val="24"/>
          <w:szCs w:val="24"/>
        </w:rPr>
        <w:t>.</w:t>
      </w:r>
      <w:r>
        <w:rPr>
          <w:rFonts w:asciiTheme="minorEastAsia" w:hAnsiTheme="minorEastAsia"/>
          <w:sz w:val="24"/>
          <w:szCs w:val="24"/>
        </w:rPr>
        <w:t>91万元），</w:t>
      </w:r>
      <w:r>
        <w:rPr>
          <w:rFonts w:hint="eastAsia" w:asciiTheme="minorEastAsia" w:hAnsiTheme="minorEastAsia"/>
          <w:sz w:val="24"/>
          <w:szCs w:val="24"/>
        </w:rPr>
        <w:t>财务费用2</w:t>
      </w:r>
      <w:r>
        <w:rPr>
          <w:rFonts w:asciiTheme="minorEastAsia" w:hAnsiTheme="minorEastAsia"/>
          <w:sz w:val="24"/>
          <w:szCs w:val="24"/>
        </w:rPr>
        <w:t>732</w:t>
      </w:r>
      <w:r>
        <w:rPr>
          <w:rFonts w:hint="eastAsia" w:asciiTheme="minorEastAsia" w:hAnsiTheme="minorEastAsia"/>
          <w:sz w:val="24"/>
          <w:szCs w:val="24"/>
        </w:rPr>
        <w:t>.</w:t>
      </w:r>
      <w:r>
        <w:rPr>
          <w:rFonts w:asciiTheme="minorEastAsia" w:hAnsiTheme="minorEastAsia"/>
          <w:sz w:val="24"/>
          <w:szCs w:val="24"/>
        </w:rPr>
        <w:t>83</w:t>
      </w:r>
      <w:r>
        <w:rPr>
          <w:rFonts w:hint="eastAsia" w:asciiTheme="minorEastAsia" w:hAnsiTheme="minorEastAsia"/>
          <w:sz w:val="24"/>
          <w:szCs w:val="24"/>
        </w:rPr>
        <w:t>万元 ，其次</w:t>
      </w:r>
      <w:r>
        <w:rPr>
          <w:rFonts w:asciiTheme="minorEastAsia" w:hAnsiTheme="minorEastAsia"/>
          <w:sz w:val="24"/>
          <w:szCs w:val="24"/>
        </w:rPr>
        <w:t>公司医美生科业务目前处于研发阶段，2022年度产生管理费用807万元</w:t>
      </w:r>
      <w:r>
        <w:rPr>
          <w:rFonts w:hint="eastAsia" w:asciiTheme="minorEastAsia" w:hAnsiTheme="minorEastAsia"/>
          <w:sz w:val="24"/>
          <w:szCs w:val="24"/>
        </w:rPr>
        <w:t>，导致医美生科板块亏损</w:t>
      </w:r>
      <w:r>
        <w:rPr>
          <w:rFonts w:asciiTheme="minorEastAsia" w:hAnsiTheme="minorEastAsia"/>
          <w:sz w:val="24"/>
          <w:szCs w:val="24"/>
        </w:rPr>
        <w:t>。</w:t>
      </w:r>
    </w:p>
    <w:p>
      <w:pPr>
        <w:tabs>
          <w:tab w:val="left" w:pos="567"/>
        </w:tabs>
        <w:spacing w:line="360" w:lineRule="auto"/>
        <w:ind w:left="424" w:leftChars="202" w:firstLine="480" w:firstLineChars="200"/>
        <w:rPr>
          <w:rFonts w:asciiTheme="minorEastAsia" w:hAnsiTheme="minorEastAsia"/>
          <w:sz w:val="24"/>
          <w:szCs w:val="24"/>
        </w:rPr>
      </w:pP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（二）</w:t>
      </w:r>
      <w:r>
        <w:rPr>
          <w:rFonts w:asciiTheme="minorEastAsia" w:hAnsiTheme="minorEastAsia"/>
          <w:b/>
          <w:sz w:val="24"/>
          <w:szCs w:val="24"/>
        </w:rPr>
        <w:t>补充披露第二至四季度营业收入与归母净利润变动趋势不一致且第四季度营业收入同比大幅上升的原因及合理性，是否与季节性特征、市场环境、同行业可比公司情况相符</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第二至四季度营业收入与归母净利润</w:t>
      </w:r>
      <w:r>
        <w:rPr>
          <w:rFonts w:hint="eastAsia" w:asciiTheme="minorEastAsia" w:hAnsiTheme="minorEastAsia"/>
          <w:sz w:val="24"/>
          <w:szCs w:val="24"/>
        </w:rPr>
        <w:t>变动情况</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公司2022年度第二至第四季度营业收入与归母净利润数据如下表：</w:t>
      </w:r>
    </w:p>
    <w:p>
      <w:pPr>
        <w:tabs>
          <w:tab w:val="left" w:pos="567"/>
        </w:tabs>
        <w:spacing w:line="360" w:lineRule="auto"/>
        <w:ind w:left="424" w:leftChars="202" w:right="480" w:firstLine="480" w:firstLineChars="200"/>
        <w:jc w:val="right"/>
        <w:rPr>
          <w:rFonts w:asciiTheme="minorEastAsia" w:hAnsiTheme="minorEastAsia"/>
          <w:sz w:val="24"/>
          <w:szCs w:val="24"/>
        </w:rPr>
      </w:pPr>
      <w:r>
        <w:rPr>
          <w:rFonts w:asciiTheme="minorEastAsia" w:hAnsiTheme="minorEastAsia"/>
          <w:sz w:val="24"/>
          <w:szCs w:val="24"/>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10"/>
        <w:gridCol w:w="1638"/>
        <w:gridCol w:w="1638"/>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8" w:type="pct"/>
            <w:shd w:val="clear" w:color="auto" w:fill="auto"/>
            <w:vAlign w:val="center"/>
          </w:tcPr>
          <w:p>
            <w:pPr>
              <w:widowControl/>
              <w:tabs>
                <w:tab w:val="left" w:pos="567"/>
              </w:tabs>
              <w:ind w:firstLine="420" w:firstLineChars="200"/>
              <w:jc w:val="left"/>
              <w:rPr>
                <w:rFonts w:cs="Calibri" w:asciiTheme="minorEastAsia" w:hAnsiTheme="minorEastAsia"/>
                <w:color w:val="000000"/>
                <w:kern w:val="0"/>
                <w:szCs w:val="21"/>
              </w:rPr>
            </w:pPr>
            <w:r>
              <w:rPr>
                <w:rFonts w:cs="Calibri" w:asciiTheme="minorEastAsia" w:hAnsiTheme="minorEastAsia"/>
                <w:color w:val="000000"/>
                <w:kern w:val="0"/>
                <w:szCs w:val="21"/>
              </w:rPr>
              <w:t>项目</w:t>
            </w:r>
          </w:p>
        </w:tc>
        <w:tc>
          <w:tcPr>
            <w:tcW w:w="961"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cs="Calibri" w:asciiTheme="minorEastAsia" w:hAnsiTheme="minorEastAsia"/>
                <w:color w:val="000000"/>
                <w:kern w:val="0"/>
                <w:szCs w:val="21"/>
              </w:rPr>
              <w:t>第二季度</w:t>
            </w:r>
          </w:p>
        </w:tc>
        <w:tc>
          <w:tcPr>
            <w:tcW w:w="961"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cs="Calibri" w:asciiTheme="minorEastAsia" w:hAnsiTheme="minorEastAsia"/>
                <w:color w:val="000000"/>
                <w:kern w:val="0"/>
                <w:szCs w:val="21"/>
              </w:rPr>
              <w:t>第三季度</w:t>
            </w:r>
          </w:p>
        </w:tc>
        <w:tc>
          <w:tcPr>
            <w:tcW w:w="960"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cs="Calibri" w:asciiTheme="minorEastAsia" w:hAnsiTheme="minorEastAsia"/>
                <w:color w:val="000000"/>
                <w:kern w:val="0"/>
                <w:szCs w:val="21"/>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118" w:type="pct"/>
            <w:shd w:val="clear" w:color="auto" w:fill="auto"/>
            <w:vAlign w:val="center"/>
          </w:tcPr>
          <w:p>
            <w:pPr>
              <w:widowControl/>
              <w:tabs>
                <w:tab w:val="left" w:pos="567"/>
              </w:tabs>
              <w:rPr>
                <w:rFonts w:cs="Calibri" w:asciiTheme="minorEastAsia" w:hAnsiTheme="minorEastAsia"/>
                <w:color w:val="000000"/>
                <w:kern w:val="0"/>
                <w:szCs w:val="21"/>
              </w:rPr>
            </w:pPr>
            <w:r>
              <w:rPr>
                <w:rFonts w:cs="Calibri" w:asciiTheme="minorEastAsia" w:hAnsiTheme="minorEastAsia"/>
                <w:color w:val="000000"/>
                <w:kern w:val="0"/>
                <w:szCs w:val="21"/>
              </w:rPr>
              <w:t>营业收入</w:t>
            </w:r>
          </w:p>
        </w:tc>
        <w:tc>
          <w:tcPr>
            <w:tcW w:w="961"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cs="Calibri" w:asciiTheme="minorEastAsia" w:hAnsiTheme="minorEastAsia"/>
                <w:color w:val="000000"/>
                <w:kern w:val="0"/>
                <w:szCs w:val="21"/>
              </w:rPr>
              <w:t>34,175.91</w:t>
            </w:r>
          </w:p>
        </w:tc>
        <w:tc>
          <w:tcPr>
            <w:tcW w:w="961"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cs="Calibri" w:asciiTheme="minorEastAsia" w:hAnsiTheme="minorEastAsia"/>
                <w:color w:val="000000"/>
                <w:kern w:val="0"/>
                <w:szCs w:val="21"/>
              </w:rPr>
              <w:t>59,428.18</w:t>
            </w:r>
          </w:p>
        </w:tc>
        <w:tc>
          <w:tcPr>
            <w:tcW w:w="960"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cs="Calibri" w:asciiTheme="minorEastAsia" w:hAnsiTheme="minorEastAsia"/>
                <w:color w:val="000000"/>
                <w:kern w:val="0"/>
                <w:szCs w:val="21"/>
              </w:rPr>
              <w:t>64,585.77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2118" w:type="pct"/>
            <w:shd w:val="clear" w:color="auto" w:fill="auto"/>
            <w:vAlign w:val="center"/>
          </w:tcPr>
          <w:p>
            <w:pPr>
              <w:widowControl/>
              <w:tabs>
                <w:tab w:val="left" w:pos="567"/>
              </w:tabs>
              <w:rPr>
                <w:rFonts w:cs="Calibri" w:asciiTheme="minorEastAsia" w:hAnsiTheme="minorEastAsia"/>
                <w:color w:val="000000"/>
                <w:kern w:val="0"/>
                <w:szCs w:val="21"/>
              </w:rPr>
            </w:pPr>
            <w:r>
              <w:rPr>
                <w:rFonts w:cs="Calibri" w:asciiTheme="minorEastAsia" w:hAnsiTheme="minorEastAsia"/>
                <w:color w:val="000000"/>
                <w:kern w:val="0"/>
                <w:szCs w:val="21"/>
              </w:rPr>
              <w:t>归属于上市公司股东的净利润</w:t>
            </w:r>
          </w:p>
        </w:tc>
        <w:tc>
          <w:tcPr>
            <w:tcW w:w="961"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hint="eastAsia" w:cs="Calibri" w:asciiTheme="minorEastAsia" w:hAnsiTheme="minorEastAsia"/>
                <w:color w:val="000000"/>
                <w:kern w:val="0"/>
                <w:szCs w:val="21"/>
              </w:rPr>
              <w:t>-</w:t>
            </w:r>
            <w:r>
              <w:rPr>
                <w:rFonts w:cs="Calibri" w:asciiTheme="minorEastAsia" w:hAnsiTheme="minorEastAsia"/>
                <w:color w:val="000000"/>
                <w:kern w:val="0"/>
                <w:szCs w:val="21"/>
              </w:rPr>
              <w:t>2,702</w:t>
            </w:r>
            <w:r>
              <w:rPr>
                <w:rFonts w:hint="eastAsia" w:cs="Calibri" w:asciiTheme="minorEastAsia" w:hAnsiTheme="minorEastAsia"/>
                <w:color w:val="000000"/>
                <w:kern w:val="0"/>
                <w:szCs w:val="21"/>
              </w:rPr>
              <w:t>.</w:t>
            </w:r>
            <w:r>
              <w:rPr>
                <w:rFonts w:cs="Calibri" w:asciiTheme="minorEastAsia" w:hAnsiTheme="minorEastAsia"/>
                <w:color w:val="000000"/>
                <w:kern w:val="0"/>
                <w:szCs w:val="21"/>
              </w:rPr>
              <w:t>92</w:t>
            </w:r>
          </w:p>
        </w:tc>
        <w:tc>
          <w:tcPr>
            <w:tcW w:w="961"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hint="eastAsia" w:cs="Calibri" w:asciiTheme="minorEastAsia" w:hAnsiTheme="minorEastAsia"/>
                <w:color w:val="000000"/>
                <w:kern w:val="0"/>
                <w:szCs w:val="21"/>
              </w:rPr>
              <w:t>-</w:t>
            </w:r>
            <w:r>
              <w:rPr>
                <w:rFonts w:cs="Calibri" w:asciiTheme="minorEastAsia" w:hAnsiTheme="minorEastAsia"/>
                <w:color w:val="000000"/>
                <w:kern w:val="0"/>
                <w:szCs w:val="21"/>
              </w:rPr>
              <w:t>2,741</w:t>
            </w:r>
            <w:r>
              <w:rPr>
                <w:rFonts w:hint="eastAsia" w:cs="Calibri" w:asciiTheme="minorEastAsia" w:hAnsiTheme="minorEastAsia"/>
                <w:color w:val="000000"/>
                <w:kern w:val="0"/>
                <w:szCs w:val="21"/>
              </w:rPr>
              <w:t>.</w:t>
            </w:r>
            <w:r>
              <w:rPr>
                <w:rFonts w:cs="Calibri" w:asciiTheme="minorEastAsia" w:hAnsiTheme="minorEastAsia"/>
                <w:color w:val="000000"/>
                <w:kern w:val="0"/>
                <w:szCs w:val="21"/>
              </w:rPr>
              <w:t>51</w:t>
            </w:r>
          </w:p>
        </w:tc>
        <w:tc>
          <w:tcPr>
            <w:tcW w:w="960"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hint="eastAsia" w:cs="Calibri" w:asciiTheme="minorEastAsia" w:hAnsiTheme="minorEastAsia"/>
                <w:color w:val="000000"/>
                <w:kern w:val="0"/>
                <w:szCs w:val="21"/>
              </w:rPr>
              <w:t>-</w:t>
            </w:r>
            <w:r>
              <w:rPr>
                <w:rFonts w:cs="Calibri" w:asciiTheme="minorEastAsia" w:hAnsiTheme="minorEastAsia"/>
                <w:color w:val="000000"/>
                <w:kern w:val="0"/>
                <w:szCs w:val="21"/>
              </w:rPr>
              <w:t>2,936</w:t>
            </w:r>
            <w:r>
              <w:rPr>
                <w:rFonts w:hint="eastAsia" w:cs="Calibri" w:asciiTheme="minorEastAsia" w:hAnsiTheme="minorEastAsia"/>
                <w:color w:val="000000"/>
                <w:kern w:val="0"/>
                <w:szCs w:val="21"/>
              </w:rPr>
              <w:t>.</w:t>
            </w:r>
            <w:r>
              <w:rPr>
                <w:rFonts w:cs="Calibri" w:asciiTheme="minorEastAsia" w:hAnsiTheme="minorEastAsia"/>
                <w:color w:val="000000"/>
                <w:kern w:val="0"/>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exact"/>
        </w:trPr>
        <w:tc>
          <w:tcPr>
            <w:tcW w:w="2118" w:type="pct"/>
            <w:shd w:val="clear" w:color="auto" w:fill="auto"/>
            <w:vAlign w:val="center"/>
          </w:tcPr>
          <w:p>
            <w:pPr>
              <w:widowControl/>
              <w:tabs>
                <w:tab w:val="left" w:pos="567"/>
              </w:tabs>
              <w:rPr>
                <w:rFonts w:cs="Calibri" w:asciiTheme="minorEastAsia" w:hAnsiTheme="minorEastAsia"/>
                <w:color w:val="000000"/>
                <w:kern w:val="0"/>
                <w:szCs w:val="21"/>
              </w:rPr>
            </w:pPr>
            <w:r>
              <w:rPr>
                <w:rFonts w:cs="Calibri" w:asciiTheme="minorEastAsia" w:hAnsiTheme="minorEastAsia"/>
                <w:color w:val="000000"/>
                <w:kern w:val="0"/>
                <w:szCs w:val="21"/>
              </w:rPr>
              <w:t>归属于上市公司股东的扣除非经常性损益后的净利润</w:t>
            </w:r>
          </w:p>
        </w:tc>
        <w:tc>
          <w:tcPr>
            <w:tcW w:w="961"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cs="Calibri" w:asciiTheme="minorEastAsia" w:hAnsiTheme="minorEastAsia"/>
                <w:color w:val="000000"/>
                <w:kern w:val="0"/>
                <w:szCs w:val="21"/>
              </w:rPr>
              <w:t>-2,950.63</w:t>
            </w:r>
          </w:p>
        </w:tc>
        <w:tc>
          <w:tcPr>
            <w:tcW w:w="961"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cs="Calibri" w:asciiTheme="minorEastAsia" w:hAnsiTheme="minorEastAsia"/>
                <w:color w:val="000000"/>
                <w:kern w:val="0"/>
                <w:szCs w:val="21"/>
              </w:rPr>
              <w:t>-3,031.27</w:t>
            </w:r>
          </w:p>
        </w:tc>
        <w:tc>
          <w:tcPr>
            <w:tcW w:w="960" w:type="pct"/>
            <w:shd w:val="clear" w:color="auto" w:fill="auto"/>
            <w:vAlign w:val="center"/>
          </w:tcPr>
          <w:p>
            <w:pPr>
              <w:widowControl/>
              <w:tabs>
                <w:tab w:val="left" w:pos="567"/>
              </w:tabs>
              <w:ind w:firstLine="420" w:firstLineChars="200"/>
              <w:jc w:val="center"/>
              <w:rPr>
                <w:rFonts w:cs="Calibri" w:asciiTheme="minorEastAsia" w:hAnsiTheme="minorEastAsia"/>
                <w:color w:val="000000"/>
                <w:kern w:val="0"/>
                <w:szCs w:val="21"/>
              </w:rPr>
            </w:pPr>
            <w:r>
              <w:rPr>
                <w:rFonts w:cs="Calibri" w:asciiTheme="minorEastAsia" w:hAnsiTheme="minorEastAsia"/>
                <w:color w:val="000000"/>
                <w:kern w:val="0"/>
                <w:szCs w:val="21"/>
              </w:rPr>
              <w:t>-4,026.22</w:t>
            </w:r>
          </w:p>
        </w:tc>
      </w:tr>
    </w:tbl>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第二至第四季度营业收入增幅较大，利润没有同步增加，2022年度为公司创造</w:t>
      </w:r>
      <w:r>
        <w:rPr>
          <w:rFonts w:hint="eastAsia" w:asciiTheme="minorEastAsia" w:hAnsiTheme="minorEastAsia"/>
          <w:sz w:val="24"/>
          <w:szCs w:val="24"/>
        </w:rPr>
        <w:t>利润</w:t>
      </w:r>
      <w:r>
        <w:rPr>
          <w:rFonts w:asciiTheme="minorEastAsia" w:hAnsiTheme="minorEastAsia"/>
          <w:sz w:val="24"/>
          <w:szCs w:val="24"/>
        </w:rPr>
        <w:t>的业务板块主要是医药业务和贸易业务板块，该两业务板块2022年度营业收入与利润</w:t>
      </w:r>
      <w:r>
        <w:rPr>
          <w:rFonts w:hint="eastAsia" w:asciiTheme="minorEastAsia" w:hAnsiTheme="minorEastAsia"/>
          <w:sz w:val="24"/>
          <w:szCs w:val="24"/>
        </w:rPr>
        <w:t>主要相关项目</w:t>
      </w:r>
      <w:r>
        <w:rPr>
          <w:rFonts w:asciiTheme="minorEastAsia" w:hAnsiTheme="minorEastAsia"/>
          <w:sz w:val="24"/>
          <w:szCs w:val="24"/>
        </w:rPr>
        <w:t>变动</w:t>
      </w:r>
      <w:r>
        <w:rPr>
          <w:rFonts w:hint="eastAsia" w:asciiTheme="minorEastAsia" w:hAnsiTheme="minorEastAsia"/>
          <w:sz w:val="24"/>
          <w:szCs w:val="24"/>
        </w:rPr>
        <w:t>情况</w:t>
      </w:r>
      <w:r>
        <w:rPr>
          <w:rFonts w:asciiTheme="minorEastAsia" w:hAnsiTheme="minorEastAsia"/>
          <w:sz w:val="24"/>
          <w:szCs w:val="24"/>
        </w:rPr>
        <w:t>如下。</w:t>
      </w:r>
    </w:p>
    <w:p>
      <w:pPr>
        <w:tabs>
          <w:tab w:val="left" w:pos="567"/>
        </w:tabs>
        <w:spacing w:line="360" w:lineRule="auto"/>
        <w:ind w:firstLine="480" w:firstLineChars="200"/>
        <w:jc w:val="left"/>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医药板块相关</w:t>
      </w:r>
      <w:r>
        <w:rPr>
          <w:rFonts w:hint="eastAsia" w:asciiTheme="minorEastAsia" w:hAnsiTheme="minorEastAsia"/>
          <w:sz w:val="24"/>
          <w:szCs w:val="24"/>
        </w:rPr>
        <w:t>数据补充列示</w:t>
      </w:r>
      <w:r>
        <w:rPr>
          <w:rFonts w:asciiTheme="minorEastAsia" w:hAnsiTheme="minorEastAsia"/>
          <w:sz w:val="24"/>
          <w:szCs w:val="24"/>
        </w:rPr>
        <w:t>：</w:t>
      </w:r>
    </w:p>
    <w:p>
      <w:pPr>
        <w:tabs>
          <w:tab w:val="left" w:pos="567"/>
        </w:tabs>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单位：万元</w:t>
      </w:r>
    </w:p>
    <w:tbl>
      <w:tblPr>
        <w:tblStyle w:val="8"/>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5"/>
        <w:gridCol w:w="1765"/>
        <w:gridCol w:w="1765"/>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bottom"/>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项目</w:t>
            </w:r>
          </w:p>
        </w:tc>
        <w:tc>
          <w:tcPr>
            <w:tcW w:w="1765" w:type="dxa"/>
            <w:shd w:val="clear" w:color="auto" w:fill="auto"/>
            <w:noWrap/>
            <w:vAlign w:val="center"/>
          </w:tcPr>
          <w:p>
            <w:pPr>
              <w:widowControl/>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第二季度</w:t>
            </w:r>
          </w:p>
        </w:tc>
        <w:tc>
          <w:tcPr>
            <w:tcW w:w="1765" w:type="dxa"/>
            <w:shd w:val="clear" w:color="auto" w:fill="auto"/>
            <w:noWrap/>
            <w:vAlign w:val="center"/>
          </w:tcPr>
          <w:p>
            <w:pPr>
              <w:widowControl/>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第三季度</w:t>
            </w:r>
          </w:p>
        </w:tc>
        <w:tc>
          <w:tcPr>
            <w:tcW w:w="1765" w:type="dxa"/>
            <w:shd w:val="clear" w:color="auto" w:fill="auto"/>
            <w:noWrap/>
            <w:vAlign w:val="center"/>
          </w:tcPr>
          <w:p>
            <w:pPr>
              <w:widowControl/>
              <w:ind w:firstLine="420" w:firstLineChars="200"/>
              <w:jc w:val="left"/>
              <w:rPr>
                <w:rFonts w:ascii="宋体" w:hAnsi="宋体" w:eastAsia="宋体" w:cs="宋体"/>
                <w:color w:val="000000"/>
                <w:kern w:val="0"/>
                <w:szCs w:val="21"/>
              </w:rPr>
            </w:pPr>
            <w:r>
              <w:rPr>
                <w:rFonts w:hint="eastAsia" w:ascii="宋体" w:hAnsi="宋体" w:eastAsia="宋体" w:cs="宋体"/>
                <w:color w:val="000000"/>
                <w:kern w:val="0"/>
                <w:szCs w:val="21"/>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营业收入</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24,261.45</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33,841.41</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53,099.98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center"/>
          </w:tcPr>
          <w:p>
            <w:pPr>
              <w:widowControl/>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医药工业</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13,387.89</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17,421.54</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17,749.31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center"/>
          </w:tcPr>
          <w:p>
            <w:pPr>
              <w:widowControl/>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医药商业</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10,873.56</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16,419.87</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35,350.67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营业成本</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13,036.72</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19,695.52</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38,119.84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center"/>
          </w:tcPr>
          <w:p>
            <w:pPr>
              <w:widowControl/>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医药工业</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3,443.67</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4,471.41</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4,789.76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center"/>
          </w:tcPr>
          <w:p>
            <w:pPr>
              <w:widowControl/>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医药商业</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9,593.05</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15,224.11</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33,330.08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毛利</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11,224.73</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14,145.89</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14,980.14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center"/>
          </w:tcPr>
          <w:p>
            <w:pPr>
              <w:widowControl/>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医药工业</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9,944.22</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12,950.13</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12,959.55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center"/>
          </w:tcPr>
          <w:p>
            <w:pPr>
              <w:widowControl/>
              <w:ind w:firstLine="420" w:firstLineChars="200"/>
              <w:rPr>
                <w:rFonts w:ascii="宋体" w:hAnsi="宋体" w:eastAsia="宋体" w:cs="宋体"/>
                <w:color w:val="000000"/>
                <w:kern w:val="0"/>
                <w:szCs w:val="21"/>
              </w:rPr>
            </w:pPr>
            <w:r>
              <w:rPr>
                <w:rFonts w:hint="eastAsia" w:ascii="宋体" w:hAnsi="宋体" w:eastAsia="宋体" w:cs="宋体"/>
                <w:color w:val="000000"/>
                <w:kern w:val="0"/>
                <w:szCs w:val="21"/>
              </w:rPr>
              <w:t>医药商业</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1,280.51</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1,195.76</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2,020.59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销售费用</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10,455.05</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12,030.16</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hint="eastAsia" w:ascii="宋体" w:hAnsi="宋体" w:eastAsia="宋体" w:cs="宋体"/>
                <w:color w:val="000000"/>
                <w:kern w:val="0"/>
                <w:szCs w:val="21"/>
              </w:rPr>
              <w:t>1</w:t>
            </w:r>
            <w:r>
              <w:rPr>
                <w:rFonts w:ascii="宋体" w:hAnsi="宋体" w:eastAsia="宋体" w:cs="宋体"/>
                <w:color w:val="000000"/>
                <w:kern w:val="0"/>
                <w:szCs w:val="21"/>
              </w:rPr>
              <w:t>2</w:t>
            </w:r>
            <w:r>
              <w:rPr>
                <w:rFonts w:hint="eastAsia" w:ascii="宋体" w:hAnsi="宋体" w:eastAsia="宋体" w:cs="宋体"/>
                <w:color w:val="000000"/>
                <w:kern w:val="0"/>
                <w:szCs w:val="21"/>
              </w:rPr>
              <w:t>,</w:t>
            </w:r>
            <w:r>
              <w:rPr>
                <w:rFonts w:ascii="宋体" w:hAnsi="宋体" w:eastAsia="宋体" w:cs="宋体"/>
                <w:color w:val="000000"/>
                <w:kern w:val="0"/>
                <w:szCs w:val="21"/>
              </w:rPr>
              <w:t>958</w:t>
            </w:r>
            <w:r>
              <w:rPr>
                <w:rFonts w:hint="eastAsia" w:ascii="宋体" w:hAnsi="宋体" w:eastAsia="宋体" w:cs="宋体"/>
                <w:color w:val="000000"/>
                <w:kern w:val="0"/>
                <w:szCs w:val="21"/>
              </w:rPr>
              <w:t>.9</w:t>
            </w:r>
            <w:r>
              <w:rPr>
                <w:rFonts w:ascii="宋体" w:hAnsi="宋体" w:eastAsia="宋体" w:cs="宋体"/>
                <w:color w:val="000000"/>
                <w:kern w:val="0"/>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345" w:type="dxa"/>
            <w:shd w:val="clear" w:color="auto" w:fill="auto"/>
            <w:noWrap/>
            <w:vAlign w:val="center"/>
          </w:tcPr>
          <w:p>
            <w:pPr>
              <w:widowControl/>
              <w:rPr>
                <w:rFonts w:ascii="宋体" w:hAnsi="宋体" w:eastAsia="宋体" w:cs="宋体"/>
                <w:color w:val="000000"/>
                <w:kern w:val="0"/>
                <w:szCs w:val="21"/>
              </w:rPr>
            </w:pPr>
            <w:r>
              <w:rPr>
                <w:rFonts w:hint="eastAsia" w:ascii="宋体" w:hAnsi="宋体" w:eastAsia="宋体" w:cs="宋体"/>
                <w:color w:val="000000"/>
                <w:kern w:val="0"/>
                <w:szCs w:val="21"/>
              </w:rPr>
              <w:t>营收扣减销售费用后差额</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ascii="宋体" w:hAnsi="宋体" w:eastAsia="宋体" w:cs="宋体"/>
                <w:color w:val="000000"/>
                <w:kern w:val="0"/>
                <w:szCs w:val="21"/>
              </w:rPr>
              <w:t>769</w:t>
            </w:r>
            <w:r>
              <w:rPr>
                <w:rFonts w:hint="eastAsia" w:ascii="宋体" w:hAnsi="宋体" w:eastAsia="宋体" w:cs="宋体"/>
                <w:color w:val="000000"/>
                <w:kern w:val="0"/>
                <w:szCs w:val="21"/>
              </w:rPr>
              <w:t>.</w:t>
            </w:r>
            <w:r>
              <w:rPr>
                <w:rFonts w:ascii="宋体" w:hAnsi="宋体" w:eastAsia="宋体" w:cs="宋体"/>
                <w:color w:val="000000"/>
                <w:kern w:val="0"/>
                <w:szCs w:val="21"/>
              </w:rPr>
              <w:t>68</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w:t>
            </w:r>
            <w:r>
              <w:rPr>
                <w:rFonts w:ascii="宋体" w:hAnsi="宋体" w:eastAsia="宋体" w:cs="宋体"/>
                <w:color w:val="000000"/>
                <w:kern w:val="0"/>
                <w:szCs w:val="21"/>
              </w:rPr>
              <w:t>115</w:t>
            </w:r>
            <w:r>
              <w:rPr>
                <w:rFonts w:hint="eastAsia" w:ascii="宋体" w:hAnsi="宋体" w:eastAsia="宋体" w:cs="宋体"/>
                <w:color w:val="000000"/>
                <w:kern w:val="0"/>
                <w:szCs w:val="21"/>
              </w:rPr>
              <w:t>.</w:t>
            </w:r>
            <w:r>
              <w:rPr>
                <w:rFonts w:ascii="宋体" w:hAnsi="宋体" w:eastAsia="宋体" w:cs="宋体"/>
                <w:color w:val="000000"/>
                <w:kern w:val="0"/>
                <w:szCs w:val="21"/>
              </w:rPr>
              <w:t>73</w:t>
            </w:r>
          </w:p>
        </w:tc>
        <w:tc>
          <w:tcPr>
            <w:tcW w:w="1765" w:type="dxa"/>
            <w:shd w:val="clear" w:color="auto" w:fill="auto"/>
            <w:noWrap/>
            <w:vAlign w:val="center"/>
          </w:tcPr>
          <w:p>
            <w:pPr>
              <w:widowControl/>
              <w:ind w:firstLine="420" w:firstLineChars="200"/>
              <w:jc w:val="right"/>
              <w:rPr>
                <w:rFonts w:ascii="宋体" w:hAnsi="宋体" w:eastAsia="宋体" w:cs="宋体"/>
                <w:color w:val="000000"/>
                <w:kern w:val="0"/>
                <w:szCs w:val="21"/>
              </w:rPr>
            </w:pPr>
            <w:r>
              <w:rPr>
                <w:rFonts w:ascii="宋体" w:hAnsi="宋体" w:eastAsia="宋体" w:cs="宋体"/>
                <w:color w:val="000000"/>
                <w:kern w:val="0"/>
                <w:szCs w:val="21"/>
              </w:rPr>
              <w:t>2</w:t>
            </w:r>
            <w:r>
              <w:rPr>
                <w:rFonts w:hint="eastAsia" w:ascii="宋体" w:hAnsi="宋体" w:eastAsia="宋体" w:cs="宋体"/>
                <w:color w:val="000000"/>
                <w:kern w:val="0"/>
                <w:szCs w:val="21"/>
              </w:rPr>
              <w:t>,</w:t>
            </w:r>
            <w:r>
              <w:rPr>
                <w:rFonts w:ascii="宋体" w:hAnsi="宋体" w:eastAsia="宋体" w:cs="宋体"/>
                <w:color w:val="000000"/>
                <w:kern w:val="0"/>
                <w:szCs w:val="21"/>
              </w:rPr>
              <w:t>021</w:t>
            </w:r>
            <w:r>
              <w:rPr>
                <w:rFonts w:hint="eastAsia" w:ascii="宋体" w:hAnsi="宋体" w:eastAsia="宋体" w:cs="宋体"/>
                <w:color w:val="000000"/>
                <w:kern w:val="0"/>
                <w:szCs w:val="21"/>
              </w:rPr>
              <w:t>.</w:t>
            </w:r>
            <w:r>
              <w:rPr>
                <w:rFonts w:ascii="宋体" w:hAnsi="宋体" w:eastAsia="宋体" w:cs="宋体"/>
                <w:color w:val="000000"/>
                <w:kern w:val="0"/>
                <w:szCs w:val="21"/>
              </w:rPr>
              <w:t>15</w:t>
            </w:r>
          </w:p>
        </w:tc>
      </w:tr>
    </w:tbl>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上表中医药业务营业收入第二至第四季度有较大增幅，增幅较大的主要为毛利较低的医药商业业务，</w:t>
      </w:r>
      <w:r>
        <w:rPr>
          <w:rFonts w:hint="eastAsia" w:asciiTheme="minorEastAsia" w:hAnsiTheme="minorEastAsia"/>
          <w:sz w:val="24"/>
          <w:szCs w:val="24"/>
        </w:rPr>
        <w:t>而</w:t>
      </w:r>
      <w:r>
        <w:rPr>
          <w:rFonts w:asciiTheme="minorEastAsia" w:hAnsiTheme="minorEastAsia"/>
          <w:sz w:val="24"/>
          <w:szCs w:val="24"/>
        </w:rPr>
        <w:t>医药工业</w:t>
      </w:r>
      <w:r>
        <w:rPr>
          <w:rFonts w:hint="eastAsia" w:asciiTheme="minorEastAsia" w:hAnsiTheme="minorEastAsia"/>
          <w:sz w:val="24"/>
          <w:szCs w:val="24"/>
        </w:rPr>
        <w:t>业务</w:t>
      </w:r>
      <w:r>
        <w:rPr>
          <w:rFonts w:asciiTheme="minorEastAsia" w:hAnsiTheme="minorEastAsia"/>
          <w:sz w:val="24"/>
          <w:szCs w:val="24"/>
        </w:rPr>
        <w:t>增幅较小</w:t>
      </w:r>
      <w:r>
        <w:rPr>
          <w:rFonts w:hint="eastAsia" w:asciiTheme="minorEastAsia" w:hAnsiTheme="minorEastAsia"/>
          <w:sz w:val="24"/>
          <w:szCs w:val="24"/>
        </w:rPr>
        <w:t>；受</w:t>
      </w:r>
      <w:r>
        <w:rPr>
          <w:rFonts w:asciiTheme="minorEastAsia" w:hAnsiTheme="minorEastAsia"/>
          <w:sz w:val="24"/>
          <w:szCs w:val="24"/>
        </w:rPr>
        <w:t>上半年</w:t>
      </w:r>
      <w:r>
        <w:rPr>
          <w:rFonts w:hint="eastAsia" w:asciiTheme="minorEastAsia" w:hAnsiTheme="minorEastAsia"/>
          <w:sz w:val="24"/>
          <w:szCs w:val="24"/>
        </w:rPr>
        <w:t>地域管控</w:t>
      </w:r>
      <w:r>
        <w:rPr>
          <w:rFonts w:asciiTheme="minorEastAsia" w:hAnsiTheme="minorEastAsia"/>
          <w:sz w:val="24"/>
          <w:szCs w:val="24"/>
        </w:rPr>
        <w:t>影响，公司医药商业业务拓展受阻，随着市场环境的改善，下半年医药商业业务有较大增长</w:t>
      </w:r>
      <w:r>
        <w:rPr>
          <w:rFonts w:hint="eastAsia" w:asciiTheme="minorEastAsia" w:hAnsiTheme="minorEastAsia"/>
          <w:sz w:val="24"/>
          <w:szCs w:val="24"/>
        </w:rPr>
        <w:t>，故</w:t>
      </w:r>
      <w:r>
        <w:rPr>
          <w:rFonts w:asciiTheme="minorEastAsia" w:hAnsiTheme="minorEastAsia"/>
          <w:sz w:val="24"/>
          <w:szCs w:val="24"/>
        </w:rPr>
        <w:t>第四季度收入较第二、第三季度有大幅增长，主要</w:t>
      </w:r>
      <w:r>
        <w:rPr>
          <w:rFonts w:hint="eastAsia" w:asciiTheme="minorEastAsia" w:hAnsiTheme="minorEastAsia"/>
          <w:sz w:val="24"/>
          <w:szCs w:val="24"/>
        </w:rPr>
        <w:t>来自</w:t>
      </w:r>
      <w:r>
        <w:rPr>
          <w:rFonts w:asciiTheme="minorEastAsia" w:hAnsiTheme="minorEastAsia"/>
          <w:sz w:val="24"/>
          <w:szCs w:val="24"/>
        </w:rPr>
        <w:t>医药商业业务</w:t>
      </w:r>
      <w:r>
        <w:rPr>
          <w:rFonts w:hint="eastAsia" w:asciiTheme="minorEastAsia" w:hAnsiTheme="minorEastAsia"/>
          <w:sz w:val="24"/>
          <w:szCs w:val="24"/>
        </w:rPr>
        <w:t>收入的增长</w:t>
      </w:r>
      <w:r>
        <w:rPr>
          <w:rFonts w:asciiTheme="minorEastAsia" w:hAnsiTheme="minorEastAsia"/>
          <w:sz w:val="24"/>
          <w:szCs w:val="24"/>
        </w:rPr>
        <w:t>，</w:t>
      </w:r>
      <w:r>
        <w:rPr>
          <w:rFonts w:hint="eastAsia" w:asciiTheme="minorEastAsia" w:hAnsiTheme="minorEastAsia"/>
          <w:sz w:val="24"/>
          <w:szCs w:val="24"/>
        </w:rPr>
        <w:t>同时</w:t>
      </w:r>
      <w:r>
        <w:rPr>
          <w:rFonts w:asciiTheme="minorEastAsia" w:hAnsiTheme="minorEastAsia"/>
          <w:sz w:val="24"/>
          <w:szCs w:val="24"/>
        </w:rPr>
        <w:t>为市场拓展</w:t>
      </w:r>
      <w:r>
        <w:rPr>
          <w:rFonts w:hint="eastAsia" w:asciiTheme="minorEastAsia" w:hAnsiTheme="minorEastAsia"/>
          <w:sz w:val="24"/>
          <w:szCs w:val="24"/>
        </w:rPr>
        <w:t>第三季度投入</w:t>
      </w:r>
      <w:r>
        <w:rPr>
          <w:rFonts w:asciiTheme="minorEastAsia" w:hAnsiTheme="minorEastAsia"/>
          <w:sz w:val="24"/>
          <w:szCs w:val="24"/>
        </w:rPr>
        <w:t>增加销售费用1,575.11万元，</w:t>
      </w:r>
      <w:r>
        <w:rPr>
          <w:rFonts w:hint="eastAsia" w:asciiTheme="minorEastAsia" w:hAnsiTheme="minorEastAsia"/>
          <w:sz w:val="24"/>
          <w:szCs w:val="24"/>
        </w:rPr>
        <w:t>第四季度投入较第三季度增加销售费用</w:t>
      </w:r>
      <w:r>
        <w:rPr>
          <w:rFonts w:asciiTheme="minorEastAsia" w:hAnsiTheme="minorEastAsia"/>
          <w:sz w:val="24"/>
          <w:szCs w:val="24"/>
        </w:rPr>
        <w:t>928</w:t>
      </w:r>
      <w:r>
        <w:rPr>
          <w:rFonts w:hint="eastAsia" w:asciiTheme="minorEastAsia" w:hAnsiTheme="minorEastAsia"/>
          <w:sz w:val="24"/>
          <w:szCs w:val="24"/>
        </w:rPr>
        <w:t>.</w:t>
      </w:r>
      <w:r>
        <w:rPr>
          <w:rFonts w:asciiTheme="minorEastAsia" w:hAnsiTheme="minorEastAsia"/>
          <w:sz w:val="24"/>
          <w:szCs w:val="24"/>
        </w:rPr>
        <w:t>83</w:t>
      </w:r>
      <w:r>
        <w:rPr>
          <w:rFonts w:hint="eastAsia" w:asciiTheme="minorEastAsia" w:hAnsiTheme="minorEastAsia"/>
          <w:sz w:val="24"/>
          <w:szCs w:val="24"/>
        </w:rPr>
        <w:t>万元，导致营业收入大幅增加的情形下利润增加幅度不明显。</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贸易板块相关财务指标列表如下：</w:t>
      </w:r>
    </w:p>
    <w:p>
      <w:pPr>
        <w:tabs>
          <w:tab w:val="left" w:pos="567"/>
        </w:tabs>
        <w:spacing w:line="360" w:lineRule="auto"/>
        <w:ind w:firstLine="480" w:firstLineChars="200"/>
        <w:jc w:val="right"/>
        <w:rPr>
          <w:rFonts w:asciiTheme="minorEastAsia" w:hAnsiTheme="minorEastAsia"/>
          <w:sz w:val="24"/>
          <w:szCs w:val="24"/>
        </w:rPr>
      </w:pPr>
      <w:r>
        <w:rPr>
          <w:rFonts w:hint="eastAsia" w:asciiTheme="minorEastAsia" w:hAnsiTheme="minorEastAsia"/>
          <w:sz w:val="24"/>
          <w:szCs w:val="24"/>
        </w:rPr>
        <w:t>单位：万元</w:t>
      </w:r>
    </w:p>
    <w:tbl>
      <w:tblPr>
        <w:tblStyle w:val="8"/>
        <w:tblW w:w="4869" w:type="pct"/>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2017"/>
        <w:gridCol w:w="1622"/>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30" w:type="pct"/>
            <w:shd w:val="clear" w:color="auto" w:fill="auto"/>
            <w:noWrap/>
            <w:vAlign w:val="bottom"/>
          </w:tcPr>
          <w:p>
            <w:pPr>
              <w:widowControl/>
              <w:tabs>
                <w:tab w:val="left" w:pos="567"/>
              </w:tabs>
              <w:ind w:firstLine="420" w:firstLineChars="200"/>
              <w:jc w:val="left"/>
              <w:rPr>
                <w:rFonts w:cs="Arial" w:asciiTheme="minorEastAsia" w:hAnsiTheme="minorEastAsia"/>
                <w:color w:val="000000"/>
                <w:kern w:val="0"/>
                <w:szCs w:val="21"/>
              </w:rPr>
            </w:pPr>
          </w:p>
        </w:tc>
        <w:tc>
          <w:tcPr>
            <w:tcW w:w="1215" w:type="pct"/>
            <w:shd w:val="clear" w:color="auto" w:fill="auto"/>
            <w:noWrap/>
            <w:vAlign w:val="bottom"/>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第二季度</w:t>
            </w:r>
          </w:p>
        </w:tc>
        <w:tc>
          <w:tcPr>
            <w:tcW w:w="977" w:type="pct"/>
            <w:shd w:val="clear" w:color="auto" w:fill="auto"/>
            <w:noWrap/>
            <w:vAlign w:val="bottom"/>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第三季度</w:t>
            </w:r>
          </w:p>
        </w:tc>
        <w:tc>
          <w:tcPr>
            <w:tcW w:w="977" w:type="pct"/>
            <w:shd w:val="clear" w:color="auto" w:fill="auto"/>
            <w:noWrap/>
            <w:vAlign w:val="bottom"/>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30" w:type="pct"/>
            <w:shd w:val="clear" w:color="auto" w:fill="auto"/>
            <w:noWrap/>
            <w:vAlign w:val="bottom"/>
          </w:tcPr>
          <w:p>
            <w:pPr>
              <w:widowControl/>
              <w:tabs>
                <w:tab w:val="left" w:pos="567"/>
              </w:tabs>
              <w:ind w:firstLine="420" w:firstLineChars="200"/>
              <w:jc w:val="left"/>
              <w:rPr>
                <w:rFonts w:cs="Arial" w:asciiTheme="minorEastAsia" w:hAnsiTheme="minorEastAsia"/>
                <w:color w:val="000000"/>
                <w:kern w:val="0"/>
                <w:szCs w:val="21"/>
              </w:rPr>
            </w:pPr>
            <w:r>
              <w:rPr>
                <w:rFonts w:cs="Arial" w:asciiTheme="minorEastAsia" w:hAnsiTheme="minorEastAsia"/>
                <w:color w:val="000000"/>
                <w:kern w:val="0"/>
                <w:szCs w:val="21"/>
              </w:rPr>
              <w:t>营业收入</w:t>
            </w:r>
          </w:p>
        </w:tc>
        <w:tc>
          <w:tcPr>
            <w:tcW w:w="1215"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9,281.27</w:t>
            </w:r>
          </w:p>
        </w:tc>
        <w:tc>
          <w:tcPr>
            <w:tcW w:w="977"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24,720.70</w:t>
            </w:r>
          </w:p>
        </w:tc>
        <w:tc>
          <w:tcPr>
            <w:tcW w:w="977"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11,319.88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30" w:type="pct"/>
            <w:shd w:val="clear" w:color="auto" w:fill="auto"/>
            <w:noWrap/>
            <w:vAlign w:val="bottom"/>
          </w:tcPr>
          <w:p>
            <w:pPr>
              <w:widowControl/>
              <w:tabs>
                <w:tab w:val="left" w:pos="567"/>
              </w:tabs>
              <w:ind w:firstLine="420" w:firstLineChars="200"/>
              <w:jc w:val="left"/>
              <w:rPr>
                <w:rFonts w:cs="Arial" w:asciiTheme="minorEastAsia" w:hAnsiTheme="minorEastAsia"/>
                <w:color w:val="000000"/>
                <w:kern w:val="0"/>
                <w:szCs w:val="21"/>
              </w:rPr>
            </w:pPr>
            <w:r>
              <w:rPr>
                <w:rFonts w:cs="Arial" w:asciiTheme="minorEastAsia" w:hAnsiTheme="minorEastAsia"/>
                <w:color w:val="000000"/>
                <w:kern w:val="0"/>
                <w:szCs w:val="21"/>
              </w:rPr>
              <w:t>营业成本</w:t>
            </w:r>
          </w:p>
        </w:tc>
        <w:tc>
          <w:tcPr>
            <w:tcW w:w="1215"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8,757.18</w:t>
            </w:r>
          </w:p>
        </w:tc>
        <w:tc>
          <w:tcPr>
            <w:tcW w:w="977"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24,221.99</w:t>
            </w:r>
          </w:p>
        </w:tc>
        <w:tc>
          <w:tcPr>
            <w:tcW w:w="977"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10,235.47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30" w:type="pct"/>
            <w:shd w:val="clear" w:color="auto" w:fill="auto"/>
            <w:noWrap/>
            <w:vAlign w:val="bottom"/>
          </w:tcPr>
          <w:p>
            <w:pPr>
              <w:widowControl/>
              <w:tabs>
                <w:tab w:val="left" w:pos="567"/>
              </w:tabs>
              <w:ind w:firstLine="420" w:firstLineChars="200"/>
              <w:jc w:val="left"/>
              <w:rPr>
                <w:rFonts w:cs="Arial" w:asciiTheme="minorEastAsia" w:hAnsiTheme="minorEastAsia"/>
                <w:color w:val="000000"/>
                <w:kern w:val="0"/>
                <w:szCs w:val="21"/>
              </w:rPr>
            </w:pPr>
            <w:r>
              <w:rPr>
                <w:rFonts w:cs="Arial" w:asciiTheme="minorEastAsia" w:hAnsiTheme="minorEastAsia"/>
                <w:color w:val="000000"/>
                <w:kern w:val="0"/>
                <w:szCs w:val="21"/>
              </w:rPr>
              <w:t>毛利</w:t>
            </w:r>
          </w:p>
        </w:tc>
        <w:tc>
          <w:tcPr>
            <w:tcW w:w="1215"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524.09</w:t>
            </w:r>
          </w:p>
        </w:tc>
        <w:tc>
          <w:tcPr>
            <w:tcW w:w="977"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498.71</w:t>
            </w:r>
          </w:p>
        </w:tc>
        <w:tc>
          <w:tcPr>
            <w:tcW w:w="977"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1,084.41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30" w:type="pct"/>
            <w:shd w:val="clear" w:color="auto" w:fill="auto"/>
            <w:noWrap/>
            <w:vAlign w:val="bottom"/>
          </w:tcPr>
          <w:p>
            <w:pPr>
              <w:widowControl/>
              <w:tabs>
                <w:tab w:val="left" w:pos="567"/>
              </w:tabs>
              <w:ind w:firstLine="420" w:firstLineChars="200"/>
              <w:jc w:val="left"/>
              <w:rPr>
                <w:rFonts w:cs="Arial" w:asciiTheme="minorEastAsia" w:hAnsiTheme="minorEastAsia"/>
                <w:color w:val="000000"/>
                <w:kern w:val="0"/>
                <w:szCs w:val="21"/>
              </w:rPr>
            </w:pPr>
            <w:r>
              <w:rPr>
                <w:rFonts w:cs="Arial" w:asciiTheme="minorEastAsia" w:hAnsiTheme="minorEastAsia"/>
                <w:color w:val="000000"/>
                <w:kern w:val="0"/>
                <w:szCs w:val="21"/>
              </w:rPr>
              <w:t>销售费用</w:t>
            </w:r>
          </w:p>
        </w:tc>
        <w:tc>
          <w:tcPr>
            <w:tcW w:w="1215"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8.85</w:t>
            </w:r>
          </w:p>
        </w:tc>
        <w:tc>
          <w:tcPr>
            <w:tcW w:w="977"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17.29</w:t>
            </w:r>
          </w:p>
        </w:tc>
        <w:tc>
          <w:tcPr>
            <w:tcW w:w="977" w:type="pct"/>
            <w:shd w:val="clear" w:color="auto" w:fill="auto"/>
            <w:noWrap/>
            <w:vAlign w:val="center"/>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162.46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30" w:type="pct"/>
            <w:shd w:val="clear" w:color="auto" w:fill="auto"/>
            <w:noWrap/>
            <w:vAlign w:val="bottom"/>
          </w:tcPr>
          <w:p>
            <w:pPr>
              <w:widowControl/>
              <w:tabs>
                <w:tab w:val="left" w:pos="567"/>
              </w:tabs>
              <w:ind w:firstLine="420" w:firstLineChars="200"/>
              <w:jc w:val="left"/>
              <w:rPr>
                <w:rFonts w:cs="Arial" w:asciiTheme="minorEastAsia" w:hAnsiTheme="minorEastAsia"/>
                <w:color w:val="000000"/>
                <w:kern w:val="0"/>
                <w:szCs w:val="21"/>
              </w:rPr>
            </w:pPr>
            <w:r>
              <w:rPr>
                <w:rFonts w:cs="Arial" w:asciiTheme="minorEastAsia" w:hAnsiTheme="minorEastAsia"/>
                <w:color w:val="000000"/>
                <w:kern w:val="0"/>
                <w:szCs w:val="21"/>
              </w:rPr>
              <w:t>营收扣减</w:t>
            </w:r>
            <w:r>
              <w:rPr>
                <w:rFonts w:hint="eastAsia" w:cs="Arial" w:asciiTheme="minorEastAsia" w:hAnsiTheme="minorEastAsia"/>
                <w:color w:val="000000"/>
                <w:kern w:val="0"/>
                <w:szCs w:val="21"/>
              </w:rPr>
              <w:t>销售</w:t>
            </w:r>
            <w:r>
              <w:rPr>
                <w:rFonts w:cs="Arial" w:asciiTheme="minorEastAsia" w:hAnsiTheme="minorEastAsia"/>
                <w:color w:val="000000"/>
                <w:kern w:val="0"/>
                <w:szCs w:val="21"/>
              </w:rPr>
              <w:t>费用后差额</w:t>
            </w:r>
          </w:p>
        </w:tc>
        <w:tc>
          <w:tcPr>
            <w:tcW w:w="1215" w:type="pct"/>
            <w:shd w:val="clear" w:color="auto" w:fill="auto"/>
            <w:noWrap/>
          </w:tcPr>
          <w:p>
            <w:pPr>
              <w:widowControl/>
              <w:tabs>
                <w:tab w:val="left" w:pos="567"/>
              </w:tabs>
              <w:ind w:firstLine="420" w:firstLineChars="200"/>
              <w:jc w:val="right"/>
              <w:rPr>
                <w:rFonts w:hint="eastAsia" w:cs="Arial" w:asciiTheme="minorEastAsia" w:hAnsiTheme="minorEastAsia" w:eastAsiaTheme="minorEastAsia"/>
                <w:color w:val="000000"/>
                <w:kern w:val="0"/>
                <w:szCs w:val="21"/>
                <w:lang w:eastAsia="zh-CN"/>
              </w:rPr>
            </w:pPr>
            <w:r>
              <w:rPr>
                <w:rFonts w:cs="Arial" w:asciiTheme="minorEastAsia" w:hAnsiTheme="minorEastAsia"/>
                <w:color w:val="000000"/>
                <w:kern w:val="0"/>
                <w:szCs w:val="21"/>
              </w:rPr>
              <w:t>515.24</w:t>
            </w:r>
          </w:p>
        </w:tc>
        <w:tc>
          <w:tcPr>
            <w:tcW w:w="977" w:type="pct"/>
            <w:shd w:val="clear" w:color="auto" w:fill="auto"/>
            <w:noWrap/>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481.43</w:t>
            </w:r>
          </w:p>
        </w:tc>
        <w:tc>
          <w:tcPr>
            <w:tcW w:w="977" w:type="pct"/>
            <w:shd w:val="clear" w:color="auto" w:fill="auto"/>
            <w:noWrap/>
          </w:tcPr>
          <w:p>
            <w:pPr>
              <w:widowControl/>
              <w:tabs>
                <w:tab w:val="left" w:pos="567"/>
              </w:tabs>
              <w:ind w:firstLine="420" w:firstLineChars="200"/>
              <w:jc w:val="right"/>
              <w:rPr>
                <w:rFonts w:cs="Arial" w:asciiTheme="minorEastAsia" w:hAnsiTheme="minorEastAsia"/>
                <w:color w:val="000000"/>
                <w:kern w:val="0"/>
                <w:szCs w:val="21"/>
              </w:rPr>
            </w:pPr>
            <w:r>
              <w:rPr>
                <w:rFonts w:cs="Arial" w:asciiTheme="minorEastAsia" w:hAnsiTheme="minorEastAsia"/>
                <w:color w:val="000000"/>
                <w:kern w:val="0"/>
                <w:szCs w:val="21"/>
              </w:rPr>
              <w:t>921.95</w:t>
            </w:r>
          </w:p>
        </w:tc>
      </w:tr>
    </w:tbl>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上表中贸易业务毛利第三至第四季度绝对额</w:t>
      </w:r>
      <w:r>
        <w:rPr>
          <w:rFonts w:hint="eastAsia" w:asciiTheme="minorEastAsia" w:hAnsiTheme="minorEastAsia"/>
          <w:sz w:val="24"/>
          <w:szCs w:val="24"/>
        </w:rPr>
        <w:t>占公司整体归母净利润的比例较小，</w:t>
      </w:r>
      <w:r>
        <w:rPr>
          <w:rFonts w:asciiTheme="minorEastAsia" w:hAnsiTheme="minorEastAsia"/>
          <w:sz w:val="24"/>
          <w:szCs w:val="24"/>
        </w:rPr>
        <w:t>对公司整体归母净利润影响不大。</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综上</w:t>
      </w:r>
      <w:r>
        <w:rPr>
          <w:rFonts w:hint="eastAsia" w:asciiTheme="minorEastAsia" w:hAnsiTheme="minorEastAsia"/>
          <w:sz w:val="24"/>
          <w:szCs w:val="24"/>
        </w:rPr>
        <w:t>所述</w:t>
      </w:r>
      <w:r>
        <w:rPr>
          <w:rFonts w:asciiTheme="minorEastAsia" w:hAnsiTheme="minorEastAsia"/>
          <w:sz w:val="24"/>
          <w:szCs w:val="24"/>
        </w:rPr>
        <w:t>，公司第二至四季度营业收入</w:t>
      </w:r>
      <w:r>
        <w:rPr>
          <w:rFonts w:hint="eastAsia" w:asciiTheme="minorEastAsia" w:hAnsiTheme="minorEastAsia"/>
          <w:sz w:val="24"/>
          <w:szCs w:val="24"/>
        </w:rPr>
        <w:t>整体</w:t>
      </w:r>
      <w:r>
        <w:rPr>
          <w:rFonts w:asciiTheme="minorEastAsia" w:hAnsiTheme="minorEastAsia"/>
          <w:sz w:val="24"/>
          <w:szCs w:val="24"/>
        </w:rPr>
        <w:t>增长较大，由于医药商业增长额较大但毛利较低，</w:t>
      </w:r>
      <w:r>
        <w:rPr>
          <w:rFonts w:hint="eastAsia" w:asciiTheme="minorEastAsia" w:hAnsiTheme="minorEastAsia"/>
          <w:sz w:val="24"/>
          <w:szCs w:val="24"/>
        </w:rPr>
        <w:t>同时</w:t>
      </w:r>
      <w:r>
        <w:rPr>
          <w:rFonts w:asciiTheme="minorEastAsia" w:hAnsiTheme="minorEastAsia"/>
          <w:sz w:val="24"/>
          <w:szCs w:val="24"/>
        </w:rPr>
        <w:t>为拓展业务同步增加了销售费用的支出，</w:t>
      </w:r>
      <w:r>
        <w:rPr>
          <w:rFonts w:hint="eastAsia" w:asciiTheme="minorEastAsia" w:hAnsiTheme="minorEastAsia"/>
          <w:sz w:val="24"/>
          <w:szCs w:val="24"/>
        </w:rPr>
        <w:t>造成整体</w:t>
      </w:r>
      <w:r>
        <w:rPr>
          <w:rFonts w:asciiTheme="minorEastAsia" w:hAnsiTheme="minorEastAsia"/>
          <w:sz w:val="24"/>
          <w:szCs w:val="24"/>
        </w:rPr>
        <w:t>归母净利润</w:t>
      </w:r>
      <w:r>
        <w:rPr>
          <w:rFonts w:hint="eastAsia" w:asciiTheme="minorEastAsia" w:hAnsiTheme="minorEastAsia"/>
          <w:sz w:val="24"/>
          <w:szCs w:val="24"/>
        </w:rPr>
        <w:t>与营业收入的变动趋势不一致</w:t>
      </w:r>
      <w:r>
        <w:rPr>
          <w:rFonts w:asciiTheme="minorEastAsia" w:hAnsiTheme="minorEastAsia"/>
          <w:sz w:val="24"/>
          <w:szCs w:val="24"/>
        </w:rPr>
        <w:t>。</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同行业可比公司2022年度第二至第四季度收入利润情况如下表：</w:t>
      </w:r>
    </w:p>
    <w:p>
      <w:pPr>
        <w:tabs>
          <w:tab w:val="left" w:pos="567"/>
        </w:tabs>
        <w:spacing w:line="360" w:lineRule="auto"/>
        <w:ind w:right="720" w:firstLine="420" w:firstLineChars="200"/>
        <w:jc w:val="right"/>
        <w:rPr>
          <w:rFonts w:asciiTheme="minorEastAsia" w:hAnsiTheme="minorEastAsia"/>
          <w:szCs w:val="21"/>
        </w:rPr>
      </w:pPr>
      <w:r>
        <w:rPr>
          <w:rFonts w:hint="eastAsia" w:asciiTheme="minorEastAsia" w:hAnsiTheme="minorEastAsia"/>
          <w:szCs w:val="21"/>
        </w:rPr>
        <w:t>单位：万元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1747"/>
        <w:gridCol w:w="1747"/>
        <w:gridCol w:w="1747"/>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 w:type="pct"/>
            <w:shd w:val="clear" w:color="auto" w:fill="auto"/>
            <w:noWrap/>
            <w:vAlign w:val="center"/>
          </w:tcPr>
          <w:p>
            <w:pPr>
              <w:rPr>
                <w:rFonts w:asciiTheme="minorEastAsia" w:hAnsiTheme="minorEastAsia"/>
                <w:szCs w:val="21"/>
              </w:rPr>
            </w:pPr>
            <w:r>
              <w:rPr>
                <w:rFonts w:hint="eastAsia" w:asciiTheme="minorEastAsia" w:hAnsiTheme="minorEastAsia"/>
                <w:szCs w:val="21"/>
              </w:rPr>
              <w:t>公司名称</w:t>
            </w:r>
          </w:p>
        </w:tc>
        <w:tc>
          <w:tcPr>
            <w:tcW w:w="1025" w:type="pct"/>
            <w:shd w:val="clear" w:color="auto" w:fill="auto"/>
            <w:noWrap/>
            <w:vAlign w:val="center"/>
          </w:tcPr>
          <w:p>
            <w:pPr>
              <w:rPr>
                <w:rFonts w:asciiTheme="minorEastAsia" w:hAnsiTheme="minorEastAsia"/>
                <w:szCs w:val="21"/>
              </w:rPr>
            </w:pPr>
            <w:r>
              <w:rPr>
                <w:rFonts w:hint="eastAsia" w:asciiTheme="minorEastAsia" w:hAnsiTheme="minorEastAsia"/>
                <w:szCs w:val="21"/>
              </w:rPr>
              <w:t>项目</w:t>
            </w:r>
          </w:p>
        </w:tc>
        <w:tc>
          <w:tcPr>
            <w:tcW w:w="1025" w:type="pct"/>
            <w:shd w:val="clear" w:color="auto" w:fill="auto"/>
            <w:vAlign w:val="center"/>
          </w:tcPr>
          <w:p>
            <w:pPr>
              <w:rPr>
                <w:rFonts w:asciiTheme="minorEastAsia" w:hAnsiTheme="minorEastAsia"/>
                <w:szCs w:val="21"/>
              </w:rPr>
            </w:pPr>
            <w:r>
              <w:rPr>
                <w:rFonts w:hint="eastAsia" w:asciiTheme="minorEastAsia" w:hAnsiTheme="minorEastAsia"/>
                <w:szCs w:val="21"/>
              </w:rPr>
              <w:t>第二季度</w:t>
            </w:r>
          </w:p>
        </w:tc>
        <w:tc>
          <w:tcPr>
            <w:tcW w:w="1025" w:type="pct"/>
            <w:shd w:val="clear" w:color="auto" w:fill="auto"/>
            <w:vAlign w:val="center"/>
          </w:tcPr>
          <w:p>
            <w:pPr>
              <w:rPr>
                <w:rFonts w:asciiTheme="minorEastAsia" w:hAnsiTheme="minorEastAsia"/>
                <w:szCs w:val="21"/>
              </w:rPr>
            </w:pPr>
            <w:r>
              <w:rPr>
                <w:rFonts w:hint="eastAsia" w:asciiTheme="minorEastAsia" w:hAnsiTheme="minorEastAsia"/>
                <w:szCs w:val="21"/>
              </w:rPr>
              <w:t>第三季度</w:t>
            </w:r>
          </w:p>
        </w:tc>
        <w:tc>
          <w:tcPr>
            <w:tcW w:w="1073" w:type="pct"/>
            <w:shd w:val="clear" w:color="auto" w:fill="auto"/>
            <w:vAlign w:val="center"/>
          </w:tcPr>
          <w:p>
            <w:pPr>
              <w:rPr>
                <w:rFonts w:asciiTheme="minorEastAsia" w:hAnsiTheme="minorEastAsia"/>
                <w:szCs w:val="21"/>
              </w:rPr>
            </w:pPr>
            <w:r>
              <w:rPr>
                <w:rFonts w:hint="eastAsia" w:asciiTheme="minorEastAsia" w:hAnsiTheme="minorEastAsia"/>
                <w:szCs w:val="21"/>
              </w:rPr>
              <w:t>第四季度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 w:type="pct"/>
            <w:vMerge w:val="restart"/>
            <w:shd w:val="clear" w:color="auto" w:fill="auto"/>
            <w:noWrap/>
            <w:vAlign w:val="center"/>
          </w:tcPr>
          <w:p>
            <w:pPr>
              <w:rPr>
                <w:rFonts w:asciiTheme="minorEastAsia" w:hAnsiTheme="minorEastAsia"/>
                <w:szCs w:val="21"/>
              </w:rPr>
            </w:pPr>
            <w:r>
              <w:rPr>
                <w:rFonts w:hint="eastAsia" w:asciiTheme="minorEastAsia" w:hAnsiTheme="minorEastAsia"/>
                <w:szCs w:val="21"/>
              </w:rPr>
              <w:t>华润双鹤</w:t>
            </w:r>
          </w:p>
        </w:tc>
        <w:tc>
          <w:tcPr>
            <w:tcW w:w="1025" w:type="pct"/>
            <w:shd w:val="clear" w:color="auto" w:fill="auto"/>
            <w:noWrap/>
            <w:vAlign w:val="center"/>
          </w:tcPr>
          <w:p>
            <w:pPr>
              <w:rPr>
                <w:rFonts w:asciiTheme="minorEastAsia" w:hAnsiTheme="minorEastAsia"/>
                <w:szCs w:val="21"/>
              </w:rPr>
            </w:pPr>
            <w:r>
              <w:rPr>
                <w:rFonts w:hint="eastAsia" w:asciiTheme="minorEastAsia" w:hAnsiTheme="minorEastAsia"/>
                <w:szCs w:val="21"/>
              </w:rPr>
              <w:t>营业收入</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239,264.95</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224,736.76</w:t>
            </w:r>
          </w:p>
        </w:tc>
        <w:tc>
          <w:tcPr>
            <w:tcW w:w="1073"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228,873.31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 w:type="pct"/>
            <w:vMerge w:val="continue"/>
            <w:shd w:val="clear" w:color="auto" w:fill="auto"/>
            <w:vAlign w:val="center"/>
          </w:tcPr>
          <w:p>
            <w:pPr>
              <w:rPr>
                <w:rFonts w:asciiTheme="minorEastAsia" w:hAnsiTheme="minorEastAsia"/>
                <w:szCs w:val="21"/>
              </w:rPr>
            </w:pPr>
          </w:p>
        </w:tc>
        <w:tc>
          <w:tcPr>
            <w:tcW w:w="1025" w:type="pct"/>
            <w:shd w:val="clear" w:color="auto" w:fill="auto"/>
            <w:noWrap/>
            <w:vAlign w:val="center"/>
          </w:tcPr>
          <w:p>
            <w:pPr>
              <w:rPr>
                <w:rFonts w:asciiTheme="minorEastAsia" w:hAnsiTheme="minorEastAsia"/>
                <w:szCs w:val="21"/>
              </w:rPr>
            </w:pPr>
            <w:r>
              <w:rPr>
                <w:rFonts w:hint="eastAsia" w:asciiTheme="minorEastAsia" w:hAnsiTheme="minorEastAsia"/>
                <w:szCs w:val="21"/>
              </w:rPr>
              <w:t>扣非净利</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37,418.83</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23,453.99</w:t>
            </w:r>
          </w:p>
        </w:tc>
        <w:tc>
          <w:tcPr>
            <w:tcW w:w="1073"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16,226.50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 w:type="pct"/>
            <w:vMerge w:val="restart"/>
            <w:shd w:val="clear" w:color="auto" w:fill="auto"/>
            <w:noWrap/>
            <w:vAlign w:val="center"/>
          </w:tcPr>
          <w:p>
            <w:pPr>
              <w:rPr>
                <w:rFonts w:asciiTheme="minorEastAsia" w:hAnsiTheme="minorEastAsia"/>
                <w:szCs w:val="21"/>
              </w:rPr>
            </w:pPr>
            <w:r>
              <w:rPr>
                <w:rFonts w:hint="eastAsia" w:asciiTheme="minorEastAsia" w:hAnsiTheme="minorEastAsia"/>
                <w:szCs w:val="21"/>
              </w:rPr>
              <w:t>西藏药业</w:t>
            </w:r>
          </w:p>
        </w:tc>
        <w:tc>
          <w:tcPr>
            <w:tcW w:w="1025" w:type="pct"/>
            <w:shd w:val="clear" w:color="auto" w:fill="auto"/>
            <w:noWrap/>
            <w:vAlign w:val="center"/>
          </w:tcPr>
          <w:p>
            <w:pPr>
              <w:rPr>
                <w:rFonts w:asciiTheme="minorEastAsia" w:hAnsiTheme="minorEastAsia"/>
                <w:szCs w:val="21"/>
              </w:rPr>
            </w:pPr>
            <w:r>
              <w:rPr>
                <w:rFonts w:hint="eastAsia" w:asciiTheme="minorEastAsia" w:hAnsiTheme="minorEastAsia"/>
                <w:szCs w:val="21"/>
              </w:rPr>
              <w:t>营业收入</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68,705.22</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61,495.82</w:t>
            </w:r>
          </w:p>
        </w:tc>
        <w:tc>
          <w:tcPr>
            <w:tcW w:w="1073"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59,646.29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 w:type="pct"/>
            <w:vMerge w:val="continue"/>
            <w:shd w:val="clear" w:color="auto" w:fill="auto"/>
            <w:vAlign w:val="center"/>
          </w:tcPr>
          <w:p>
            <w:pPr>
              <w:rPr>
                <w:rFonts w:asciiTheme="minorEastAsia" w:hAnsiTheme="minorEastAsia"/>
                <w:szCs w:val="21"/>
              </w:rPr>
            </w:pPr>
          </w:p>
        </w:tc>
        <w:tc>
          <w:tcPr>
            <w:tcW w:w="1025" w:type="pct"/>
            <w:shd w:val="clear" w:color="auto" w:fill="auto"/>
            <w:noWrap/>
            <w:vAlign w:val="center"/>
          </w:tcPr>
          <w:p>
            <w:pPr>
              <w:rPr>
                <w:rFonts w:asciiTheme="minorEastAsia" w:hAnsiTheme="minorEastAsia"/>
                <w:szCs w:val="21"/>
              </w:rPr>
            </w:pPr>
            <w:r>
              <w:rPr>
                <w:rFonts w:hint="eastAsia" w:asciiTheme="minorEastAsia" w:hAnsiTheme="minorEastAsia"/>
                <w:szCs w:val="21"/>
              </w:rPr>
              <w:t>扣非净利</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9,050.68</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17,820.50</w:t>
            </w:r>
          </w:p>
        </w:tc>
        <w:tc>
          <w:tcPr>
            <w:tcW w:w="1073"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-8,207.32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 w:type="pct"/>
            <w:vMerge w:val="restart"/>
            <w:shd w:val="clear" w:color="auto" w:fill="auto"/>
            <w:noWrap/>
            <w:vAlign w:val="center"/>
          </w:tcPr>
          <w:p>
            <w:pPr>
              <w:rPr>
                <w:rFonts w:asciiTheme="minorEastAsia" w:hAnsiTheme="minorEastAsia"/>
                <w:szCs w:val="21"/>
              </w:rPr>
            </w:pPr>
            <w:r>
              <w:rPr>
                <w:rFonts w:hint="eastAsia" w:asciiTheme="minorEastAsia" w:hAnsiTheme="minorEastAsia"/>
                <w:szCs w:val="21"/>
              </w:rPr>
              <w:t>哈药股份</w:t>
            </w:r>
          </w:p>
        </w:tc>
        <w:tc>
          <w:tcPr>
            <w:tcW w:w="1025" w:type="pct"/>
            <w:shd w:val="clear" w:color="auto" w:fill="auto"/>
            <w:noWrap/>
            <w:vAlign w:val="center"/>
          </w:tcPr>
          <w:p>
            <w:pPr>
              <w:rPr>
                <w:rFonts w:asciiTheme="minorEastAsia" w:hAnsiTheme="minorEastAsia"/>
                <w:szCs w:val="21"/>
              </w:rPr>
            </w:pPr>
            <w:r>
              <w:rPr>
                <w:rFonts w:hint="eastAsia" w:asciiTheme="minorEastAsia" w:hAnsiTheme="minorEastAsia"/>
                <w:szCs w:val="21"/>
              </w:rPr>
              <w:t>营业收入</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308,191.27</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357,480.69</w:t>
            </w:r>
          </w:p>
        </w:tc>
        <w:tc>
          <w:tcPr>
            <w:tcW w:w="1073"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381,820.37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 w:type="pct"/>
            <w:vMerge w:val="continue"/>
            <w:shd w:val="clear" w:color="auto" w:fill="auto"/>
            <w:vAlign w:val="center"/>
          </w:tcPr>
          <w:p>
            <w:pPr>
              <w:rPr>
                <w:rFonts w:asciiTheme="minorEastAsia" w:hAnsiTheme="minorEastAsia"/>
                <w:szCs w:val="21"/>
              </w:rPr>
            </w:pPr>
          </w:p>
        </w:tc>
        <w:tc>
          <w:tcPr>
            <w:tcW w:w="1025" w:type="pct"/>
            <w:shd w:val="clear" w:color="auto" w:fill="auto"/>
            <w:noWrap/>
            <w:vAlign w:val="center"/>
          </w:tcPr>
          <w:p>
            <w:pPr>
              <w:rPr>
                <w:rFonts w:asciiTheme="minorEastAsia" w:hAnsiTheme="minorEastAsia"/>
                <w:szCs w:val="21"/>
              </w:rPr>
            </w:pPr>
            <w:r>
              <w:rPr>
                <w:rFonts w:hint="eastAsia" w:asciiTheme="minorEastAsia" w:hAnsiTheme="minorEastAsia"/>
                <w:szCs w:val="21"/>
              </w:rPr>
              <w:t>扣非净利</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1,324.81</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1,366.55</w:t>
            </w:r>
          </w:p>
        </w:tc>
        <w:tc>
          <w:tcPr>
            <w:tcW w:w="1073"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10,703.32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 w:type="pct"/>
            <w:vMerge w:val="restart"/>
            <w:shd w:val="clear" w:color="auto" w:fill="auto"/>
            <w:noWrap/>
            <w:vAlign w:val="center"/>
          </w:tcPr>
          <w:p>
            <w:pPr>
              <w:rPr>
                <w:rFonts w:asciiTheme="minorEastAsia" w:hAnsiTheme="minorEastAsia"/>
                <w:szCs w:val="21"/>
              </w:rPr>
            </w:pPr>
            <w:r>
              <w:rPr>
                <w:rFonts w:hint="eastAsia" w:asciiTheme="minorEastAsia" w:hAnsiTheme="minorEastAsia"/>
                <w:szCs w:val="21"/>
              </w:rPr>
              <w:t>白云山</w:t>
            </w:r>
          </w:p>
        </w:tc>
        <w:tc>
          <w:tcPr>
            <w:tcW w:w="1025" w:type="pct"/>
            <w:shd w:val="clear" w:color="auto" w:fill="auto"/>
            <w:noWrap/>
            <w:vAlign w:val="center"/>
          </w:tcPr>
          <w:p>
            <w:pPr>
              <w:rPr>
                <w:rFonts w:asciiTheme="minorEastAsia" w:hAnsiTheme="minorEastAsia"/>
                <w:szCs w:val="21"/>
              </w:rPr>
            </w:pPr>
            <w:r>
              <w:rPr>
                <w:rFonts w:hint="eastAsia" w:asciiTheme="minorEastAsia" w:hAnsiTheme="minorEastAsia"/>
                <w:szCs w:val="21"/>
              </w:rPr>
              <w:t>营业收入</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1,668,194.20</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1,758,546.50</w:t>
            </w:r>
          </w:p>
        </w:tc>
        <w:tc>
          <w:tcPr>
            <w:tcW w:w="1073"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1,598,224.00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 w:type="pct"/>
            <w:vMerge w:val="continue"/>
            <w:shd w:val="clear" w:color="auto" w:fill="auto"/>
            <w:vAlign w:val="center"/>
          </w:tcPr>
          <w:p>
            <w:pPr>
              <w:rPr>
                <w:rFonts w:asciiTheme="minorEastAsia" w:hAnsiTheme="minorEastAsia"/>
                <w:szCs w:val="21"/>
              </w:rPr>
            </w:pPr>
          </w:p>
        </w:tc>
        <w:tc>
          <w:tcPr>
            <w:tcW w:w="1025" w:type="pct"/>
            <w:shd w:val="clear" w:color="auto" w:fill="auto"/>
            <w:noWrap/>
            <w:vAlign w:val="center"/>
          </w:tcPr>
          <w:p>
            <w:pPr>
              <w:rPr>
                <w:rFonts w:asciiTheme="minorEastAsia" w:hAnsiTheme="minorEastAsia"/>
                <w:szCs w:val="21"/>
              </w:rPr>
            </w:pPr>
            <w:r>
              <w:rPr>
                <w:rFonts w:hint="eastAsia" w:asciiTheme="minorEastAsia" w:hAnsiTheme="minorEastAsia"/>
                <w:szCs w:val="21"/>
              </w:rPr>
              <w:t>扣非净利</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53,599.80</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83,366.00</w:t>
            </w:r>
          </w:p>
        </w:tc>
        <w:tc>
          <w:tcPr>
            <w:tcW w:w="1073"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18,527.40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 w:type="pct"/>
            <w:vMerge w:val="restart"/>
            <w:shd w:val="clear" w:color="auto" w:fill="auto"/>
            <w:noWrap/>
            <w:vAlign w:val="center"/>
          </w:tcPr>
          <w:p>
            <w:pPr>
              <w:rPr>
                <w:rFonts w:asciiTheme="minorEastAsia" w:hAnsiTheme="minorEastAsia"/>
                <w:szCs w:val="21"/>
              </w:rPr>
            </w:pPr>
            <w:r>
              <w:rPr>
                <w:rFonts w:hint="eastAsia" w:asciiTheme="minorEastAsia" w:hAnsiTheme="minorEastAsia"/>
                <w:szCs w:val="21"/>
              </w:rPr>
              <w:t>江中药业</w:t>
            </w:r>
          </w:p>
        </w:tc>
        <w:tc>
          <w:tcPr>
            <w:tcW w:w="1025" w:type="pct"/>
            <w:shd w:val="clear" w:color="auto" w:fill="auto"/>
            <w:noWrap/>
            <w:vAlign w:val="center"/>
          </w:tcPr>
          <w:p>
            <w:pPr>
              <w:rPr>
                <w:rFonts w:asciiTheme="minorEastAsia" w:hAnsiTheme="minorEastAsia"/>
                <w:szCs w:val="21"/>
              </w:rPr>
            </w:pPr>
            <w:r>
              <w:rPr>
                <w:rFonts w:hint="eastAsia" w:asciiTheme="minorEastAsia" w:hAnsiTheme="minorEastAsia"/>
                <w:szCs w:val="21"/>
              </w:rPr>
              <w:t>营业收入</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97,014.78</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97,349.28</w:t>
            </w:r>
          </w:p>
        </w:tc>
        <w:tc>
          <w:tcPr>
            <w:tcW w:w="1073"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93,727.41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52" w:type="pct"/>
            <w:vMerge w:val="continue"/>
            <w:shd w:val="clear" w:color="auto" w:fill="auto"/>
            <w:vAlign w:val="center"/>
          </w:tcPr>
          <w:p>
            <w:pPr>
              <w:rPr>
                <w:rFonts w:asciiTheme="minorEastAsia" w:hAnsiTheme="minorEastAsia"/>
                <w:szCs w:val="21"/>
              </w:rPr>
            </w:pPr>
          </w:p>
        </w:tc>
        <w:tc>
          <w:tcPr>
            <w:tcW w:w="1025" w:type="pct"/>
            <w:shd w:val="clear" w:color="auto" w:fill="auto"/>
            <w:noWrap/>
            <w:vAlign w:val="center"/>
          </w:tcPr>
          <w:p>
            <w:pPr>
              <w:rPr>
                <w:rFonts w:asciiTheme="minorEastAsia" w:hAnsiTheme="minorEastAsia"/>
                <w:szCs w:val="21"/>
              </w:rPr>
            </w:pPr>
            <w:r>
              <w:rPr>
                <w:rFonts w:hint="eastAsia" w:asciiTheme="minorEastAsia" w:hAnsiTheme="minorEastAsia"/>
                <w:szCs w:val="21"/>
              </w:rPr>
              <w:t>扣非净利</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18,336.11</w:t>
            </w:r>
          </w:p>
        </w:tc>
        <w:tc>
          <w:tcPr>
            <w:tcW w:w="1025"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9,320.53</w:t>
            </w:r>
          </w:p>
        </w:tc>
        <w:tc>
          <w:tcPr>
            <w:tcW w:w="1073" w:type="pct"/>
            <w:shd w:val="clear" w:color="auto" w:fill="auto"/>
            <w:noWrap/>
            <w:vAlign w:val="center"/>
          </w:tcPr>
          <w:p>
            <w:pPr>
              <w:jc w:val="right"/>
              <w:rPr>
                <w:rFonts w:asciiTheme="minorEastAsia" w:hAnsiTheme="minorEastAsia"/>
                <w:szCs w:val="21"/>
              </w:rPr>
            </w:pPr>
            <w:r>
              <w:rPr>
                <w:rFonts w:hint="eastAsia" w:asciiTheme="minorEastAsia" w:hAnsiTheme="minorEastAsia"/>
                <w:szCs w:val="21"/>
              </w:rPr>
              <w:t>5,652.38</w:t>
            </w:r>
          </w:p>
        </w:tc>
      </w:tr>
    </w:tbl>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公司和</w:t>
      </w:r>
      <w:r>
        <w:rPr>
          <w:rFonts w:asciiTheme="minorEastAsia" w:hAnsiTheme="minorEastAsia"/>
          <w:sz w:val="24"/>
          <w:szCs w:val="24"/>
        </w:rPr>
        <w:t>上述</w:t>
      </w:r>
      <w:r>
        <w:rPr>
          <w:rFonts w:hint="eastAsia" w:asciiTheme="minorEastAsia" w:hAnsiTheme="minorEastAsia"/>
          <w:sz w:val="24"/>
          <w:szCs w:val="24"/>
        </w:rPr>
        <w:t>大部分同行业可比</w:t>
      </w:r>
      <w:r>
        <w:rPr>
          <w:rFonts w:asciiTheme="minorEastAsia" w:hAnsiTheme="minorEastAsia"/>
          <w:sz w:val="24"/>
          <w:szCs w:val="24"/>
        </w:rPr>
        <w:t>公司2022年第二至第四季度营业收入与</w:t>
      </w:r>
      <w:r>
        <w:rPr>
          <w:rFonts w:hint="eastAsia" w:asciiTheme="minorEastAsia" w:hAnsiTheme="minorEastAsia"/>
          <w:sz w:val="24"/>
          <w:szCs w:val="24"/>
        </w:rPr>
        <w:t>归母</w:t>
      </w:r>
      <w:r>
        <w:rPr>
          <w:rFonts w:asciiTheme="minorEastAsia" w:hAnsiTheme="minorEastAsia"/>
          <w:sz w:val="24"/>
          <w:szCs w:val="24"/>
        </w:rPr>
        <w:t>净利润</w:t>
      </w:r>
      <w:r>
        <w:rPr>
          <w:rFonts w:hint="eastAsia" w:asciiTheme="minorEastAsia" w:hAnsiTheme="minorEastAsia"/>
          <w:sz w:val="24"/>
          <w:szCs w:val="24"/>
        </w:rPr>
        <w:t>（扣非）</w:t>
      </w:r>
      <w:r>
        <w:rPr>
          <w:rFonts w:asciiTheme="minorEastAsia" w:hAnsiTheme="minorEastAsia"/>
          <w:sz w:val="24"/>
          <w:szCs w:val="24"/>
        </w:rPr>
        <w:t>的变动趋势</w:t>
      </w:r>
      <w:r>
        <w:rPr>
          <w:rFonts w:hint="eastAsia" w:asciiTheme="minorEastAsia" w:hAnsiTheme="minorEastAsia"/>
          <w:sz w:val="24"/>
          <w:szCs w:val="24"/>
        </w:rPr>
        <w:t>基本一致</w:t>
      </w:r>
      <w:r>
        <w:rPr>
          <w:rFonts w:asciiTheme="minorEastAsia" w:hAnsiTheme="minorEastAsia"/>
          <w:sz w:val="24"/>
          <w:szCs w:val="24"/>
        </w:rPr>
        <w:t>。</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2022年度公司</w:t>
      </w:r>
      <w:r>
        <w:rPr>
          <w:rFonts w:hint="eastAsia" w:asciiTheme="minorEastAsia" w:hAnsiTheme="minorEastAsia"/>
          <w:sz w:val="24"/>
          <w:szCs w:val="24"/>
        </w:rPr>
        <w:t>营业</w:t>
      </w:r>
      <w:r>
        <w:rPr>
          <w:rFonts w:asciiTheme="minorEastAsia" w:hAnsiTheme="minorEastAsia"/>
          <w:sz w:val="24"/>
          <w:szCs w:val="24"/>
        </w:rPr>
        <w:t>收入与归母净利润</w:t>
      </w:r>
      <w:r>
        <w:rPr>
          <w:rFonts w:hint="eastAsia" w:asciiTheme="minorEastAsia" w:hAnsiTheme="minorEastAsia"/>
          <w:sz w:val="24"/>
          <w:szCs w:val="24"/>
        </w:rPr>
        <w:t>（扣非）</w:t>
      </w:r>
      <w:r>
        <w:rPr>
          <w:rFonts w:asciiTheme="minorEastAsia" w:hAnsiTheme="minorEastAsia"/>
          <w:sz w:val="24"/>
          <w:szCs w:val="24"/>
        </w:rPr>
        <w:t>变动趋势不一致主要系地域市场环境影响，无明显季节性特征趋势。</w:t>
      </w:r>
    </w:p>
    <w:p>
      <w:pPr>
        <w:tabs>
          <w:tab w:val="left" w:pos="567"/>
        </w:tabs>
        <w:spacing w:line="360" w:lineRule="auto"/>
        <w:ind w:firstLine="720" w:firstLineChars="300"/>
        <w:rPr>
          <w:rFonts w:asciiTheme="minorEastAsia" w:hAnsiTheme="minorEastAsia"/>
          <w:sz w:val="24"/>
          <w:szCs w:val="24"/>
        </w:rPr>
      </w:pPr>
    </w:p>
    <w:p>
      <w:pPr>
        <w:pStyle w:val="16"/>
        <w:tabs>
          <w:tab w:val="left" w:pos="567"/>
        </w:tabs>
        <w:spacing w:line="360" w:lineRule="auto"/>
        <w:ind w:left="142" w:firstLine="482"/>
        <w:outlineLvl w:val="2"/>
        <w:rPr>
          <w:rFonts w:asciiTheme="minorEastAsia" w:hAnsiTheme="minorEastAsia"/>
          <w:b/>
          <w:sz w:val="24"/>
          <w:szCs w:val="24"/>
        </w:rPr>
      </w:pPr>
      <w:r>
        <w:rPr>
          <w:rFonts w:asciiTheme="minorEastAsia" w:hAnsiTheme="minorEastAsia"/>
          <w:b/>
          <w:sz w:val="24"/>
          <w:szCs w:val="24"/>
        </w:rPr>
        <w:t>（</w:t>
      </w:r>
      <w:r>
        <w:rPr>
          <w:rFonts w:hint="eastAsia" w:asciiTheme="minorEastAsia" w:hAnsiTheme="minorEastAsia"/>
          <w:b/>
          <w:sz w:val="24"/>
          <w:szCs w:val="24"/>
        </w:rPr>
        <w:t>三</w:t>
      </w:r>
      <w:r>
        <w:rPr>
          <w:rFonts w:asciiTheme="minorEastAsia" w:hAnsiTheme="minorEastAsia"/>
          <w:b/>
          <w:sz w:val="24"/>
          <w:szCs w:val="24"/>
        </w:rPr>
        <w:t>）说明公司持续盈利能力是否存在较大不确定性，公司已采取及拟采取的改善经营状况的的应对措施，并做必要的风险提示</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bCs/>
          <w:sz w:val="24"/>
          <w:szCs w:val="24"/>
        </w:rPr>
        <w:t>公司2022年度实现归母净利润-7,620万元，由盈转亏；扣非净利润-9,652万元，</w:t>
      </w:r>
      <w:r>
        <w:rPr>
          <w:rFonts w:hint="eastAsia" w:asciiTheme="minorEastAsia" w:hAnsiTheme="minorEastAsia"/>
          <w:bCs/>
          <w:sz w:val="24"/>
          <w:szCs w:val="24"/>
        </w:rPr>
        <w:t>年末未分配利润-</w:t>
      </w:r>
      <w:r>
        <w:rPr>
          <w:rFonts w:asciiTheme="minorEastAsia" w:hAnsiTheme="minorEastAsia"/>
          <w:bCs/>
          <w:sz w:val="24"/>
          <w:szCs w:val="24"/>
        </w:rPr>
        <w:t>41</w:t>
      </w:r>
      <w:r>
        <w:rPr>
          <w:rFonts w:hint="eastAsia" w:asciiTheme="minorEastAsia" w:hAnsiTheme="minorEastAsia"/>
          <w:bCs/>
          <w:sz w:val="24"/>
          <w:szCs w:val="24"/>
        </w:rPr>
        <w:t>,</w:t>
      </w:r>
      <w:r>
        <w:rPr>
          <w:rFonts w:asciiTheme="minorEastAsia" w:hAnsiTheme="minorEastAsia"/>
          <w:bCs/>
          <w:sz w:val="24"/>
          <w:szCs w:val="24"/>
        </w:rPr>
        <w:t>654.14</w:t>
      </w:r>
      <w:r>
        <w:rPr>
          <w:rFonts w:hint="eastAsia" w:asciiTheme="minorEastAsia" w:hAnsiTheme="minorEastAsia"/>
          <w:bCs/>
          <w:sz w:val="24"/>
          <w:szCs w:val="24"/>
        </w:rPr>
        <w:t>万元,归属于母公司所有者权益为1</w:t>
      </w:r>
      <w:r>
        <w:rPr>
          <w:rFonts w:asciiTheme="minorEastAsia" w:hAnsiTheme="minorEastAsia"/>
          <w:bCs/>
          <w:sz w:val="24"/>
          <w:szCs w:val="24"/>
        </w:rPr>
        <w:t>80,369.33</w:t>
      </w:r>
      <w:r>
        <w:rPr>
          <w:rFonts w:hint="eastAsia" w:asciiTheme="minorEastAsia" w:hAnsiTheme="minorEastAsia"/>
          <w:bCs/>
          <w:sz w:val="24"/>
          <w:szCs w:val="24"/>
        </w:rPr>
        <w:t>万元</w:t>
      </w:r>
      <w:r>
        <w:rPr>
          <w:rFonts w:asciiTheme="minorEastAsia" w:hAnsiTheme="minorEastAsia"/>
          <w:bCs/>
          <w:sz w:val="24"/>
          <w:szCs w:val="24"/>
        </w:rPr>
        <w:t>。</w:t>
      </w:r>
      <w:r>
        <w:rPr>
          <w:rFonts w:hint="eastAsia" w:asciiTheme="minorEastAsia" w:hAnsiTheme="minorEastAsia"/>
          <w:sz w:val="24"/>
          <w:szCs w:val="24"/>
        </w:rPr>
        <w:t>公司面对目前的盈利状况，已采取及拟采取积极的改善措施，具体的应对措施如下：</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1、进一步加强精细化管理，持续降本增效、组织优化精简人员，全面压降成本费用；</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2、持续优化债务结构，稳步推进定增项目，降低有息负债规模和融资成本；</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3、进一步增强规划执行与经营管理融合，推动目标举措细化落地：</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1）医药研发</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提升研究一所的研发能力和效率，继续加强原料研发能力；同时，加快研究二所建设，推进透皮制剂研发平台建设，并扩展包括注射用胶原蛋白及透皮类胶原蛋白的大分子制剂研发，构建和医美协同研发的良好机制。</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2）医药生产</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加强对重点产品阶段性需求的准确预判，通过上下协同联动、加强供应链管理、优化生产安排等，实现生产资源集约化、效益最大化。增强内外部协作对接，拓展对外合作业务，通过B证合作及其他模式盘活存量批文，提高现有产能利用率并为后续项目打好基础。</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3）医药营销</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向精细化招商逐步转变，提升销售毛利率优化指标、考核、责任、跟踪与评价五大体系；注重现有公立医院的同时，挖掘百强连锁OTC二终端及三终端诊所及基层终端控销渠道；探索电商B2C、O2O等销售通路，并做好线上维价；配送业务梳理上游配送高毛利品种、拓展下游销量大、回款好的医院持续发力。</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4）医美生物科技板块</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持续加大研发投入，一方面加强现有研发项目的管理，加速推进已有产品管线的研发和临床注册进度，另一方面，通过引进国外创新技术、高校产学研合作等方式，围绕高端注射类产品进一步拓展产品管线。在上游技术方面，聚焦于生物科技材料，持续深耕重组胶原蛋白的原料制剂一体化研发和生产。同时继续加快营销团队建设，优化市场品牌策略。重点投入医生教育和培训体系，为待上市产品做好充分的市场铺垫，建立高端的产品形象、锁定目标客群。</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5）产业投资</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在医美生科领域，以注射类上游产品为核心，择机向功能性护肤领域拓展，并购与胶原蛋白紧密结合的功效性护肤品或供应链完善、品牌营销能力强的相关标的，与注射类管线形成使用场景上的闭环。</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在医药研发领域，瞄准满足临床需求的重磅品种开展投资合作，锁定产品商业化权益，充分发挥产业化和销售渠道的优势资源，共同实现产品上市后最大化收益，补足在销产品的产品线。</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风险提示：公司目前处于转型升级关键阶段，但鉴于市场环境、行业政策等变化因素，如果上述举措不能够得到有效执行落地，公司未来盈利能力仍可能面临一定的风险，敬请广大投资者注意投资风险。</w:t>
      </w: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会计师核查意见：</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在江苏吴中2</w:t>
      </w:r>
      <w:r>
        <w:rPr>
          <w:rFonts w:asciiTheme="minorEastAsia" w:hAnsiTheme="minorEastAsia"/>
          <w:sz w:val="24"/>
          <w:szCs w:val="24"/>
        </w:rPr>
        <w:t>022</w:t>
      </w:r>
      <w:r>
        <w:rPr>
          <w:rFonts w:hint="eastAsia" w:asciiTheme="minorEastAsia" w:hAnsiTheme="minorEastAsia"/>
          <w:sz w:val="24"/>
          <w:szCs w:val="24"/>
        </w:rPr>
        <w:t>年报审计期间，针对收入确认，会计师执行的主要审计程序包括：</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(1)了解与评价管理层与收入相关的关键内部控制的设计，并测试了关键控制执行的有效性；</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(2)抽取样本审阅销售合同或订单，了解和评估收入确认政策是否符合企业会计准则的有关规定；</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(3)对收入及毛利情况执行实质性分析程序,分析收入与毛利变动的合理性；</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实施销售收入双向细节测试，检查销售订单、发货单、签收确认单等并账面确认的收入进行核对，检查收入确认的完整性认定；检查记账凭证，检查其入账日期、品名、数量、单价、金额等是否与发票、发货单、销售合同、签收确认单等是否符合逻辑，核对开票、记账、发货日期检查收入确认的发生认定；</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抽取资产负债表日前后确认的销售收入进行测试，核对至订单、发货单、签收确认清单；以及抽取资产负债表日前后的发货单、签收确认清单，核对至资产负债表日前后确认的销售收入，从而评估销售收入是否被确认在恰当的会计期间；</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(6)抽取重要客户实施函证程序、实地走访程序以及视频访谈程序，以确认相关的销售收入金额；</w:t>
      </w:r>
    </w:p>
    <w:p>
      <w:pPr>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客户函证实施情况如下：</w:t>
      </w:r>
    </w:p>
    <w:p>
      <w:pPr>
        <w:spacing w:line="360" w:lineRule="auto"/>
        <w:ind w:firstLine="480" w:firstLineChars="200"/>
        <w:jc w:val="right"/>
        <w:rPr>
          <w:rFonts w:hint="default" w:asciiTheme="minorEastAsia" w:hAnsiTheme="minorEastAsia" w:eastAsiaTheme="minorEastAsia"/>
          <w:sz w:val="24"/>
          <w:szCs w:val="24"/>
          <w:lang w:val="en-US" w:eastAsia="zh-CN"/>
        </w:rPr>
      </w:pPr>
      <w:r>
        <w:rPr>
          <w:rFonts w:hint="eastAsia" w:asciiTheme="minorEastAsia" w:hAnsiTheme="minorEastAsia"/>
          <w:sz w:val="24"/>
          <w:szCs w:val="24"/>
          <w:lang w:val="en-US" w:eastAsia="zh-CN"/>
        </w:rPr>
        <w:t>单位：元</w:t>
      </w:r>
    </w:p>
    <w:tbl>
      <w:tblPr>
        <w:tblStyle w:val="8"/>
        <w:tblW w:w="8319"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90"/>
        <w:gridCol w:w="2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5490" w:type="dxa"/>
            <w:vMerge w:val="restart"/>
            <w:shd w:val="clear" w:color="auto" w:fill="auto"/>
            <w:noWrap/>
            <w:vAlign w:val="center"/>
          </w:tcPr>
          <w:p>
            <w:pPr>
              <w:jc w:val="center"/>
              <w:rPr>
                <w:rFonts w:asciiTheme="minorEastAsia" w:hAnsiTheme="minorEastAsia"/>
                <w:sz w:val="24"/>
                <w:szCs w:val="24"/>
              </w:rPr>
            </w:pPr>
            <w:r>
              <w:rPr>
                <w:rFonts w:hint="eastAsia" w:asciiTheme="minorEastAsia" w:hAnsiTheme="minorEastAsia"/>
                <w:sz w:val="24"/>
                <w:szCs w:val="24"/>
              </w:rPr>
              <w:t>项目</w:t>
            </w:r>
          </w:p>
        </w:tc>
        <w:tc>
          <w:tcPr>
            <w:tcW w:w="2829" w:type="dxa"/>
            <w:vMerge w:val="restart"/>
            <w:shd w:val="clear" w:color="auto" w:fill="auto"/>
            <w:noWrap/>
            <w:vAlign w:val="center"/>
          </w:tcPr>
          <w:p>
            <w:pPr>
              <w:jc w:val="center"/>
              <w:rPr>
                <w:rFonts w:asciiTheme="minorEastAsia" w:hAnsiTheme="minorEastAsia"/>
                <w:sz w:val="24"/>
                <w:szCs w:val="24"/>
              </w:rPr>
            </w:pPr>
            <w:r>
              <w:rPr>
                <w:rFonts w:asciiTheme="minorEastAsia" w:hAnsiTheme="minorEastAsia"/>
                <w:sz w:val="24"/>
                <w:szCs w:val="24"/>
              </w:rPr>
              <w:t>2022</w:t>
            </w:r>
            <w:r>
              <w:rPr>
                <w:rFonts w:hint="eastAsia" w:asciiTheme="minorEastAsia" w:hAnsiTheme="minorEastAsia"/>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exact"/>
        </w:trPr>
        <w:tc>
          <w:tcPr>
            <w:tcW w:w="5490" w:type="dxa"/>
            <w:vMerge w:val="continue"/>
            <w:vAlign w:val="center"/>
          </w:tcPr>
          <w:p>
            <w:pPr>
              <w:widowControl/>
              <w:jc w:val="left"/>
              <w:rPr>
                <w:rFonts w:cs="Arial" w:asciiTheme="minorEastAsia" w:hAnsiTheme="minorEastAsia"/>
                <w:b/>
                <w:bCs/>
                <w:color w:val="000000"/>
                <w:kern w:val="0"/>
                <w:sz w:val="22"/>
              </w:rPr>
            </w:pPr>
          </w:p>
        </w:tc>
        <w:tc>
          <w:tcPr>
            <w:tcW w:w="2829" w:type="dxa"/>
            <w:vMerge w:val="continue"/>
            <w:vAlign w:val="center"/>
          </w:tcPr>
          <w:p>
            <w:pPr>
              <w:jc w:val="right"/>
              <w:rPr>
                <w:rFonts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5490" w:type="dxa"/>
            <w:shd w:val="clear" w:color="auto" w:fill="auto"/>
            <w:noWrap/>
            <w:vAlign w:val="center"/>
          </w:tcPr>
          <w:p>
            <w:pPr>
              <w:rPr>
                <w:rFonts w:asciiTheme="minorEastAsia" w:hAnsiTheme="minorEastAsia"/>
                <w:sz w:val="24"/>
                <w:szCs w:val="24"/>
              </w:rPr>
            </w:pPr>
            <w:r>
              <w:rPr>
                <w:rFonts w:hint="eastAsia" w:asciiTheme="minorEastAsia" w:hAnsiTheme="minorEastAsia"/>
                <w:sz w:val="24"/>
                <w:szCs w:val="24"/>
              </w:rPr>
              <w:t>发函金额占当期收入比例</w:t>
            </w:r>
          </w:p>
        </w:tc>
        <w:tc>
          <w:tcPr>
            <w:tcW w:w="2829" w:type="dxa"/>
            <w:shd w:val="clear" w:color="auto" w:fill="auto"/>
            <w:noWrap/>
            <w:vAlign w:val="center"/>
          </w:tcPr>
          <w:p>
            <w:pPr>
              <w:jc w:val="right"/>
              <w:rPr>
                <w:rFonts w:asciiTheme="minorEastAsia" w:hAnsiTheme="minorEastAsia"/>
                <w:sz w:val="24"/>
                <w:szCs w:val="24"/>
              </w:rPr>
            </w:pPr>
            <w:r>
              <w:rPr>
                <w:rFonts w:asciiTheme="minorEastAsia" w:hAnsiTheme="minorEastAsia"/>
                <w:sz w:val="24"/>
                <w:szCs w:val="24"/>
              </w:rPr>
              <w:t>77.12%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5490" w:type="dxa"/>
            <w:shd w:val="clear" w:color="000000" w:fill="FFFFFF"/>
            <w:noWrap/>
            <w:vAlign w:val="center"/>
          </w:tcPr>
          <w:p>
            <w:pPr>
              <w:rPr>
                <w:rFonts w:asciiTheme="minorEastAsia" w:hAnsiTheme="minorEastAsia"/>
                <w:sz w:val="24"/>
                <w:szCs w:val="24"/>
              </w:rPr>
            </w:pPr>
            <w:r>
              <w:rPr>
                <w:rFonts w:hint="eastAsia" w:asciiTheme="minorEastAsia" w:hAnsiTheme="minorEastAsia"/>
                <w:sz w:val="24"/>
                <w:szCs w:val="24"/>
              </w:rPr>
              <w:t>发函金额</w:t>
            </w:r>
          </w:p>
        </w:tc>
        <w:tc>
          <w:tcPr>
            <w:tcW w:w="2829" w:type="dxa"/>
            <w:shd w:val="clear" w:color="000000" w:fill="FFFFFF"/>
            <w:noWrap/>
            <w:vAlign w:val="center"/>
          </w:tcPr>
          <w:p>
            <w:pPr>
              <w:jc w:val="right"/>
              <w:rPr>
                <w:rFonts w:asciiTheme="minorEastAsia" w:hAnsiTheme="minorEastAsia"/>
                <w:sz w:val="24"/>
                <w:szCs w:val="24"/>
              </w:rPr>
            </w:pPr>
            <w:r>
              <w:rPr>
                <w:rFonts w:asciiTheme="minorEastAsia" w:hAnsiTheme="minorEastAsia"/>
                <w:sz w:val="24"/>
                <w:szCs w:val="24"/>
              </w:rPr>
              <w:t>1,562,663,209.09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5490" w:type="dxa"/>
            <w:shd w:val="clear" w:color="000000" w:fill="FFFFFF"/>
            <w:noWrap/>
            <w:vAlign w:val="center"/>
          </w:tcPr>
          <w:p>
            <w:pPr>
              <w:rPr>
                <w:rFonts w:asciiTheme="minorEastAsia" w:hAnsiTheme="minorEastAsia"/>
                <w:sz w:val="24"/>
                <w:szCs w:val="24"/>
              </w:rPr>
            </w:pPr>
            <w:r>
              <w:rPr>
                <w:rFonts w:hint="eastAsia" w:asciiTheme="minorEastAsia" w:hAnsiTheme="minorEastAsia"/>
                <w:sz w:val="24"/>
                <w:szCs w:val="24"/>
              </w:rPr>
              <w:t>回函确认金额</w:t>
            </w:r>
          </w:p>
        </w:tc>
        <w:tc>
          <w:tcPr>
            <w:tcW w:w="2829" w:type="dxa"/>
            <w:shd w:val="clear" w:color="000000" w:fill="FFFFFF"/>
            <w:noWrap/>
            <w:vAlign w:val="center"/>
          </w:tcPr>
          <w:p>
            <w:pPr>
              <w:jc w:val="right"/>
              <w:rPr>
                <w:rFonts w:asciiTheme="minorEastAsia" w:hAnsiTheme="minorEastAsia"/>
                <w:sz w:val="24"/>
                <w:szCs w:val="24"/>
              </w:rPr>
            </w:pPr>
            <w:r>
              <w:rPr>
                <w:rFonts w:asciiTheme="minorEastAsia" w:hAnsiTheme="minorEastAsia"/>
                <w:sz w:val="24"/>
                <w:szCs w:val="24"/>
              </w:rPr>
              <w:t>1,185,414,497.92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5490" w:type="dxa"/>
            <w:shd w:val="clear" w:color="000000" w:fill="FFFFFF"/>
            <w:noWrap/>
            <w:vAlign w:val="center"/>
          </w:tcPr>
          <w:p>
            <w:pPr>
              <w:rPr>
                <w:rFonts w:asciiTheme="minorEastAsia" w:hAnsiTheme="minorEastAsia"/>
                <w:sz w:val="24"/>
                <w:szCs w:val="24"/>
              </w:rPr>
            </w:pPr>
            <w:r>
              <w:rPr>
                <w:rFonts w:hint="eastAsia" w:asciiTheme="minorEastAsia" w:hAnsiTheme="minorEastAsia"/>
                <w:sz w:val="24"/>
                <w:szCs w:val="24"/>
              </w:rPr>
              <w:t>回函确认金额占发函比例</w:t>
            </w:r>
          </w:p>
        </w:tc>
        <w:tc>
          <w:tcPr>
            <w:tcW w:w="2829" w:type="dxa"/>
            <w:shd w:val="clear" w:color="000000" w:fill="FFFFFF"/>
            <w:noWrap/>
            <w:vAlign w:val="center"/>
          </w:tcPr>
          <w:p>
            <w:pPr>
              <w:jc w:val="right"/>
              <w:rPr>
                <w:rFonts w:asciiTheme="minorEastAsia" w:hAnsiTheme="minorEastAsia"/>
                <w:sz w:val="24"/>
                <w:szCs w:val="24"/>
              </w:rPr>
            </w:pPr>
            <w:r>
              <w:rPr>
                <w:rFonts w:asciiTheme="minorEastAsia" w:hAnsiTheme="minorEastAsia"/>
                <w:sz w:val="24"/>
                <w:szCs w:val="24"/>
              </w:rPr>
              <w:t>75.86%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5490" w:type="dxa"/>
            <w:shd w:val="clear" w:color="000000" w:fill="FFFFFF"/>
            <w:noWrap/>
            <w:vAlign w:val="center"/>
          </w:tcPr>
          <w:p>
            <w:pPr>
              <w:rPr>
                <w:rFonts w:asciiTheme="minorEastAsia" w:hAnsiTheme="minorEastAsia"/>
                <w:sz w:val="24"/>
                <w:szCs w:val="24"/>
              </w:rPr>
            </w:pPr>
            <w:r>
              <w:rPr>
                <w:rFonts w:hint="eastAsia" w:asciiTheme="minorEastAsia" w:hAnsiTheme="minorEastAsia"/>
                <w:sz w:val="24"/>
                <w:szCs w:val="24"/>
              </w:rPr>
              <w:t>替代测试确认金额</w:t>
            </w:r>
          </w:p>
        </w:tc>
        <w:tc>
          <w:tcPr>
            <w:tcW w:w="2829" w:type="dxa"/>
            <w:shd w:val="clear" w:color="000000" w:fill="FFFFFF"/>
            <w:noWrap/>
            <w:vAlign w:val="center"/>
          </w:tcPr>
          <w:p>
            <w:pPr>
              <w:jc w:val="right"/>
              <w:rPr>
                <w:rFonts w:asciiTheme="minorEastAsia" w:hAnsiTheme="minorEastAsia"/>
                <w:sz w:val="24"/>
                <w:szCs w:val="24"/>
              </w:rPr>
            </w:pPr>
            <w:r>
              <w:rPr>
                <w:rFonts w:asciiTheme="minorEastAsia" w:hAnsiTheme="minorEastAsia"/>
                <w:sz w:val="24"/>
                <w:szCs w:val="24"/>
              </w:rPr>
              <w:t>377,248,711.17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5490" w:type="dxa"/>
            <w:shd w:val="clear" w:color="auto" w:fill="auto"/>
            <w:noWrap/>
            <w:vAlign w:val="center"/>
          </w:tcPr>
          <w:p>
            <w:pPr>
              <w:rPr>
                <w:rFonts w:asciiTheme="minorEastAsia" w:hAnsiTheme="minorEastAsia"/>
                <w:sz w:val="24"/>
                <w:szCs w:val="24"/>
              </w:rPr>
            </w:pPr>
            <w:r>
              <w:rPr>
                <w:rFonts w:hint="eastAsia" w:asciiTheme="minorEastAsia" w:hAnsiTheme="minorEastAsia"/>
                <w:sz w:val="24"/>
                <w:szCs w:val="24"/>
              </w:rPr>
              <w:t>替代测试金额占比</w:t>
            </w:r>
          </w:p>
        </w:tc>
        <w:tc>
          <w:tcPr>
            <w:tcW w:w="2829" w:type="dxa"/>
            <w:shd w:val="clear" w:color="auto" w:fill="auto"/>
            <w:noWrap/>
            <w:vAlign w:val="center"/>
          </w:tcPr>
          <w:p>
            <w:pPr>
              <w:jc w:val="right"/>
              <w:rPr>
                <w:rFonts w:asciiTheme="minorEastAsia" w:hAnsiTheme="minorEastAsia"/>
                <w:sz w:val="24"/>
                <w:szCs w:val="24"/>
              </w:rPr>
            </w:pPr>
            <w:r>
              <w:rPr>
                <w:rFonts w:asciiTheme="minorEastAsia" w:hAnsiTheme="minorEastAsia"/>
                <w:sz w:val="24"/>
                <w:szCs w:val="24"/>
              </w:rPr>
              <w:t>24.14%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exact"/>
        </w:trPr>
        <w:tc>
          <w:tcPr>
            <w:tcW w:w="5490" w:type="dxa"/>
            <w:shd w:val="clear" w:color="auto" w:fill="auto"/>
            <w:noWrap/>
            <w:vAlign w:val="center"/>
          </w:tcPr>
          <w:p>
            <w:pPr>
              <w:rPr>
                <w:rFonts w:asciiTheme="minorEastAsia" w:hAnsiTheme="minorEastAsia"/>
                <w:sz w:val="24"/>
                <w:szCs w:val="24"/>
              </w:rPr>
            </w:pPr>
            <w:r>
              <w:rPr>
                <w:rFonts w:hint="eastAsia" w:asciiTheme="minorEastAsia" w:hAnsiTheme="minorEastAsia"/>
                <w:sz w:val="24"/>
                <w:szCs w:val="24"/>
              </w:rPr>
              <w:t>回函及替代测试确认金额占比</w:t>
            </w:r>
          </w:p>
        </w:tc>
        <w:tc>
          <w:tcPr>
            <w:tcW w:w="2829" w:type="dxa"/>
            <w:shd w:val="clear" w:color="auto" w:fill="auto"/>
            <w:noWrap/>
            <w:vAlign w:val="center"/>
          </w:tcPr>
          <w:p>
            <w:pPr>
              <w:jc w:val="right"/>
              <w:rPr>
                <w:rFonts w:asciiTheme="minorEastAsia" w:hAnsiTheme="minorEastAsia"/>
                <w:sz w:val="24"/>
                <w:szCs w:val="24"/>
              </w:rPr>
            </w:pPr>
            <w:r>
              <w:rPr>
                <w:rFonts w:asciiTheme="minorEastAsia" w:hAnsiTheme="minorEastAsia"/>
                <w:sz w:val="24"/>
                <w:szCs w:val="24"/>
              </w:rPr>
              <w:t>77.12%</w:t>
            </w:r>
          </w:p>
        </w:tc>
      </w:tr>
    </w:tbl>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(7)查阅公司2</w:t>
      </w:r>
      <w:r>
        <w:rPr>
          <w:rFonts w:asciiTheme="minorEastAsia" w:hAnsiTheme="minorEastAsia"/>
          <w:sz w:val="24"/>
          <w:szCs w:val="24"/>
        </w:rPr>
        <w:t>022</w:t>
      </w:r>
      <w:r>
        <w:rPr>
          <w:rFonts w:hint="eastAsia" w:asciiTheme="minorEastAsia" w:hAnsiTheme="minorEastAsia"/>
          <w:sz w:val="24"/>
          <w:szCs w:val="24"/>
        </w:rPr>
        <w:t>年度一、二、三季度报告。</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经核查，会计师认为：</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（1）公司2022年度亏损符合公司自身经营情况；</w:t>
      </w:r>
    </w:p>
    <w:p>
      <w:pPr>
        <w:tabs>
          <w:tab w:val="left" w:pos="567"/>
        </w:tabs>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（2）二至四季度营业收入与归母净利润变动趋势不一致且第四季度营业收入同比大幅上升的情况，符合公司实际经营情况，与同行业公司变动趋势基本一致。</w:t>
      </w:r>
    </w:p>
    <w:p>
      <w:pPr>
        <w:tabs>
          <w:tab w:val="left" w:pos="567"/>
        </w:tabs>
        <w:spacing w:line="360" w:lineRule="auto"/>
        <w:ind w:firstLine="480" w:firstLineChars="200"/>
        <w:rPr>
          <w:rFonts w:hint="eastAsia" w:asciiTheme="minorEastAsia" w:hAnsiTheme="minorEastAsia"/>
          <w:sz w:val="24"/>
          <w:szCs w:val="24"/>
        </w:rPr>
      </w:pPr>
    </w:p>
    <w:p>
      <w:pPr>
        <w:tabs>
          <w:tab w:val="left" w:pos="567"/>
        </w:tabs>
        <w:spacing w:line="360" w:lineRule="auto"/>
        <w:ind w:firstLine="482" w:firstLineChars="200"/>
        <w:outlineLvl w:val="0"/>
        <w:rPr>
          <w:rFonts w:asciiTheme="minorEastAsia" w:hAnsiTheme="minorEastAsia"/>
          <w:b/>
          <w:sz w:val="24"/>
          <w:szCs w:val="24"/>
        </w:rPr>
      </w:pPr>
      <w:r>
        <w:rPr>
          <w:rFonts w:asciiTheme="minorEastAsia" w:hAnsiTheme="minorEastAsia"/>
          <w:b/>
          <w:sz w:val="24"/>
          <w:szCs w:val="24"/>
        </w:rPr>
        <w:t>二、根据年度报告，2022年末公司货币资金余额为14.77亿元，占总资产的37.77%，同比增长30.59%；非流动资产期末余额1.86亿元，其中理财产品期末余额1.71亿元，主要系购买渤海国际信托股份有限公司的保本保息型理财产品。有息负债期末余额合计15.68亿元，占总资产的40.10%，同比增长16.49%；其中短期借款13.7亿元，占总资产的35.04%，一年内到期的非流动负债0.33亿元，长期借款1.65亿元。2022年度利息费用7460万元，而利息收入仅464万元，资金收益率较低，与期末货币资金规模不匹配。2023年一季报显示，公司货币资金金额为17.51亿元，短期借款余额为15.43亿元，二者均持续增加。</w:t>
      </w:r>
    </w:p>
    <w:p>
      <w:pPr>
        <w:tabs>
          <w:tab w:val="left" w:pos="567"/>
        </w:tabs>
        <w:spacing w:line="360" w:lineRule="auto"/>
        <w:ind w:firstLine="482" w:firstLineChars="200"/>
        <w:rPr>
          <w:rFonts w:asciiTheme="minorEastAsia" w:hAnsiTheme="minorEastAsia"/>
          <w:b/>
          <w:sz w:val="24"/>
          <w:szCs w:val="24"/>
        </w:rPr>
      </w:pPr>
      <w:r>
        <w:rPr>
          <w:rFonts w:asciiTheme="minorEastAsia" w:hAnsiTheme="minorEastAsia"/>
          <w:b/>
          <w:sz w:val="24"/>
          <w:szCs w:val="24"/>
        </w:rPr>
        <w:t>请公司：(</w:t>
      </w:r>
      <w:r>
        <w:rPr>
          <w:rFonts w:hint="eastAsia" w:asciiTheme="minorEastAsia" w:hAnsiTheme="minorEastAsia"/>
          <w:b/>
          <w:sz w:val="24"/>
          <w:szCs w:val="24"/>
        </w:rPr>
        <w:t>一</w:t>
      </w:r>
      <w:r>
        <w:rPr>
          <w:rFonts w:asciiTheme="minorEastAsia" w:hAnsiTheme="minorEastAsia"/>
          <w:b/>
          <w:sz w:val="24"/>
          <w:szCs w:val="24"/>
        </w:rPr>
        <w:t>)按存放银行列示货币资金金额，并说明是否存在与控股股东或其他关联方联合或共管账户、以定期存款或存单等资产为控股股东的融资行为提供质押担保、同一银行开展存贷业务、以及其他被挪用、占用或限制权利的情形；(</w:t>
      </w:r>
      <w:r>
        <w:rPr>
          <w:rFonts w:hint="eastAsia" w:asciiTheme="minorEastAsia" w:hAnsiTheme="minorEastAsia"/>
          <w:b/>
          <w:sz w:val="24"/>
          <w:szCs w:val="24"/>
        </w:rPr>
        <w:t>二</w:t>
      </w:r>
      <w:r>
        <w:rPr>
          <w:rFonts w:asciiTheme="minorEastAsia" w:hAnsiTheme="minorEastAsia"/>
          <w:b/>
          <w:sz w:val="24"/>
          <w:szCs w:val="24"/>
        </w:rPr>
        <w:t>)补充披露渤海信托理财产品名称、金额、期限、收益率水平，结合底层资产和最终资金去向说明是否存在资金流向控股股东、实际控制人等关联方，或与其存在业务资金往来的潜在利益相关方的情况；(</w:t>
      </w:r>
      <w:r>
        <w:rPr>
          <w:rFonts w:hint="eastAsia" w:asciiTheme="minorEastAsia" w:hAnsiTheme="minorEastAsia"/>
          <w:b/>
          <w:sz w:val="24"/>
          <w:szCs w:val="24"/>
        </w:rPr>
        <w:t>三</w:t>
      </w:r>
      <w:r>
        <w:rPr>
          <w:rFonts w:asciiTheme="minorEastAsia" w:hAnsiTheme="minorEastAsia"/>
          <w:b/>
          <w:sz w:val="24"/>
          <w:szCs w:val="24"/>
        </w:rPr>
        <w:t>)结合日均货币资金余额说明利息收入与货币资金规模的匹配性，并进一步结合存贷款利率、存款使用安排、理财利率、各业务板块日常营运资金需求、贷款资金用途等情况，量化分析账面存在大额货币资金并投资理财产品的同时，进行大额贷款且负担高额融资成本的必要性以及相关财务安排合理性。请会计师发表意见。</w:t>
      </w: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公司回复：</w:t>
      </w: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（一）</w:t>
      </w:r>
      <w:r>
        <w:rPr>
          <w:rFonts w:asciiTheme="minorEastAsia" w:hAnsiTheme="minorEastAsia"/>
          <w:b/>
          <w:sz w:val="24"/>
          <w:szCs w:val="24"/>
        </w:rPr>
        <w:t>按存放银行列示货币资金金额，并说明是否存在与控股股东或其他关联方联合或共管账户、以定期存款或存单等资产为控股股东的融资行为提供质押担保、同一银行开展存贷业务、以及其他被挪用、占用或限制权利的情形</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公司按</w:t>
      </w:r>
      <w:r>
        <w:rPr>
          <w:rFonts w:asciiTheme="minorEastAsia" w:hAnsiTheme="minorEastAsia"/>
          <w:sz w:val="24"/>
          <w:szCs w:val="24"/>
        </w:rPr>
        <w:t>存放银行列示货币资金金额</w:t>
      </w:r>
      <w:r>
        <w:rPr>
          <w:rFonts w:hint="eastAsia" w:asciiTheme="minorEastAsia" w:hAnsiTheme="minorEastAsia"/>
          <w:sz w:val="24"/>
          <w:szCs w:val="24"/>
        </w:rPr>
        <w:t>补充列示</w:t>
      </w:r>
      <w:r>
        <w:rPr>
          <w:rFonts w:asciiTheme="minorEastAsia" w:hAnsiTheme="minorEastAsia"/>
          <w:sz w:val="24"/>
          <w:szCs w:val="24"/>
        </w:rPr>
        <w:t>如下：</w:t>
      </w:r>
    </w:p>
    <w:p>
      <w:pPr>
        <w:tabs>
          <w:tab w:val="left" w:pos="567"/>
        </w:tabs>
        <w:spacing w:line="360" w:lineRule="auto"/>
        <w:ind w:left="424" w:leftChars="202" w:firstLine="360" w:firstLineChars="200"/>
        <w:jc w:val="right"/>
        <w:rPr>
          <w:rFonts w:asciiTheme="minorEastAsia" w:hAnsiTheme="minorEastAsia"/>
          <w:sz w:val="18"/>
          <w:szCs w:val="18"/>
        </w:rPr>
      </w:pPr>
      <w:r>
        <w:rPr>
          <w:rFonts w:hint="eastAsia" w:asciiTheme="minorEastAsia" w:hAnsiTheme="minorEastAsia"/>
          <w:sz w:val="18"/>
          <w:szCs w:val="18"/>
        </w:rPr>
        <w:t>单位：元</w:t>
      </w:r>
    </w:p>
    <w:tbl>
      <w:tblPr>
        <w:tblStyle w:val="8"/>
        <w:tblW w:w="8440" w:type="dxa"/>
        <w:tblInd w:w="0" w:type="dxa"/>
        <w:tblLayout w:type="fixed"/>
        <w:tblCellMar>
          <w:top w:w="0" w:type="dxa"/>
          <w:left w:w="108" w:type="dxa"/>
          <w:bottom w:w="0" w:type="dxa"/>
          <w:right w:w="108" w:type="dxa"/>
        </w:tblCellMar>
      </w:tblPr>
      <w:tblGrid>
        <w:gridCol w:w="2210"/>
        <w:gridCol w:w="2434"/>
        <w:gridCol w:w="1395"/>
        <w:gridCol w:w="2401"/>
      </w:tblGrid>
      <w:tr>
        <w:tblPrEx>
          <w:tblCellMar>
            <w:top w:w="0" w:type="dxa"/>
            <w:left w:w="108" w:type="dxa"/>
            <w:bottom w:w="0" w:type="dxa"/>
            <w:right w:w="108" w:type="dxa"/>
          </w:tblCellMar>
        </w:tblPrEx>
        <w:trPr>
          <w:trHeight w:val="290" w:hRule="atLeast"/>
        </w:trPr>
        <w:tc>
          <w:tcPr>
            <w:tcW w:w="221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银行名称</w:t>
            </w:r>
          </w:p>
        </w:tc>
        <w:tc>
          <w:tcPr>
            <w:tcW w:w="2434"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2022年末余额</w:t>
            </w:r>
          </w:p>
        </w:tc>
        <w:tc>
          <w:tcPr>
            <w:tcW w:w="3796"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吴中投资控股是否在该行开户或有贷款</w:t>
            </w:r>
          </w:p>
        </w:tc>
      </w:tr>
      <w:tr>
        <w:tblPrEx>
          <w:tblCellMar>
            <w:top w:w="0" w:type="dxa"/>
            <w:left w:w="108" w:type="dxa"/>
            <w:bottom w:w="0" w:type="dxa"/>
            <w:right w:w="108" w:type="dxa"/>
          </w:tblCellMar>
        </w:tblPrEx>
        <w:trPr>
          <w:trHeight w:val="290" w:hRule="atLeast"/>
        </w:trPr>
        <w:tc>
          <w:tcPr>
            <w:tcW w:w="22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 w:val="18"/>
                <w:szCs w:val="18"/>
              </w:rPr>
            </w:pPr>
          </w:p>
        </w:tc>
        <w:tc>
          <w:tcPr>
            <w:tcW w:w="24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cs="宋体" w:asciiTheme="minorEastAsia" w:hAnsiTheme="minorEastAsia"/>
                <w:color w:val="000000"/>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是否开户</w:t>
            </w:r>
          </w:p>
        </w:tc>
        <w:tc>
          <w:tcPr>
            <w:tcW w:w="2401" w:type="dxa"/>
            <w:tcBorders>
              <w:top w:val="nil"/>
              <w:left w:val="nil"/>
              <w:bottom w:val="single" w:color="auto" w:sz="4" w:space="0"/>
              <w:right w:val="single" w:color="auto" w:sz="4" w:space="0"/>
            </w:tcBorders>
            <w:shd w:val="clear" w:color="auto" w:fill="auto"/>
            <w:noWrap/>
            <w:vAlign w:val="center"/>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贷款余额</w:t>
            </w:r>
          </w:p>
        </w:tc>
      </w:tr>
      <w:tr>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渤海银行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116,789.60</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常熟农商银行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60,520,310.68</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工商银行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40,858,958.14</w:t>
            </w: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光大银行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148,270.17</w:t>
            </w: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广发银行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200,093,093.54</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国泰君安期货保证金</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397.60</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杭州银行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7,008.94</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恒丰银行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297,026.08</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华夏银行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105,029.07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建设银行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2,837,886.92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江南农村商业银行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224,886.43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江苏苏州农村商业银行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43,756.14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江苏银行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381,087.09 </w:t>
            </w: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交通银行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155,663.37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进出口银行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37,102.34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晋江农商银行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60,034,844.66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民生银行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250,035.29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南京银行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456,798.60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南洋商业银行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66,717.98 </w:t>
            </w: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宁波银行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2,099,411.11 </w:t>
            </w: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农业银行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48,006,802.86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平安银行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75,655,914.27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浦发银行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380,251,593.66 </w:t>
            </w: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泉州农村商业银行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200,009,816.06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上海银行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30,027,848.21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360" w:hRule="atLeast"/>
        </w:trPr>
        <w:tc>
          <w:tcPr>
            <w:tcW w:w="2210" w:type="dxa"/>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苏州银行</w:t>
            </w:r>
          </w:p>
        </w:tc>
        <w:tc>
          <w:tcPr>
            <w:tcW w:w="2434"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31,132,832.08 </w:t>
            </w: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240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4000万（股票质押贷款）</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温州银行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20,002,000.00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无锡银行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62.45 </w:t>
            </w: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2401"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响水农商银行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16,215.99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兴业银行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172,477.29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张家港农村商业银行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32,502.43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90" w:hRule="atLeast"/>
        </w:trPr>
        <w:tc>
          <w:tcPr>
            <w:tcW w:w="2210" w:type="dxa"/>
            <w:tcBorders>
              <w:top w:val="nil"/>
              <w:left w:val="single" w:color="auto" w:sz="4" w:space="0"/>
              <w:bottom w:val="single" w:color="auto" w:sz="4" w:space="0"/>
              <w:right w:val="single" w:color="auto" w:sz="4" w:space="0"/>
            </w:tcBorders>
            <w:shd w:val="clear" w:color="auto" w:fill="auto"/>
            <w:noWrap/>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招商银行</w:t>
            </w:r>
          </w:p>
        </w:tc>
        <w:tc>
          <w:tcPr>
            <w:tcW w:w="2434" w:type="dxa"/>
            <w:tcBorders>
              <w:top w:val="nil"/>
              <w:left w:val="nil"/>
              <w:bottom w:val="single" w:color="auto" w:sz="4" w:space="0"/>
              <w:right w:val="single" w:color="auto" w:sz="4" w:space="0"/>
            </w:tcBorders>
            <w:shd w:val="clear" w:color="auto" w:fill="auto"/>
            <w:noWrap/>
            <w:vAlign w:val="center"/>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60,961,430.07 </w:t>
            </w: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2401" w:type="dxa"/>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17296万元（股票质押贷款）</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浙江稠州商业银行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2,079.14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浙商银行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138,257,887.01 </w:t>
            </w:r>
          </w:p>
        </w:tc>
        <w:tc>
          <w:tcPr>
            <w:tcW w:w="139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是</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证券账户</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17,798.45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中国银行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3,143,535.53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中信银行</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120,517,767.04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r>
        <w:tblPrEx>
          <w:tblCellMar>
            <w:top w:w="0" w:type="dxa"/>
            <w:left w:w="108" w:type="dxa"/>
            <w:bottom w:w="0" w:type="dxa"/>
            <w:right w:w="108" w:type="dxa"/>
          </w:tblCellMar>
        </w:tblPrEx>
        <w:trPr>
          <w:trHeight w:val="290" w:hRule="atLeast"/>
        </w:trPr>
        <w:tc>
          <w:tcPr>
            <w:tcW w:w="221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合计</w:t>
            </w:r>
          </w:p>
        </w:tc>
        <w:tc>
          <w:tcPr>
            <w:tcW w:w="2434" w:type="dxa"/>
            <w:tcBorders>
              <w:top w:val="nil"/>
              <w:left w:val="nil"/>
              <w:bottom w:val="single" w:color="auto" w:sz="4" w:space="0"/>
              <w:right w:val="single" w:color="auto" w:sz="4" w:space="0"/>
            </w:tcBorders>
            <w:shd w:val="clear" w:color="auto" w:fill="auto"/>
            <w:noWrap/>
            <w:vAlign w:val="bottom"/>
          </w:tcPr>
          <w:p>
            <w:pPr>
              <w:widowControl/>
              <w:jc w:val="righ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xml:space="preserve">   1,476,943,636.29 </w:t>
            </w:r>
          </w:p>
        </w:tc>
        <w:tc>
          <w:tcPr>
            <w:tcW w:w="1395"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2401" w:type="dxa"/>
            <w:tcBorders>
              <w:top w:val="nil"/>
              <w:left w:val="nil"/>
              <w:bottom w:val="single" w:color="auto" w:sz="4" w:space="0"/>
              <w:right w:val="single" w:color="auto" w:sz="4" w:space="0"/>
            </w:tcBorders>
            <w:shd w:val="clear" w:color="auto" w:fill="auto"/>
            <w:noWrap/>
            <w:vAlign w:val="bottom"/>
          </w:tcPr>
          <w:p>
            <w:pPr>
              <w:widowControl/>
              <w:jc w:val="left"/>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r>
    </w:tbl>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公司不存在与控股股东或其他关联方联合或共管账户、以定期存款或存单等资产为控股股东的融资行为提供质押担保、同一银行开展存贷业务、以及其他被挪用、占用或限制权利的情形。</w:t>
      </w:r>
    </w:p>
    <w:p>
      <w:pPr>
        <w:tabs>
          <w:tab w:val="left" w:pos="567"/>
        </w:tabs>
        <w:spacing w:line="360" w:lineRule="auto"/>
        <w:ind w:left="424" w:leftChars="202" w:firstLine="480" w:firstLineChars="200"/>
        <w:rPr>
          <w:rFonts w:asciiTheme="minorEastAsia" w:hAnsiTheme="minorEastAsia"/>
          <w:sz w:val="24"/>
          <w:szCs w:val="24"/>
        </w:rPr>
      </w:pP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（二）</w:t>
      </w:r>
      <w:r>
        <w:rPr>
          <w:rFonts w:asciiTheme="minorEastAsia" w:hAnsiTheme="minorEastAsia"/>
          <w:b/>
          <w:sz w:val="24"/>
          <w:szCs w:val="24"/>
        </w:rPr>
        <w:t>补充披露渤海信托理财产品名称、金额、期限、收益率水平，结合底层资产和最终资金去向说明是否存在资金流向控股股东、实际控制人等关联方，或与其存在业务资金往来的潜在利益相关方的情况</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公司向渤海国际信托股份有限公司购买1.7亿2022众盈3号信托产品，期限为</w:t>
      </w:r>
      <w:r>
        <w:rPr>
          <w:rFonts w:hint="eastAsia" w:asciiTheme="minorEastAsia" w:hAnsiTheme="minorEastAsia"/>
          <w:sz w:val="24"/>
          <w:szCs w:val="24"/>
        </w:rPr>
        <w:t>1</w:t>
      </w:r>
      <w:r>
        <w:rPr>
          <w:rFonts w:asciiTheme="minorEastAsia" w:hAnsiTheme="minorEastAsia"/>
          <w:sz w:val="24"/>
          <w:szCs w:val="24"/>
        </w:rPr>
        <w:t>年，该信托资产的底层资产为保理资产，最终资金去向为国誉商业保理公司。信托产品运用于向国誉商业保理有限公司提供贷款，以供国誉商业保理有限公司开展保理业务。信托财产保管人为兴业银行股份有限公司石家庄分行。截至2023年3月31日，以上信托产品已全额赎回，年化收益率6.28%。</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该信托理财产品资金不存在资金流向控股股东、实际控制人等关联方，或与其存在业务资金往来的潜在利益相关方的情形。</w:t>
      </w:r>
    </w:p>
    <w:p>
      <w:pPr>
        <w:tabs>
          <w:tab w:val="left" w:pos="567"/>
        </w:tabs>
        <w:spacing w:line="360" w:lineRule="auto"/>
        <w:ind w:left="424" w:leftChars="202" w:firstLine="480" w:firstLineChars="200"/>
        <w:rPr>
          <w:rFonts w:asciiTheme="minorEastAsia" w:hAnsiTheme="minorEastAsia"/>
          <w:sz w:val="24"/>
          <w:szCs w:val="24"/>
        </w:rPr>
      </w:pP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（三）</w:t>
      </w:r>
      <w:r>
        <w:rPr>
          <w:rFonts w:asciiTheme="minorEastAsia" w:hAnsiTheme="minorEastAsia"/>
          <w:b/>
          <w:sz w:val="24"/>
          <w:szCs w:val="24"/>
        </w:rPr>
        <w:t>结合日均货币资金余额说明利息收入与货币资金规模的匹配性，并进一步结合存贷款利率、存款使用安排、理财利率、各业务板块日常营运资金需求、贷款资金用途等情况，量化分析账面存在大额货币资金并投资理财产品的同时，进行大额贷款且负担高额融资成本的必要性以及相关财务安排合理性</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1、利息收入与货币资金规模的匹配情况</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2022年度</w:t>
      </w:r>
      <w:r>
        <w:rPr>
          <w:rFonts w:hint="eastAsia" w:asciiTheme="minorEastAsia" w:hAnsiTheme="minorEastAsia"/>
          <w:sz w:val="24"/>
          <w:szCs w:val="24"/>
        </w:rPr>
        <w:t>公司</w:t>
      </w:r>
      <w:r>
        <w:rPr>
          <w:rFonts w:asciiTheme="minorEastAsia" w:hAnsiTheme="minorEastAsia"/>
          <w:sz w:val="24"/>
          <w:szCs w:val="24"/>
        </w:rPr>
        <w:t>各类货币资金</w:t>
      </w:r>
      <w:r>
        <w:rPr>
          <w:rFonts w:hint="eastAsia" w:asciiTheme="minorEastAsia" w:hAnsiTheme="minorEastAsia"/>
          <w:sz w:val="24"/>
          <w:szCs w:val="24"/>
        </w:rPr>
        <w:t>日</w:t>
      </w:r>
      <w:r>
        <w:rPr>
          <w:rFonts w:asciiTheme="minorEastAsia" w:hAnsiTheme="minorEastAsia"/>
          <w:sz w:val="24"/>
          <w:szCs w:val="24"/>
        </w:rPr>
        <w:t>平均余额及利息</w:t>
      </w:r>
      <w:r>
        <w:rPr>
          <w:rFonts w:hint="eastAsia" w:asciiTheme="minorEastAsia" w:hAnsiTheme="minorEastAsia"/>
          <w:sz w:val="24"/>
          <w:szCs w:val="24"/>
        </w:rPr>
        <w:t>情况</w:t>
      </w:r>
      <w:r>
        <w:rPr>
          <w:rFonts w:asciiTheme="minorEastAsia" w:hAnsiTheme="minorEastAsia"/>
          <w:sz w:val="24"/>
          <w:szCs w:val="24"/>
        </w:rPr>
        <w:t>如下表：</w:t>
      </w:r>
    </w:p>
    <w:p>
      <w:pPr>
        <w:tabs>
          <w:tab w:val="left" w:pos="567"/>
        </w:tabs>
        <w:spacing w:line="360" w:lineRule="auto"/>
        <w:ind w:left="424" w:leftChars="202" w:firstLine="480" w:firstLineChars="200"/>
        <w:jc w:val="right"/>
        <w:rPr>
          <w:rFonts w:asciiTheme="minorEastAsia" w:hAnsiTheme="minorEastAsia"/>
          <w:sz w:val="24"/>
          <w:szCs w:val="24"/>
        </w:rPr>
      </w:pPr>
      <w:r>
        <w:rPr>
          <w:rFonts w:asciiTheme="minorEastAsia" w:hAnsiTheme="minorEastAsia"/>
          <w:sz w:val="24"/>
          <w:szCs w:val="24"/>
        </w:rPr>
        <w:t>单位：万元</w:t>
      </w:r>
    </w:p>
    <w:tbl>
      <w:tblPr>
        <w:tblStyle w:val="8"/>
        <w:tblW w:w="5123" w:type="pct"/>
        <w:tblInd w:w="0" w:type="dxa"/>
        <w:tblLayout w:type="autofit"/>
        <w:tblCellMar>
          <w:top w:w="0" w:type="dxa"/>
          <w:left w:w="108" w:type="dxa"/>
          <w:bottom w:w="0" w:type="dxa"/>
          <w:right w:w="108" w:type="dxa"/>
        </w:tblCellMar>
      </w:tblPr>
      <w:tblGrid>
        <w:gridCol w:w="1349"/>
        <w:gridCol w:w="1646"/>
        <w:gridCol w:w="2374"/>
        <w:gridCol w:w="1354"/>
        <w:gridCol w:w="2009"/>
      </w:tblGrid>
      <w:tr>
        <w:tblPrEx>
          <w:tblCellMar>
            <w:top w:w="0" w:type="dxa"/>
            <w:left w:w="108" w:type="dxa"/>
            <w:bottom w:w="0" w:type="dxa"/>
            <w:right w:w="108" w:type="dxa"/>
          </w:tblCellMar>
        </w:tblPrEx>
        <w:trPr>
          <w:trHeight w:val="300" w:hRule="atLeast"/>
        </w:trPr>
        <w:tc>
          <w:tcPr>
            <w:tcW w:w="831"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422" w:firstLineChars="200"/>
              <w:jc w:val="left"/>
              <w:rPr>
                <w:rFonts w:cs="Arial" w:asciiTheme="minorEastAsia" w:hAnsiTheme="minorEastAsia"/>
                <w:b/>
                <w:bCs/>
                <w:color w:val="000000"/>
                <w:kern w:val="0"/>
                <w:szCs w:val="21"/>
              </w:rPr>
            </w:pPr>
            <w:r>
              <w:rPr>
                <w:rFonts w:hint="eastAsia" w:cs="Arial" w:asciiTheme="minorEastAsia" w:hAnsiTheme="minorEastAsia"/>
                <w:b/>
                <w:bCs/>
                <w:color w:val="000000"/>
                <w:kern w:val="0"/>
                <w:szCs w:val="21"/>
              </w:rPr>
              <w:t>项目</w:t>
            </w:r>
          </w:p>
        </w:tc>
        <w:tc>
          <w:tcPr>
            <w:tcW w:w="1001" w:type="pct"/>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cs="Arial" w:asciiTheme="minorEastAsia" w:hAnsiTheme="minorEastAsia"/>
                <w:b/>
                <w:bCs/>
                <w:color w:val="000000"/>
                <w:kern w:val="0"/>
                <w:szCs w:val="21"/>
              </w:rPr>
            </w:pPr>
            <w:r>
              <w:rPr>
                <w:rFonts w:hint="eastAsia" w:cs="Arial" w:asciiTheme="minorEastAsia" w:hAnsiTheme="minorEastAsia"/>
                <w:b/>
                <w:bCs/>
                <w:color w:val="000000"/>
                <w:kern w:val="0"/>
                <w:szCs w:val="21"/>
              </w:rPr>
              <w:t>日均存款余额</w:t>
            </w:r>
          </w:p>
        </w:tc>
        <w:tc>
          <w:tcPr>
            <w:tcW w:w="1418" w:type="pct"/>
            <w:tcBorders>
              <w:top w:val="single" w:color="auto" w:sz="4" w:space="0"/>
              <w:left w:val="nil"/>
              <w:bottom w:val="single" w:color="auto" w:sz="4" w:space="0"/>
              <w:right w:val="single" w:color="auto" w:sz="4" w:space="0"/>
            </w:tcBorders>
            <w:shd w:val="clear" w:color="auto" w:fill="auto"/>
            <w:noWrap/>
            <w:vAlign w:val="center"/>
          </w:tcPr>
          <w:p>
            <w:pPr>
              <w:widowControl/>
              <w:ind w:firstLine="422" w:firstLineChars="200"/>
              <w:jc w:val="left"/>
              <w:rPr>
                <w:rFonts w:cs="Arial" w:asciiTheme="minorEastAsia" w:hAnsiTheme="minorEastAsia"/>
                <w:b/>
                <w:bCs/>
                <w:color w:val="000000"/>
                <w:kern w:val="0"/>
                <w:szCs w:val="21"/>
              </w:rPr>
            </w:pPr>
            <w:r>
              <w:rPr>
                <w:rFonts w:hint="eastAsia" w:cs="Arial" w:asciiTheme="minorEastAsia" w:hAnsiTheme="minorEastAsia"/>
                <w:b/>
                <w:bCs/>
                <w:color w:val="000000"/>
                <w:kern w:val="0"/>
                <w:szCs w:val="21"/>
              </w:rPr>
              <w:t>利率</w:t>
            </w:r>
          </w:p>
        </w:tc>
        <w:tc>
          <w:tcPr>
            <w:tcW w:w="83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Arial" w:asciiTheme="minorEastAsia" w:hAnsiTheme="minorEastAsia"/>
                <w:b/>
                <w:bCs/>
                <w:color w:val="000000"/>
                <w:kern w:val="0"/>
                <w:szCs w:val="21"/>
              </w:rPr>
            </w:pPr>
            <w:r>
              <w:rPr>
                <w:rFonts w:hint="eastAsia" w:cs="Arial" w:asciiTheme="minorEastAsia" w:hAnsiTheme="minorEastAsia"/>
                <w:b/>
                <w:bCs/>
                <w:color w:val="000000"/>
                <w:kern w:val="0"/>
                <w:szCs w:val="21"/>
              </w:rPr>
              <w:t>利息</w:t>
            </w:r>
          </w:p>
        </w:tc>
        <w:tc>
          <w:tcPr>
            <w:tcW w:w="917"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cs="Arial" w:asciiTheme="minorEastAsia" w:hAnsiTheme="minorEastAsia"/>
                <w:b/>
                <w:bCs/>
                <w:color w:val="000000"/>
                <w:kern w:val="0"/>
                <w:szCs w:val="21"/>
              </w:rPr>
            </w:pPr>
            <w:r>
              <w:rPr>
                <w:rFonts w:hint="eastAsia" w:cs="Arial" w:asciiTheme="minorEastAsia" w:hAnsiTheme="minorEastAsia"/>
                <w:b/>
                <w:bCs/>
                <w:color w:val="000000"/>
                <w:kern w:val="0"/>
                <w:szCs w:val="21"/>
              </w:rPr>
              <w:t>利息</w:t>
            </w:r>
            <w:r>
              <w:rPr>
                <w:rFonts w:cs="Arial" w:asciiTheme="minorEastAsia" w:hAnsiTheme="minorEastAsia"/>
                <w:b/>
                <w:bCs/>
                <w:color w:val="000000"/>
                <w:kern w:val="0"/>
                <w:szCs w:val="21"/>
              </w:rPr>
              <w:t>/日均存款余额</w:t>
            </w:r>
          </w:p>
        </w:tc>
      </w:tr>
      <w:tr>
        <w:tblPrEx>
          <w:tblCellMar>
            <w:top w:w="0" w:type="dxa"/>
            <w:left w:w="108" w:type="dxa"/>
            <w:bottom w:w="0" w:type="dxa"/>
            <w:right w:w="108" w:type="dxa"/>
          </w:tblCellMar>
        </w:tblPrEx>
        <w:trPr>
          <w:trHeight w:val="300" w:hRule="atLeast"/>
        </w:trPr>
        <w:tc>
          <w:tcPr>
            <w:tcW w:w="831" w:type="pct"/>
            <w:tcBorders>
              <w:top w:val="nil"/>
              <w:left w:val="single" w:color="auto" w:sz="4" w:space="0"/>
              <w:bottom w:val="single" w:color="auto" w:sz="4" w:space="0"/>
              <w:right w:val="single" w:color="auto" w:sz="4" w:space="0"/>
            </w:tcBorders>
            <w:shd w:val="clear" w:color="auto" w:fill="auto"/>
            <w:noWrap/>
            <w:vAlign w:val="center"/>
          </w:tcPr>
          <w:p>
            <w:pPr>
              <w:widowControl/>
              <w:rPr>
                <w:rFonts w:cs="Arial" w:asciiTheme="minorEastAsia" w:hAnsiTheme="minorEastAsia"/>
                <w:kern w:val="0"/>
                <w:szCs w:val="21"/>
              </w:rPr>
            </w:pPr>
            <w:r>
              <w:rPr>
                <w:rFonts w:hint="eastAsia" w:cs="Arial" w:asciiTheme="minorEastAsia" w:hAnsiTheme="minorEastAsia"/>
                <w:szCs w:val="21"/>
              </w:rPr>
              <w:t>定期存款</w:t>
            </w:r>
          </w:p>
        </w:tc>
        <w:tc>
          <w:tcPr>
            <w:tcW w:w="1001" w:type="pct"/>
            <w:tcBorders>
              <w:top w:val="nil"/>
              <w:left w:val="nil"/>
              <w:bottom w:val="single" w:color="auto" w:sz="4" w:space="0"/>
              <w:right w:val="single" w:color="auto" w:sz="4" w:space="0"/>
            </w:tcBorders>
            <w:shd w:val="clear" w:color="auto" w:fill="auto"/>
            <w:noWrap/>
            <w:vAlign w:val="center"/>
          </w:tcPr>
          <w:p>
            <w:pPr>
              <w:widowControl/>
              <w:jc w:val="right"/>
              <w:rPr>
                <w:rFonts w:cs="Arial" w:asciiTheme="minorEastAsia" w:hAnsiTheme="minorEastAsia"/>
                <w:kern w:val="0"/>
                <w:szCs w:val="21"/>
              </w:rPr>
            </w:pPr>
            <w:r>
              <w:rPr>
                <w:rFonts w:cs="Arial" w:asciiTheme="minorEastAsia" w:hAnsiTheme="minorEastAsia"/>
                <w:szCs w:val="21"/>
              </w:rPr>
              <w:t>11,181.94</w:t>
            </w:r>
          </w:p>
        </w:tc>
        <w:tc>
          <w:tcPr>
            <w:tcW w:w="1418" w:type="pct"/>
            <w:tcBorders>
              <w:top w:val="nil"/>
              <w:left w:val="nil"/>
              <w:bottom w:val="single" w:color="auto" w:sz="4" w:space="0"/>
              <w:right w:val="single" w:color="auto" w:sz="4" w:space="0"/>
            </w:tcBorders>
            <w:shd w:val="clear" w:color="auto" w:fill="auto"/>
            <w:noWrap/>
            <w:vAlign w:val="center"/>
          </w:tcPr>
          <w:p>
            <w:pPr>
              <w:widowControl/>
              <w:ind w:right="480" w:firstLine="420" w:firstLineChars="200"/>
              <w:jc w:val="left"/>
              <w:rPr>
                <w:rFonts w:cs="Arial" w:asciiTheme="minorEastAsia" w:hAnsiTheme="minorEastAsia"/>
                <w:kern w:val="0"/>
                <w:szCs w:val="21"/>
              </w:rPr>
            </w:pPr>
            <w:r>
              <w:rPr>
                <w:rFonts w:cs="Arial" w:asciiTheme="minorEastAsia" w:hAnsiTheme="minorEastAsia"/>
                <w:szCs w:val="21"/>
              </w:rPr>
              <w:t>2.0%-3.99%</w:t>
            </w:r>
          </w:p>
        </w:tc>
        <w:tc>
          <w:tcPr>
            <w:tcW w:w="834" w:type="pct"/>
            <w:tcBorders>
              <w:top w:val="nil"/>
              <w:left w:val="nil"/>
              <w:bottom w:val="single" w:color="auto" w:sz="4" w:space="0"/>
              <w:right w:val="single" w:color="auto" w:sz="4" w:space="0"/>
            </w:tcBorders>
            <w:shd w:val="clear" w:color="auto" w:fill="auto"/>
            <w:noWrap/>
            <w:vAlign w:val="center"/>
          </w:tcPr>
          <w:p>
            <w:pPr>
              <w:widowControl/>
              <w:ind w:firstLine="420" w:firstLineChars="200"/>
              <w:jc w:val="right"/>
              <w:rPr>
                <w:rFonts w:cs="Arial" w:asciiTheme="minorEastAsia" w:hAnsiTheme="minorEastAsia"/>
                <w:kern w:val="0"/>
                <w:szCs w:val="21"/>
              </w:rPr>
            </w:pPr>
            <w:r>
              <w:rPr>
                <w:rFonts w:cs="Arial" w:asciiTheme="minorEastAsia" w:hAnsiTheme="minorEastAsia"/>
                <w:szCs w:val="21"/>
              </w:rPr>
              <w:t>365.13</w:t>
            </w:r>
          </w:p>
        </w:tc>
        <w:tc>
          <w:tcPr>
            <w:tcW w:w="917" w:type="pct"/>
            <w:tcBorders>
              <w:top w:val="nil"/>
              <w:left w:val="nil"/>
              <w:bottom w:val="single" w:color="auto" w:sz="4" w:space="0"/>
              <w:right w:val="single" w:color="auto" w:sz="4" w:space="0"/>
            </w:tcBorders>
            <w:shd w:val="clear" w:color="auto" w:fill="auto"/>
            <w:noWrap/>
            <w:vAlign w:val="bottom"/>
          </w:tcPr>
          <w:p>
            <w:pPr>
              <w:widowControl/>
              <w:jc w:val="right"/>
              <w:rPr>
                <w:rFonts w:cs="Arial" w:asciiTheme="minorEastAsia" w:hAnsiTheme="minorEastAsia"/>
                <w:kern w:val="0"/>
                <w:szCs w:val="21"/>
              </w:rPr>
            </w:pPr>
            <w:r>
              <w:rPr>
                <w:rFonts w:cs="Arial" w:asciiTheme="minorEastAsia" w:hAnsiTheme="minorEastAsia"/>
                <w:szCs w:val="21"/>
              </w:rPr>
              <w:t>3.27%</w:t>
            </w:r>
          </w:p>
        </w:tc>
      </w:tr>
      <w:tr>
        <w:tblPrEx>
          <w:tblCellMar>
            <w:top w:w="0" w:type="dxa"/>
            <w:left w:w="108" w:type="dxa"/>
            <w:bottom w:w="0" w:type="dxa"/>
            <w:right w:w="108" w:type="dxa"/>
          </w:tblCellMar>
        </w:tblPrEx>
        <w:trPr>
          <w:trHeight w:val="280" w:hRule="atLeast"/>
        </w:trPr>
        <w:tc>
          <w:tcPr>
            <w:tcW w:w="831" w:type="pct"/>
            <w:tcBorders>
              <w:top w:val="nil"/>
              <w:left w:val="single" w:color="auto" w:sz="4" w:space="0"/>
              <w:bottom w:val="single" w:color="auto" w:sz="4" w:space="0"/>
              <w:right w:val="single" w:color="auto" w:sz="4" w:space="0"/>
            </w:tcBorders>
            <w:shd w:val="clear" w:color="auto" w:fill="auto"/>
            <w:noWrap/>
            <w:vAlign w:val="center"/>
          </w:tcPr>
          <w:p>
            <w:pPr>
              <w:widowControl/>
              <w:rPr>
                <w:rFonts w:cs="Arial" w:asciiTheme="minorEastAsia" w:hAnsiTheme="minorEastAsia"/>
                <w:kern w:val="0"/>
                <w:szCs w:val="21"/>
              </w:rPr>
            </w:pPr>
            <w:r>
              <w:rPr>
                <w:rFonts w:hint="eastAsia" w:cs="Arial" w:asciiTheme="minorEastAsia" w:hAnsiTheme="minorEastAsia"/>
                <w:szCs w:val="21"/>
              </w:rPr>
              <w:t>活期存款</w:t>
            </w:r>
          </w:p>
        </w:tc>
        <w:tc>
          <w:tcPr>
            <w:tcW w:w="1001" w:type="pct"/>
            <w:tcBorders>
              <w:top w:val="nil"/>
              <w:left w:val="nil"/>
              <w:bottom w:val="single" w:color="auto" w:sz="4" w:space="0"/>
              <w:right w:val="single" w:color="auto" w:sz="4" w:space="0"/>
            </w:tcBorders>
            <w:shd w:val="clear" w:color="auto" w:fill="auto"/>
            <w:noWrap/>
            <w:vAlign w:val="center"/>
          </w:tcPr>
          <w:p>
            <w:pPr>
              <w:widowControl/>
              <w:jc w:val="right"/>
              <w:rPr>
                <w:rFonts w:cs="Arial" w:asciiTheme="minorEastAsia" w:hAnsiTheme="minorEastAsia"/>
                <w:kern w:val="0"/>
                <w:szCs w:val="21"/>
              </w:rPr>
            </w:pPr>
            <w:r>
              <w:rPr>
                <w:rFonts w:cs="Arial" w:asciiTheme="minorEastAsia" w:hAnsiTheme="minorEastAsia"/>
                <w:szCs w:val="21"/>
              </w:rPr>
              <w:t>12,661.66</w:t>
            </w:r>
          </w:p>
        </w:tc>
        <w:tc>
          <w:tcPr>
            <w:tcW w:w="1418" w:type="pct"/>
            <w:tcBorders>
              <w:top w:val="nil"/>
              <w:left w:val="nil"/>
              <w:bottom w:val="single" w:color="auto" w:sz="4" w:space="0"/>
              <w:right w:val="single" w:color="auto" w:sz="4" w:space="0"/>
            </w:tcBorders>
            <w:shd w:val="clear" w:color="auto" w:fill="auto"/>
            <w:noWrap/>
            <w:vAlign w:val="center"/>
          </w:tcPr>
          <w:p>
            <w:pPr>
              <w:widowControl/>
              <w:ind w:firstLine="420" w:firstLineChars="200"/>
              <w:jc w:val="left"/>
              <w:rPr>
                <w:rFonts w:cs="Arial" w:asciiTheme="minorEastAsia" w:hAnsiTheme="minorEastAsia"/>
                <w:kern w:val="0"/>
                <w:szCs w:val="21"/>
              </w:rPr>
            </w:pPr>
            <w:r>
              <w:rPr>
                <w:rFonts w:cs="Arial" w:asciiTheme="minorEastAsia" w:hAnsiTheme="minorEastAsia"/>
                <w:szCs w:val="21"/>
              </w:rPr>
              <w:t>0.25%-0.35%</w:t>
            </w:r>
          </w:p>
        </w:tc>
        <w:tc>
          <w:tcPr>
            <w:tcW w:w="834" w:type="pct"/>
            <w:tcBorders>
              <w:top w:val="nil"/>
              <w:left w:val="nil"/>
              <w:bottom w:val="single" w:color="auto" w:sz="4" w:space="0"/>
              <w:right w:val="single" w:color="auto" w:sz="4" w:space="0"/>
            </w:tcBorders>
            <w:shd w:val="clear" w:color="auto" w:fill="auto"/>
            <w:noWrap/>
            <w:vAlign w:val="center"/>
          </w:tcPr>
          <w:p>
            <w:pPr>
              <w:widowControl/>
              <w:ind w:firstLine="420" w:firstLineChars="200"/>
              <w:jc w:val="right"/>
              <w:rPr>
                <w:rFonts w:cs="Arial" w:asciiTheme="minorEastAsia" w:hAnsiTheme="minorEastAsia"/>
                <w:kern w:val="0"/>
                <w:szCs w:val="21"/>
              </w:rPr>
            </w:pPr>
            <w:r>
              <w:rPr>
                <w:rFonts w:cs="Arial" w:asciiTheme="minorEastAsia" w:hAnsiTheme="minorEastAsia"/>
                <w:szCs w:val="21"/>
              </w:rPr>
              <w:t>36.96</w:t>
            </w:r>
          </w:p>
        </w:tc>
        <w:tc>
          <w:tcPr>
            <w:tcW w:w="917" w:type="pct"/>
            <w:tcBorders>
              <w:top w:val="nil"/>
              <w:left w:val="nil"/>
              <w:bottom w:val="single" w:color="auto" w:sz="4" w:space="0"/>
              <w:right w:val="single" w:color="auto" w:sz="4" w:space="0"/>
            </w:tcBorders>
            <w:shd w:val="clear" w:color="auto" w:fill="auto"/>
            <w:noWrap/>
            <w:vAlign w:val="bottom"/>
          </w:tcPr>
          <w:p>
            <w:pPr>
              <w:widowControl/>
              <w:jc w:val="right"/>
              <w:rPr>
                <w:rFonts w:cs="Arial" w:asciiTheme="minorEastAsia" w:hAnsiTheme="minorEastAsia"/>
                <w:kern w:val="0"/>
                <w:szCs w:val="21"/>
              </w:rPr>
            </w:pPr>
            <w:r>
              <w:rPr>
                <w:rFonts w:cs="Arial" w:asciiTheme="minorEastAsia" w:hAnsiTheme="minorEastAsia"/>
                <w:szCs w:val="21"/>
              </w:rPr>
              <w:t>0.29%</w:t>
            </w:r>
          </w:p>
        </w:tc>
      </w:tr>
      <w:tr>
        <w:tblPrEx>
          <w:tblCellMar>
            <w:top w:w="0" w:type="dxa"/>
            <w:left w:w="108" w:type="dxa"/>
            <w:bottom w:w="0" w:type="dxa"/>
            <w:right w:w="108" w:type="dxa"/>
          </w:tblCellMar>
        </w:tblPrEx>
        <w:trPr>
          <w:trHeight w:val="280" w:hRule="atLeast"/>
        </w:trPr>
        <w:tc>
          <w:tcPr>
            <w:tcW w:w="831" w:type="pct"/>
            <w:tcBorders>
              <w:top w:val="nil"/>
              <w:left w:val="single" w:color="auto" w:sz="4" w:space="0"/>
              <w:bottom w:val="single" w:color="auto" w:sz="4" w:space="0"/>
              <w:right w:val="single" w:color="auto" w:sz="4" w:space="0"/>
            </w:tcBorders>
            <w:shd w:val="clear" w:color="auto" w:fill="auto"/>
            <w:noWrap/>
            <w:vAlign w:val="center"/>
          </w:tcPr>
          <w:p>
            <w:pPr>
              <w:widowControl/>
              <w:rPr>
                <w:rFonts w:cs="Arial" w:asciiTheme="minorEastAsia" w:hAnsiTheme="minorEastAsia"/>
                <w:kern w:val="0"/>
                <w:szCs w:val="21"/>
              </w:rPr>
            </w:pPr>
            <w:r>
              <w:rPr>
                <w:rFonts w:hint="eastAsia" w:cs="Arial" w:asciiTheme="minorEastAsia" w:hAnsiTheme="minorEastAsia"/>
                <w:szCs w:val="21"/>
              </w:rPr>
              <w:t>协定存款</w:t>
            </w:r>
          </w:p>
        </w:tc>
        <w:tc>
          <w:tcPr>
            <w:tcW w:w="1001" w:type="pct"/>
            <w:tcBorders>
              <w:top w:val="nil"/>
              <w:left w:val="nil"/>
              <w:bottom w:val="single" w:color="auto" w:sz="4" w:space="0"/>
              <w:right w:val="single" w:color="auto" w:sz="4" w:space="0"/>
            </w:tcBorders>
            <w:shd w:val="clear" w:color="auto" w:fill="auto"/>
            <w:noWrap/>
            <w:vAlign w:val="center"/>
          </w:tcPr>
          <w:p>
            <w:pPr>
              <w:widowControl/>
              <w:jc w:val="right"/>
              <w:rPr>
                <w:rFonts w:cs="Arial" w:asciiTheme="minorEastAsia" w:hAnsiTheme="minorEastAsia"/>
                <w:kern w:val="0"/>
                <w:szCs w:val="21"/>
              </w:rPr>
            </w:pPr>
            <w:r>
              <w:rPr>
                <w:rFonts w:cs="Arial" w:asciiTheme="minorEastAsia" w:hAnsiTheme="minorEastAsia"/>
                <w:szCs w:val="21"/>
              </w:rPr>
              <w:t>5,995.12</w:t>
            </w:r>
          </w:p>
        </w:tc>
        <w:tc>
          <w:tcPr>
            <w:tcW w:w="1418" w:type="pct"/>
            <w:tcBorders>
              <w:top w:val="nil"/>
              <w:left w:val="nil"/>
              <w:bottom w:val="single" w:color="auto" w:sz="4" w:space="0"/>
              <w:right w:val="single" w:color="auto" w:sz="4" w:space="0"/>
            </w:tcBorders>
            <w:shd w:val="clear" w:color="auto" w:fill="auto"/>
            <w:noWrap/>
            <w:vAlign w:val="center"/>
          </w:tcPr>
          <w:p>
            <w:pPr>
              <w:widowControl/>
              <w:ind w:firstLine="420" w:firstLineChars="200"/>
              <w:jc w:val="left"/>
              <w:rPr>
                <w:rFonts w:cs="Arial" w:asciiTheme="minorEastAsia" w:hAnsiTheme="minorEastAsia"/>
                <w:kern w:val="0"/>
                <w:szCs w:val="21"/>
              </w:rPr>
            </w:pPr>
            <w:r>
              <w:rPr>
                <w:rFonts w:cs="Arial" w:asciiTheme="minorEastAsia" w:hAnsiTheme="minorEastAsia"/>
                <w:szCs w:val="21"/>
              </w:rPr>
              <w:t>0.9%-1.3%</w:t>
            </w:r>
          </w:p>
        </w:tc>
        <w:tc>
          <w:tcPr>
            <w:tcW w:w="834" w:type="pct"/>
            <w:tcBorders>
              <w:top w:val="nil"/>
              <w:left w:val="nil"/>
              <w:bottom w:val="single" w:color="auto" w:sz="4" w:space="0"/>
              <w:right w:val="single" w:color="auto" w:sz="4" w:space="0"/>
            </w:tcBorders>
            <w:shd w:val="clear" w:color="auto" w:fill="auto"/>
            <w:noWrap/>
            <w:vAlign w:val="center"/>
          </w:tcPr>
          <w:p>
            <w:pPr>
              <w:widowControl/>
              <w:ind w:firstLine="420" w:firstLineChars="200"/>
              <w:jc w:val="right"/>
              <w:rPr>
                <w:rFonts w:cs="Arial" w:asciiTheme="minorEastAsia" w:hAnsiTheme="minorEastAsia"/>
                <w:kern w:val="0"/>
                <w:szCs w:val="21"/>
              </w:rPr>
            </w:pPr>
            <w:r>
              <w:rPr>
                <w:rFonts w:cs="Arial" w:asciiTheme="minorEastAsia" w:hAnsiTheme="minorEastAsia"/>
                <w:szCs w:val="21"/>
              </w:rPr>
              <w:t>61.52</w:t>
            </w:r>
          </w:p>
        </w:tc>
        <w:tc>
          <w:tcPr>
            <w:tcW w:w="917" w:type="pct"/>
            <w:tcBorders>
              <w:top w:val="nil"/>
              <w:left w:val="nil"/>
              <w:bottom w:val="single" w:color="auto" w:sz="4" w:space="0"/>
              <w:right w:val="single" w:color="auto" w:sz="4" w:space="0"/>
            </w:tcBorders>
            <w:shd w:val="clear" w:color="auto" w:fill="auto"/>
            <w:noWrap/>
            <w:vAlign w:val="bottom"/>
          </w:tcPr>
          <w:p>
            <w:pPr>
              <w:widowControl/>
              <w:jc w:val="right"/>
              <w:rPr>
                <w:rFonts w:cs="Arial" w:asciiTheme="minorEastAsia" w:hAnsiTheme="minorEastAsia"/>
                <w:kern w:val="0"/>
                <w:szCs w:val="21"/>
              </w:rPr>
            </w:pPr>
            <w:r>
              <w:rPr>
                <w:rFonts w:cs="Arial" w:asciiTheme="minorEastAsia" w:hAnsiTheme="minorEastAsia"/>
                <w:szCs w:val="21"/>
              </w:rPr>
              <w:t>1.03%</w:t>
            </w:r>
          </w:p>
        </w:tc>
      </w:tr>
      <w:tr>
        <w:tblPrEx>
          <w:tblCellMar>
            <w:top w:w="0" w:type="dxa"/>
            <w:left w:w="108" w:type="dxa"/>
            <w:bottom w:w="0" w:type="dxa"/>
            <w:right w:w="108" w:type="dxa"/>
          </w:tblCellMar>
        </w:tblPrEx>
        <w:trPr>
          <w:trHeight w:val="300" w:hRule="atLeast"/>
        </w:trPr>
        <w:tc>
          <w:tcPr>
            <w:tcW w:w="831" w:type="pct"/>
            <w:tcBorders>
              <w:top w:val="nil"/>
              <w:left w:val="single" w:color="auto" w:sz="4" w:space="0"/>
              <w:bottom w:val="single" w:color="auto" w:sz="4" w:space="0"/>
              <w:right w:val="single" w:color="auto" w:sz="4" w:space="0"/>
            </w:tcBorders>
            <w:shd w:val="clear" w:color="auto" w:fill="auto"/>
            <w:noWrap/>
            <w:vAlign w:val="center"/>
          </w:tcPr>
          <w:p>
            <w:pPr>
              <w:widowControl/>
              <w:rPr>
                <w:rFonts w:cs="Arial" w:asciiTheme="minorEastAsia" w:hAnsiTheme="minorEastAsia"/>
                <w:kern w:val="0"/>
                <w:szCs w:val="21"/>
              </w:rPr>
            </w:pPr>
            <w:r>
              <w:rPr>
                <w:rFonts w:hint="eastAsia" w:cs="Arial" w:asciiTheme="minorEastAsia" w:hAnsiTheme="minorEastAsia"/>
                <w:szCs w:val="21"/>
              </w:rPr>
              <w:t>合计</w:t>
            </w:r>
          </w:p>
        </w:tc>
        <w:tc>
          <w:tcPr>
            <w:tcW w:w="1001" w:type="pct"/>
            <w:tcBorders>
              <w:top w:val="nil"/>
              <w:left w:val="nil"/>
              <w:bottom w:val="single" w:color="auto" w:sz="4" w:space="0"/>
              <w:right w:val="single" w:color="auto" w:sz="4" w:space="0"/>
            </w:tcBorders>
            <w:shd w:val="clear" w:color="auto" w:fill="auto"/>
            <w:noWrap/>
            <w:vAlign w:val="center"/>
          </w:tcPr>
          <w:p>
            <w:pPr>
              <w:widowControl/>
              <w:jc w:val="right"/>
              <w:rPr>
                <w:rFonts w:cs="Arial" w:asciiTheme="minorEastAsia" w:hAnsiTheme="minorEastAsia"/>
                <w:kern w:val="0"/>
                <w:szCs w:val="21"/>
              </w:rPr>
            </w:pPr>
            <w:r>
              <w:rPr>
                <w:rFonts w:cs="Arial" w:asciiTheme="minorEastAsia" w:hAnsiTheme="minorEastAsia"/>
                <w:szCs w:val="21"/>
              </w:rPr>
              <w:t>29,854.98</w:t>
            </w:r>
          </w:p>
        </w:tc>
        <w:tc>
          <w:tcPr>
            <w:tcW w:w="1418" w:type="pct"/>
            <w:tcBorders>
              <w:top w:val="nil"/>
              <w:left w:val="nil"/>
              <w:bottom w:val="single" w:color="auto" w:sz="4" w:space="0"/>
              <w:right w:val="single" w:color="auto" w:sz="4" w:space="0"/>
            </w:tcBorders>
            <w:shd w:val="clear" w:color="auto" w:fill="auto"/>
            <w:noWrap/>
            <w:vAlign w:val="center"/>
          </w:tcPr>
          <w:p>
            <w:pPr>
              <w:widowControl/>
              <w:ind w:firstLine="420" w:firstLineChars="200"/>
              <w:jc w:val="right"/>
              <w:rPr>
                <w:rFonts w:cs="Arial" w:asciiTheme="minorEastAsia" w:hAnsiTheme="minorEastAsia"/>
                <w:kern w:val="0"/>
                <w:szCs w:val="21"/>
              </w:rPr>
            </w:pPr>
            <w:r>
              <w:rPr>
                <w:rFonts w:hint="eastAsia" w:cs="Arial" w:asciiTheme="minorEastAsia" w:hAnsiTheme="minorEastAsia"/>
                <w:szCs w:val="21"/>
              </w:rPr>
              <w:t>　</w:t>
            </w:r>
          </w:p>
        </w:tc>
        <w:tc>
          <w:tcPr>
            <w:tcW w:w="834" w:type="pct"/>
            <w:tcBorders>
              <w:top w:val="nil"/>
              <w:left w:val="nil"/>
              <w:bottom w:val="single" w:color="auto" w:sz="4" w:space="0"/>
              <w:right w:val="single" w:color="auto" w:sz="4" w:space="0"/>
            </w:tcBorders>
            <w:shd w:val="clear" w:color="auto" w:fill="auto"/>
            <w:noWrap/>
            <w:vAlign w:val="center"/>
          </w:tcPr>
          <w:p>
            <w:pPr>
              <w:widowControl/>
              <w:ind w:firstLine="420" w:firstLineChars="200"/>
              <w:jc w:val="right"/>
              <w:rPr>
                <w:rFonts w:cs="Arial" w:asciiTheme="minorEastAsia" w:hAnsiTheme="minorEastAsia"/>
                <w:kern w:val="0"/>
                <w:szCs w:val="21"/>
              </w:rPr>
            </w:pPr>
            <w:r>
              <w:rPr>
                <w:rFonts w:cs="Arial" w:asciiTheme="minorEastAsia" w:hAnsiTheme="minorEastAsia"/>
                <w:szCs w:val="21"/>
              </w:rPr>
              <w:t>463.61</w:t>
            </w:r>
          </w:p>
        </w:tc>
        <w:tc>
          <w:tcPr>
            <w:tcW w:w="917" w:type="pct"/>
            <w:tcBorders>
              <w:top w:val="nil"/>
              <w:left w:val="nil"/>
              <w:bottom w:val="single" w:color="auto" w:sz="4" w:space="0"/>
              <w:right w:val="single" w:color="auto" w:sz="4" w:space="0"/>
            </w:tcBorders>
            <w:shd w:val="clear" w:color="auto" w:fill="auto"/>
            <w:noWrap/>
            <w:vAlign w:val="bottom"/>
          </w:tcPr>
          <w:p>
            <w:pPr>
              <w:widowControl/>
              <w:jc w:val="right"/>
              <w:rPr>
                <w:rFonts w:cs="Arial" w:asciiTheme="minorEastAsia" w:hAnsiTheme="minorEastAsia"/>
                <w:kern w:val="0"/>
                <w:szCs w:val="21"/>
              </w:rPr>
            </w:pPr>
          </w:p>
        </w:tc>
      </w:tr>
    </w:tbl>
    <w:p>
      <w:pPr>
        <w:tabs>
          <w:tab w:val="left" w:pos="567"/>
        </w:tabs>
        <w:spacing w:line="360" w:lineRule="auto"/>
        <w:ind w:firstLine="480" w:firstLineChars="200"/>
        <w:rPr>
          <w:rFonts w:asciiTheme="minorEastAsia" w:hAnsiTheme="minorEastAsia"/>
          <w:sz w:val="24"/>
          <w:szCs w:val="24"/>
        </w:rPr>
        <w:sectPr>
          <w:footerReference r:id="rId3" w:type="default"/>
          <w:pgSz w:w="11906" w:h="16838"/>
          <w:pgMar w:top="1440" w:right="1800" w:bottom="1440" w:left="1800" w:header="851" w:footer="992" w:gutter="0"/>
          <w:cols w:space="425" w:num="1"/>
          <w:docGrid w:type="lines" w:linePitch="312" w:charSpace="0"/>
        </w:sectPr>
      </w:pPr>
      <w:r>
        <w:rPr>
          <w:rFonts w:hint="eastAsia" w:asciiTheme="minorEastAsia" w:hAnsiTheme="minorEastAsia"/>
          <w:sz w:val="24"/>
          <w:szCs w:val="24"/>
        </w:rPr>
        <w:t>由</w:t>
      </w:r>
      <w:r>
        <w:rPr>
          <w:rFonts w:asciiTheme="minorEastAsia" w:hAnsiTheme="minorEastAsia"/>
          <w:sz w:val="24"/>
          <w:szCs w:val="24"/>
        </w:rPr>
        <w:t>上表</w:t>
      </w:r>
      <w:r>
        <w:rPr>
          <w:rFonts w:hint="eastAsia" w:asciiTheme="minorEastAsia" w:hAnsiTheme="minorEastAsia"/>
          <w:sz w:val="24"/>
          <w:szCs w:val="24"/>
        </w:rPr>
        <w:t>可见，每项目货币资金产生的利息占该项目货币资金日均余额的比例均处于该项货币资金的年利率范围内，可见</w:t>
      </w:r>
      <w:r>
        <w:rPr>
          <w:rFonts w:asciiTheme="minorEastAsia" w:hAnsiTheme="minorEastAsia"/>
          <w:sz w:val="24"/>
          <w:szCs w:val="24"/>
        </w:rPr>
        <w:t>利息收入与货币资金日均余额</w:t>
      </w:r>
      <w:r>
        <w:rPr>
          <w:rFonts w:hint="eastAsia" w:asciiTheme="minorEastAsia" w:hAnsiTheme="minorEastAsia"/>
          <w:sz w:val="24"/>
          <w:szCs w:val="24"/>
        </w:rPr>
        <w:t>匹配。</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2022年度</w:t>
      </w:r>
      <w:r>
        <w:rPr>
          <w:rFonts w:hint="eastAsia" w:asciiTheme="minorEastAsia" w:hAnsiTheme="minorEastAsia"/>
          <w:sz w:val="24"/>
          <w:szCs w:val="24"/>
        </w:rPr>
        <w:t>各月末</w:t>
      </w:r>
      <w:r>
        <w:rPr>
          <w:rFonts w:asciiTheme="minorEastAsia" w:hAnsiTheme="minorEastAsia"/>
          <w:sz w:val="24"/>
          <w:szCs w:val="24"/>
        </w:rPr>
        <w:t>货币资金余额及利息</w:t>
      </w:r>
      <w:r>
        <w:rPr>
          <w:rFonts w:hint="eastAsia" w:asciiTheme="minorEastAsia" w:hAnsiTheme="minorEastAsia"/>
          <w:sz w:val="24"/>
          <w:szCs w:val="24"/>
        </w:rPr>
        <w:t>情况</w:t>
      </w:r>
      <w:r>
        <w:rPr>
          <w:rFonts w:asciiTheme="minorEastAsia" w:hAnsiTheme="minorEastAsia"/>
          <w:sz w:val="24"/>
          <w:szCs w:val="24"/>
        </w:rPr>
        <w:t>如下表：</w:t>
      </w:r>
    </w:p>
    <w:p>
      <w:pPr>
        <w:tabs>
          <w:tab w:val="left" w:pos="567"/>
        </w:tabs>
        <w:spacing w:line="360" w:lineRule="auto"/>
        <w:ind w:left="424" w:leftChars="202" w:firstLine="480" w:firstLineChars="200"/>
        <w:jc w:val="right"/>
        <w:rPr>
          <w:rFonts w:asciiTheme="minorEastAsia" w:hAnsiTheme="minorEastAsia"/>
          <w:sz w:val="24"/>
          <w:szCs w:val="24"/>
        </w:rPr>
      </w:pPr>
      <w:r>
        <w:rPr>
          <w:rFonts w:asciiTheme="minorEastAsia" w:hAnsiTheme="minorEastAsia"/>
          <w:sz w:val="24"/>
          <w:szCs w:val="24"/>
        </w:rPr>
        <w:t>单位：万元</w:t>
      </w:r>
    </w:p>
    <w:tbl>
      <w:tblPr>
        <w:tblStyle w:val="8"/>
        <w:tblW w:w="5000" w:type="pct"/>
        <w:tblInd w:w="0" w:type="dxa"/>
        <w:tblLayout w:type="autofit"/>
        <w:tblCellMar>
          <w:top w:w="0" w:type="dxa"/>
          <w:left w:w="108" w:type="dxa"/>
          <w:bottom w:w="0" w:type="dxa"/>
          <w:right w:w="108" w:type="dxa"/>
        </w:tblCellMar>
      </w:tblPr>
      <w:tblGrid>
        <w:gridCol w:w="1170"/>
        <w:gridCol w:w="1034"/>
        <w:gridCol w:w="1035"/>
        <w:gridCol w:w="1023"/>
        <w:gridCol w:w="1239"/>
        <w:gridCol w:w="989"/>
        <w:gridCol w:w="1035"/>
        <w:gridCol w:w="1035"/>
        <w:gridCol w:w="1035"/>
        <w:gridCol w:w="1035"/>
        <w:gridCol w:w="1035"/>
        <w:gridCol w:w="1035"/>
        <w:gridCol w:w="1474"/>
      </w:tblGrid>
      <w:tr>
        <w:tblPrEx>
          <w:tblCellMar>
            <w:top w:w="0" w:type="dxa"/>
            <w:left w:w="108" w:type="dxa"/>
            <w:bottom w:w="0" w:type="dxa"/>
            <w:right w:w="108" w:type="dxa"/>
          </w:tblCellMar>
        </w:tblPrEx>
        <w:trPr>
          <w:trHeight w:val="290" w:hRule="atLeast"/>
        </w:trPr>
        <w:tc>
          <w:tcPr>
            <w:tcW w:w="413" w:type="pct"/>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项目</w:t>
            </w:r>
          </w:p>
        </w:tc>
        <w:tc>
          <w:tcPr>
            <w:tcW w:w="365"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202201</w:t>
            </w:r>
          </w:p>
        </w:tc>
        <w:tc>
          <w:tcPr>
            <w:tcW w:w="365"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202202</w:t>
            </w:r>
          </w:p>
        </w:tc>
        <w:tc>
          <w:tcPr>
            <w:tcW w:w="361"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202203</w:t>
            </w:r>
          </w:p>
        </w:tc>
        <w:tc>
          <w:tcPr>
            <w:tcW w:w="437"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202204</w:t>
            </w:r>
          </w:p>
        </w:tc>
        <w:tc>
          <w:tcPr>
            <w:tcW w:w="349"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202205</w:t>
            </w:r>
          </w:p>
        </w:tc>
        <w:tc>
          <w:tcPr>
            <w:tcW w:w="365"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202206</w:t>
            </w:r>
          </w:p>
        </w:tc>
        <w:tc>
          <w:tcPr>
            <w:tcW w:w="365"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202207</w:t>
            </w:r>
          </w:p>
        </w:tc>
        <w:tc>
          <w:tcPr>
            <w:tcW w:w="365"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202208</w:t>
            </w:r>
          </w:p>
        </w:tc>
        <w:tc>
          <w:tcPr>
            <w:tcW w:w="365"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202209</w:t>
            </w:r>
          </w:p>
        </w:tc>
        <w:tc>
          <w:tcPr>
            <w:tcW w:w="365"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202210</w:t>
            </w:r>
          </w:p>
        </w:tc>
        <w:tc>
          <w:tcPr>
            <w:tcW w:w="365"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202211</w:t>
            </w:r>
          </w:p>
        </w:tc>
        <w:tc>
          <w:tcPr>
            <w:tcW w:w="520" w:type="pct"/>
            <w:tcBorders>
              <w:top w:val="single" w:color="auto" w:sz="8" w:space="0"/>
              <w:left w:val="nil"/>
              <w:bottom w:val="single" w:color="auto" w:sz="8" w:space="0"/>
              <w:right w:val="single" w:color="auto" w:sz="8" w:space="0"/>
            </w:tcBorders>
            <w:shd w:val="clear" w:color="auto" w:fill="auto"/>
            <w:noWrap/>
            <w:vAlign w:val="center"/>
          </w:tcPr>
          <w:p>
            <w:pPr>
              <w:widowControl/>
              <w:jc w:val="center"/>
              <w:rPr>
                <w:rFonts w:ascii="宋体" w:hAnsi="宋体" w:eastAsia="宋体" w:cs="宋体"/>
                <w:color w:val="000000"/>
                <w:kern w:val="0"/>
                <w:sz w:val="15"/>
                <w:szCs w:val="15"/>
              </w:rPr>
            </w:pPr>
            <w:r>
              <w:rPr>
                <w:rFonts w:hint="eastAsia" w:ascii="宋体" w:hAnsi="宋体" w:eastAsia="宋体" w:cs="宋体"/>
                <w:color w:val="000000"/>
                <w:kern w:val="0"/>
                <w:sz w:val="15"/>
                <w:szCs w:val="15"/>
              </w:rPr>
              <w:t>202212</w:t>
            </w:r>
          </w:p>
        </w:tc>
      </w:tr>
      <w:tr>
        <w:tblPrEx>
          <w:tblCellMar>
            <w:top w:w="0" w:type="dxa"/>
            <w:left w:w="108" w:type="dxa"/>
            <w:bottom w:w="0" w:type="dxa"/>
            <w:right w:w="108" w:type="dxa"/>
          </w:tblCellMar>
        </w:tblPrEx>
        <w:trPr>
          <w:trHeight w:val="290" w:hRule="atLeast"/>
        </w:trPr>
        <w:tc>
          <w:tcPr>
            <w:tcW w:w="413" w:type="pc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月末存款余额</w:t>
            </w:r>
          </w:p>
        </w:tc>
        <w:tc>
          <w:tcPr>
            <w:tcW w:w="365" w:type="pct"/>
            <w:tcBorders>
              <w:top w:val="nil"/>
              <w:left w:val="nil"/>
              <w:bottom w:val="single" w:color="auto" w:sz="8" w:space="0"/>
              <w:right w:val="single" w:color="auto" w:sz="8" w:space="0"/>
            </w:tcBorders>
            <w:shd w:val="clear" w:color="auto" w:fill="auto"/>
            <w:noWrap/>
          </w:tcPr>
          <w:p>
            <w:pPr>
              <w:widowControl/>
              <w:jc w:val="right"/>
              <w:rPr>
                <w:rFonts w:ascii="宋体" w:hAnsi="宋体" w:eastAsia="宋体" w:cs="宋体"/>
                <w:color w:val="000000"/>
                <w:kern w:val="0"/>
                <w:sz w:val="15"/>
                <w:szCs w:val="15"/>
              </w:rPr>
            </w:pPr>
            <w:r>
              <w:rPr>
                <w:sz w:val="15"/>
                <w:szCs w:val="15"/>
              </w:rPr>
              <w:t>13,842.66</w:t>
            </w:r>
          </w:p>
        </w:tc>
        <w:tc>
          <w:tcPr>
            <w:tcW w:w="365" w:type="pct"/>
            <w:tcBorders>
              <w:top w:val="nil"/>
              <w:left w:val="nil"/>
              <w:bottom w:val="single" w:color="auto" w:sz="8" w:space="0"/>
              <w:right w:val="single" w:color="auto" w:sz="8" w:space="0"/>
            </w:tcBorders>
            <w:shd w:val="clear" w:color="auto" w:fill="auto"/>
            <w:noWrap/>
          </w:tcPr>
          <w:p>
            <w:pPr>
              <w:widowControl/>
              <w:jc w:val="right"/>
              <w:rPr>
                <w:rFonts w:ascii="宋体" w:hAnsi="宋体" w:eastAsia="宋体" w:cs="宋体"/>
                <w:color w:val="000000"/>
                <w:kern w:val="0"/>
                <w:sz w:val="15"/>
                <w:szCs w:val="15"/>
              </w:rPr>
            </w:pPr>
            <w:r>
              <w:rPr>
                <w:sz w:val="15"/>
                <w:szCs w:val="15"/>
              </w:rPr>
              <w:t>20,054.92</w:t>
            </w:r>
          </w:p>
        </w:tc>
        <w:tc>
          <w:tcPr>
            <w:tcW w:w="361" w:type="pct"/>
            <w:tcBorders>
              <w:top w:val="nil"/>
              <w:left w:val="nil"/>
              <w:bottom w:val="single" w:color="auto" w:sz="8" w:space="0"/>
              <w:right w:val="single" w:color="auto" w:sz="8" w:space="0"/>
            </w:tcBorders>
            <w:shd w:val="clear" w:color="auto" w:fill="auto"/>
            <w:noWrap/>
          </w:tcPr>
          <w:p>
            <w:pPr>
              <w:widowControl/>
              <w:ind w:left="-109" w:leftChars="-52" w:firstLine="111" w:firstLineChars="74"/>
              <w:jc w:val="right"/>
              <w:rPr>
                <w:rFonts w:ascii="宋体" w:hAnsi="宋体" w:eastAsia="宋体" w:cs="宋体"/>
                <w:color w:val="000000"/>
                <w:kern w:val="0"/>
                <w:sz w:val="15"/>
                <w:szCs w:val="15"/>
              </w:rPr>
            </w:pPr>
            <w:r>
              <w:rPr>
                <w:sz w:val="15"/>
                <w:szCs w:val="15"/>
              </w:rPr>
              <w:t>140,746.14</w:t>
            </w:r>
          </w:p>
        </w:tc>
        <w:tc>
          <w:tcPr>
            <w:tcW w:w="437" w:type="pct"/>
            <w:tcBorders>
              <w:top w:val="nil"/>
              <w:left w:val="nil"/>
              <w:bottom w:val="single" w:color="auto" w:sz="8" w:space="0"/>
              <w:right w:val="single" w:color="auto" w:sz="8" w:space="0"/>
            </w:tcBorders>
            <w:shd w:val="clear" w:color="auto" w:fill="auto"/>
            <w:noWrap/>
          </w:tcPr>
          <w:p>
            <w:pPr>
              <w:widowControl/>
              <w:jc w:val="right"/>
              <w:rPr>
                <w:rFonts w:ascii="宋体" w:hAnsi="宋体" w:eastAsia="宋体" w:cs="宋体"/>
                <w:color w:val="000000"/>
                <w:kern w:val="0"/>
                <w:sz w:val="15"/>
                <w:szCs w:val="15"/>
              </w:rPr>
            </w:pPr>
            <w:r>
              <w:rPr>
                <w:sz w:val="15"/>
                <w:szCs w:val="15"/>
              </w:rPr>
              <w:t>16,232.08</w:t>
            </w:r>
          </w:p>
        </w:tc>
        <w:tc>
          <w:tcPr>
            <w:tcW w:w="349" w:type="pct"/>
            <w:tcBorders>
              <w:top w:val="nil"/>
              <w:left w:val="nil"/>
              <w:bottom w:val="single" w:color="auto" w:sz="8" w:space="0"/>
              <w:right w:val="single" w:color="auto" w:sz="8" w:space="0"/>
            </w:tcBorders>
            <w:shd w:val="clear" w:color="auto" w:fill="auto"/>
            <w:noWrap/>
          </w:tcPr>
          <w:p>
            <w:pPr>
              <w:widowControl/>
              <w:jc w:val="right"/>
              <w:rPr>
                <w:rFonts w:ascii="宋体" w:hAnsi="宋体" w:eastAsia="宋体" w:cs="宋体"/>
                <w:color w:val="000000"/>
                <w:kern w:val="0"/>
                <w:sz w:val="15"/>
                <w:szCs w:val="15"/>
              </w:rPr>
            </w:pPr>
            <w:r>
              <w:rPr>
                <w:sz w:val="15"/>
                <w:szCs w:val="15"/>
              </w:rPr>
              <w:t>20,077.40</w:t>
            </w:r>
          </w:p>
        </w:tc>
        <w:tc>
          <w:tcPr>
            <w:tcW w:w="365" w:type="pct"/>
            <w:tcBorders>
              <w:top w:val="nil"/>
              <w:left w:val="nil"/>
              <w:bottom w:val="single" w:color="auto" w:sz="8" w:space="0"/>
              <w:right w:val="single" w:color="auto" w:sz="8" w:space="0"/>
            </w:tcBorders>
            <w:shd w:val="clear" w:color="auto" w:fill="auto"/>
            <w:noWrap/>
          </w:tcPr>
          <w:p>
            <w:pPr>
              <w:widowControl/>
              <w:jc w:val="right"/>
              <w:rPr>
                <w:rFonts w:ascii="宋体" w:hAnsi="宋体" w:eastAsia="宋体" w:cs="宋体"/>
                <w:color w:val="000000"/>
                <w:kern w:val="0"/>
                <w:sz w:val="15"/>
                <w:szCs w:val="15"/>
              </w:rPr>
            </w:pPr>
            <w:r>
              <w:rPr>
                <w:sz w:val="15"/>
                <w:szCs w:val="15"/>
              </w:rPr>
              <w:t>123,557.48</w:t>
            </w:r>
          </w:p>
        </w:tc>
        <w:tc>
          <w:tcPr>
            <w:tcW w:w="365" w:type="pct"/>
            <w:tcBorders>
              <w:top w:val="nil"/>
              <w:left w:val="nil"/>
              <w:bottom w:val="single" w:color="auto" w:sz="8" w:space="0"/>
              <w:right w:val="single" w:color="auto" w:sz="8" w:space="0"/>
            </w:tcBorders>
            <w:shd w:val="clear" w:color="auto" w:fill="auto"/>
            <w:noWrap/>
          </w:tcPr>
          <w:p>
            <w:pPr>
              <w:widowControl/>
              <w:jc w:val="right"/>
              <w:rPr>
                <w:rFonts w:ascii="宋体" w:hAnsi="宋体" w:eastAsia="宋体" w:cs="宋体"/>
                <w:color w:val="000000"/>
                <w:kern w:val="0"/>
                <w:sz w:val="15"/>
                <w:szCs w:val="15"/>
              </w:rPr>
            </w:pPr>
            <w:r>
              <w:rPr>
                <w:sz w:val="15"/>
                <w:szCs w:val="15"/>
              </w:rPr>
              <w:t>24,219.70</w:t>
            </w:r>
          </w:p>
        </w:tc>
        <w:tc>
          <w:tcPr>
            <w:tcW w:w="365" w:type="pct"/>
            <w:tcBorders>
              <w:top w:val="nil"/>
              <w:left w:val="nil"/>
              <w:bottom w:val="single" w:color="auto" w:sz="8" w:space="0"/>
              <w:right w:val="single" w:color="auto" w:sz="8" w:space="0"/>
            </w:tcBorders>
            <w:shd w:val="clear" w:color="auto" w:fill="auto"/>
            <w:noWrap/>
          </w:tcPr>
          <w:p>
            <w:pPr>
              <w:widowControl/>
              <w:jc w:val="right"/>
              <w:rPr>
                <w:rFonts w:ascii="宋体" w:hAnsi="宋体" w:eastAsia="宋体" w:cs="宋体"/>
                <w:color w:val="000000"/>
                <w:kern w:val="0"/>
                <w:sz w:val="15"/>
                <w:szCs w:val="15"/>
              </w:rPr>
            </w:pPr>
            <w:r>
              <w:rPr>
                <w:sz w:val="15"/>
                <w:szCs w:val="15"/>
              </w:rPr>
              <w:t>19,870.02</w:t>
            </w:r>
          </w:p>
        </w:tc>
        <w:tc>
          <w:tcPr>
            <w:tcW w:w="365" w:type="pct"/>
            <w:tcBorders>
              <w:top w:val="nil"/>
              <w:left w:val="nil"/>
              <w:bottom w:val="single" w:color="auto" w:sz="8" w:space="0"/>
              <w:right w:val="single" w:color="auto" w:sz="8" w:space="0"/>
            </w:tcBorders>
            <w:shd w:val="clear" w:color="auto" w:fill="auto"/>
            <w:noWrap/>
          </w:tcPr>
          <w:p>
            <w:pPr>
              <w:widowControl/>
              <w:jc w:val="right"/>
              <w:rPr>
                <w:rFonts w:ascii="宋体" w:hAnsi="宋体" w:eastAsia="宋体" w:cs="宋体"/>
                <w:color w:val="000000"/>
                <w:kern w:val="0"/>
                <w:sz w:val="15"/>
                <w:szCs w:val="15"/>
              </w:rPr>
            </w:pPr>
            <w:r>
              <w:rPr>
                <w:sz w:val="15"/>
                <w:szCs w:val="15"/>
              </w:rPr>
              <w:t>139,624.12</w:t>
            </w:r>
          </w:p>
        </w:tc>
        <w:tc>
          <w:tcPr>
            <w:tcW w:w="365" w:type="pct"/>
            <w:tcBorders>
              <w:top w:val="nil"/>
              <w:left w:val="nil"/>
              <w:bottom w:val="single" w:color="auto" w:sz="8" w:space="0"/>
              <w:right w:val="single" w:color="auto" w:sz="8" w:space="0"/>
            </w:tcBorders>
            <w:shd w:val="clear" w:color="auto" w:fill="auto"/>
            <w:noWrap/>
          </w:tcPr>
          <w:p>
            <w:pPr>
              <w:widowControl/>
              <w:jc w:val="right"/>
              <w:rPr>
                <w:rFonts w:ascii="宋体" w:hAnsi="宋体" w:eastAsia="宋体" w:cs="宋体"/>
                <w:color w:val="000000"/>
                <w:kern w:val="0"/>
                <w:sz w:val="15"/>
                <w:szCs w:val="15"/>
              </w:rPr>
            </w:pPr>
            <w:r>
              <w:rPr>
                <w:sz w:val="15"/>
                <w:szCs w:val="15"/>
              </w:rPr>
              <w:t>29,547.78</w:t>
            </w:r>
          </w:p>
        </w:tc>
        <w:tc>
          <w:tcPr>
            <w:tcW w:w="365" w:type="pct"/>
            <w:tcBorders>
              <w:top w:val="nil"/>
              <w:left w:val="nil"/>
              <w:bottom w:val="single" w:color="auto" w:sz="8" w:space="0"/>
              <w:right w:val="single" w:color="auto" w:sz="8" w:space="0"/>
            </w:tcBorders>
            <w:shd w:val="clear" w:color="auto" w:fill="auto"/>
            <w:noWrap/>
          </w:tcPr>
          <w:p>
            <w:pPr>
              <w:widowControl/>
              <w:jc w:val="right"/>
              <w:rPr>
                <w:rFonts w:ascii="宋体" w:hAnsi="宋体" w:eastAsia="宋体" w:cs="宋体"/>
                <w:color w:val="000000"/>
                <w:kern w:val="0"/>
                <w:sz w:val="15"/>
                <w:szCs w:val="15"/>
              </w:rPr>
            </w:pPr>
            <w:r>
              <w:rPr>
                <w:sz w:val="15"/>
                <w:szCs w:val="15"/>
              </w:rPr>
              <w:t>29,316.53</w:t>
            </w:r>
          </w:p>
        </w:tc>
        <w:tc>
          <w:tcPr>
            <w:tcW w:w="520" w:type="pct"/>
            <w:tcBorders>
              <w:top w:val="nil"/>
              <w:left w:val="nil"/>
              <w:bottom w:val="single" w:color="auto" w:sz="8" w:space="0"/>
              <w:right w:val="single" w:color="auto" w:sz="8" w:space="0"/>
            </w:tcBorders>
            <w:shd w:val="clear" w:color="auto" w:fill="auto"/>
            <w:noWrap/>
          </w:tcPr>
          <w:p>
            <w:pPr>
              <w:widowControl/>
              <w:jc w:val="right"/>
              <w:rPr>
                <w:rFonts w:ascii="宋体" w:hAnsi="宋体" w:eastAsia="宋体" w:cs="宋体"/>
                <w:color w:val="000000"/>
                <w:kern w:val="0"/>
                <w:sz w:val="15"/>
                <w:szCs w:val="15"/>
              </w:rPr>
            </w:pPr>
            <w:r>
              <w:rPr>
                <w:sz w:val="15"/>
                <w:szCs w:val="15"/>
              </w:rPr>
              <w:t>147,694.36</w:t>
            </w:r>
          </w:p>
        </w:tc>
      </w:tr>
      <w:tr>
        <w:tblPrEx>
          <w:tblCellMar>
            <w:top w:w="0" w:type="dxa"/>
            <w:left w:w="108" w:type="dxa"/>
            <w:bottom w:w="0" w:type="dxa"/>
            <w:right w:w="108" w:type="dxa"/>
          </w:tblCellMar>
        </w:tblPrEx>
        <w:trPr>
          <w:trHeight w:val="290" w:hRule="atLeast"/>
        </w:trPr>
        <w:tc>
          <w:tcPr>
            <w:tcW w:w="413" w:type="pc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当月存款利息</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19.82</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16.78</w:t>
            </w:r>
          </w:p>
        </w:tc>
        <w:tc>
          <w:tcPr>
            <w:tcW w:w="361"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44.09</w:t>
            </w:r>
          </w:p>
        </w:tc>
        <w:tc>
          <w:tcPr>
            <w:tcW w:w="437"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26.70</w:t>
            </w:r>
          </w:p>
        </w:tc>
        <w:tc>
          <w:tcPr>
            <w:tcW w:w="349"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27.52</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44.16</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38.22</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30.80</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54.69</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48.27</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41.67</w:t>
            </w:r>
          </w:p>
        </w:tc>
        <w:tc>
          <w:tcPr>
            <w:tcW w:w="520"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70.88</w:t>
            </w:r>
          </w:p>
        </w:tc>
      </w:tr>
      <w:tr>
        <w:tblPrEx>
          <w:tblCellMar>
            <w:top w:w="0" w:type="dxa"/>
            <w:left w:w="108" w:type="dxa"/>
            <w:bottom w:w="0" w:type="dxa"/>
            <w:right w:w="108" w:type="dxa"/>
          </w:tblCellMar>
        </w:tblPrEx>
        <w:trPr>
          <w:trHeight w:val="290" w:hRule="atLeast"/>
        </w:trPr>
        <w:tc>
          <w:tcPr>
            <w:tcW w:w="413" w:type="pct"/>
            <w:tcBorders>
              <w:top w:val="nil"/>
              <w:left w:val="single" w:color="auto" w:sz="8" w:space="0"/>
              <w:bottom w:val="single" w:color="auto" w:sz="8" w:space="0"/>
              <w:right w:val="single" w:color="auto" w:sz="8" w:space="0"/>
            </w:tcBorders>
            <w:shd w:val="clear" w:color="auto" w:fill="auto"/>
            <w:noWrap/>
            <w:vAlign w:val="center"/>
          </w:tcPr>
          <w:p>
            <w:pPr>
              <w:widowControl/>
              <w:jc w:val="left"/>
              <w:rPr>
                <w:rFonts w:ascii="宋体" w:hAnsi="宋体" w:eastAsia="宋体" w:cs="宋体"/>
                <w:color w:val="000000"/>
                <w:kern w:val="0"/>
                <w:sz w:val="15"/>
                <w:szCs w:val="15"/>
              </w:rPr>
            </w:pPr>
            <w:r>
              <w:rPr>
                <w:rFonts w:hint="eastAsia" w:ascii="宋体" w:hAnsi="宋体" w:eastAsia="宋体" w:cs="宋体"/>
                <w:color w:val="000000"/>
                <w:kern w:val="0"/>
                <w:sz w:val="15"/>
                <w:szCs w:val="15"/>
              </w:rPr>
              <w:t>年化利率</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1.72%</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1.00%</w:t>
            </w:r>
          </w:p>
        </w:tc>
        <w:tc>
          <w:tcPr>
            <w:tcW w:w="361"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0.38%</w:t>
            </w:r>
          </w:p>
        </w:tc>
        <w:tc>
          <w:tcPr>
            <w:tcW w:w="437"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1.98%</w:t>
            </w:r>
          </w:p>
        </w:tc>
        <w:tc>
          <w:tcPr>
            <w:tcW w:w="349"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1.65%</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0.43%</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1.89%</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1.86%</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0.47%</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1.96%</w:t>
            </w:r>
          </w:p>
        </w:tc>
        <w:tc>
          <w:tcPr>
            <w:tcW w:w="365"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1.71%</w:t>
            </w:r>
          </w:p>
        </w:tc>
        <w:tc>
          <w:tcPr>
            <w:tcW w:w="520" w:type="pct"/>
            <w:tcBorders>
              <w:top w:val="nil"/>
              <w:left w:val="nil"/>
              <w:bottom w:val="single" w:color="auto" w:sz="8" w:space="0"/>
              <w:right w:val="single" w:color="auto" w:sz="8" w:space="0"/>
            </w:tcBorders>
            <w:shd w:val="clear" w:color="auto" w:fill="auto"/>
            <w:noWrap/>
            <w:vAlign w:val="center"/>
          </w:tcPr>
          <w:p>
            <w:pPr>
              <w:widowControl/>
              <w:jc w:val="right"/>
              <w:rPr>
                <w:rFonts w:ascii="宋体" w:hAnsi="宋体" w:eastAsia="宋体" w:cs="宋体"/>
                <w:color w:val="000000"/>
                <w:kern w:val="0"/>
                <w:sz w:val="15"/>
                <w:szCs w:val="15"/>
              </w:rPr>
            </w:pPr>
            <w:r>
              <w:rPr>
                <w:rFonts w:hint="eastAsia" w:ascii="宋体" w:hAnsi="宋体" w:eastAsia="宋体" w:cs="宋体"/>
                <w:color w:val="000000"/>
                <w:kern w:val="0"/>
                <w:sz w:val="15"/>
                <w:szCs w:val="15"/>
              </w:rPr>
              <w:t>0.58%</w:t>
            </w:r>
          </w:p>
        </w:tc>
      </w:tr>
    </w:tbl>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由上表可见，各月年化利率均处于合理区间内，</w:t>
      </w:r>
      <w:r>
        <w:rPr>
          <w:rFonts w:asciiTheme="minorEastAsia" w:hAnsiTheme="minorEastAsia"/>
          <w:sz w:val="24"/>
          <w:szCs w:val="24"/>
        </w:rPr>
        <w:t>利息收入与货币资金余额</w:t>
      </w:r>
      <w:r>
        <w:rPr>
          <w:rFonts w:hint="eastAsia" w:asciiTheme="minorEastAsia" w:hAnsiTheme="minorEastAsia"/>
          <w:sz w:val="24"/>
          <w:szCs w:val="24"/>
        </w:rPr>
        <w:t>匹配。</w:t>
      </w:r>
    </w:p>
    <w:p>
      <w:pPr>
        <w:tabs>
          <w:tab w:val="left" w:pos="567"/>
        </w:tabs>
        <w:spacing w:line="360" w:lineRule="auto"/>
        <w:ind w:firstLine="480" w:firstLineChars="200"/>
        <w:rPr>
          <w:rFonts w:asciiTheme="minorEastAsia" w:hAnsiTheme="minorEastAsia"/>
          <w:sz w:val="24"/>
          <w:szCs w:val="24"/>
        </w:rPr>
        <w:sectPr>
          <w:pgSz w:w="16838" w:h="11906" w:orient="landscape"/>
          <w:pgMar w:top="1797" w:right="1440" w:bottom="1797" w:left="1440" w:header="851" w:footer="992" w:gutter="0"/>
          <w:cols w:space="425" w:num="1"/>
          <w:docGrid w:type="linesAndChars" w:linePitch="312" w:charSpace="0"/>
        </w:sectPr>
      </w:pPr>
      <w:r>
        <w:rPr>
          <w:rFonts w:hint="eastAsia" w:asciiTheme="minorEastAsia" w:hAnsiTheme="minorEastAsia"/>
          <w:sz w:val="24"/>
          <w:szCs w:val="24"/>
        </w:rPr>
        <w:t>公司贸易业务开展过程中，公司给予客户的信用期为9</w:t>
      </w:r>
      <w:r>
        <w:rPr>
          <w:rFonts w:asciiTheme="minorEastAsia" w:hAnsiTheme="minorEastAsia"/>
          <w:sz w:val="24"/>
          <w:szCs w:val="24"/>
        </w:rPr>
        <w:t>0</w:t>
      </w:r>
      <w:r>
        <w:rPr>
          <w:rFonts w:hint="eastAsia" w:asciiTheme="minorEastAsia" w:hAnsiTheme="minorEastAsia"/>
          <w:sz w:val="24"/>
          <w:szCs w:val="24"/>
        </w:rPr>
        <w:t>天以内，由于贸易业务金额较大，需要支付或回笼大额的货款，根据公司管理要求，会根据与客户的业务开展时间向客户提出不同的回款要求，大部分货款会要求客户在各季度末进行货款支付。而季初时，从维护与供应商关系和在合适的价位购入货物的角度出发，会有大额的采购款支付，从而出现季度末时货币资金余额大于其他月末的货币资金余额。</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2、结合公司经营情况，公司货币资金的使用安排情况</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2022年末，公司货币资金余额为14.77亿元，占总资产的37.77%，该货币资金余额使用安排如下：</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应收账款收回情况：公司月均应收账款余额11.70亿元，年末应收账款</w:t>
      </w:r>
      <w:r>
        <w:rPr>
          <w:rFonts w:hint="eastAsia" w:asciiTheme="minorEastAsia" w:hAnsiTheme="minorEastAsia"/>
          <w:sz w:val="24"/>
          <w:szCs w:val="24"/>
        </w:rPr>
        <w:t>余额</w:t>
      </w:r>
      <w:r>
        <w:rPr>
          <w:rFonts w:asciiTheme="minorEastAsia" w:hAnsiTheme="minorEastAsia"/>
          <w:sz w:val="24"/>
          <w:szCs w:val="24"/>
        </w:rPr>
        <w:t>9.01亿元，年末较</w:t>
      </w:r>
      <w:r>
        <w:rPr>
          <w:rFonts w:hint="eastAsia" w:asciiTheme="minorEastAsia" w:hAnsiTheme="minorEastAsia"/>
          <w:sz w:val="24"/>
          <w:szCs w:val="24"/>
        </w:rPr>
        <w:t>月</w:t>
      </w:r>
      <w:r>
        <w:rPr>
          <w:rFonts w:asciiTheme="minorEastAsia" w:hAnsiTheme="minorEastAsia"/>
          <w:sz w:val="24"/>
          <w:szCs w:val="24"/>
        </w:rPr>
        <w:t>均收回货币资金2.69亿元</w:t>
      </w:r>
      <w:r>
        <w:rPr>
          <w:rFonts w:hint="eastAsia" w:asciiTheme="minorEastAsia" w:hAnsiTheme="minorEastAsia"/>
          <w:sz w:val="24"/>
          <w:szCs w:val="24"/>
        </w:rPr>
        <w:t>；</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医药基地建设</w:t>
      </w:r>
      <w:r>
        <w:rPr>
          <w:rFonts w:hint="eastAsia" w:asciiTheme="minorEastAsia" w:hAnsiTheme="minorEastAsia"/>
          <w:sz w:val="24"/>
          <w:szCs w:val="24"/>
        </w:rPr>
        <w:t>自有</w:t>
      </w:r>
      <w:r>
        <w:rPr>
          <w:rFonts w:asciiTheme="minorEastAsia" w:hAnsiTheme="minorEastAsia"/>
          <w:sz w:val="24"/>
          <w:szCs w:val="24"/>
        </w:rPr>
        <w:t>资金需求</w:t>
      </w:r>
      <w:r>
        <w:rPr>
          <w:rFonts w:hint="eastAsia" w:asciiTheme="minorEastAsia" w:hAnsiTheme="minorEastAsia"/>
          <w:sz w:val="24"/>
          <w:szCs w:val="24"/>
        </w:rPr>
        <w:t>约</w:t>
      </w:r>
      <w:r>
        <w:rPr>
          <w:rFonts w:asciiTheme="minorEastAsia" w:hAnsiTheme="minorEastAsia"/>
          <w:sz w:val="24"/>
          <w:szCs w:val="24"/>
        </w:rPr>
        <w:t>5.1亿元</w:t>
      </w:r>
      <w:r>
        <w:rPr>
          <w:rFonts w:hint="eastAsia" w:asciiTheme="minorEastAsia" w:hAnsiTheme="minorEastAsia"/>
          <w:sz w:val="24"/>
          <w:szCs w:val="24"/>
        </w:rPr>
        <w:t>；</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江苏吴中美学生物科技有限公司尚需支付达透医疗器械（深圳）有限公司增资款和转让款1.36亿元</w:t>
      </w:r>
      <w:r>
        <w:rPr>
          <w:rFonts w:hint="eastAsia" w:asciiTheme="minorEastAsia" w:hAnsiTheme="minorEastAsia"/>
          <w:sz w:val="24"/>
          <w:szCs w:val="24"/>
        </w:rPr>
        <w:t>；</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2023年度需支付非募集资金研发支出0.92亿元</w:t>
      </w:r>
      <w:r>
        <w:rPr>
          <w:rFonts w:hint="eastAsia" w:asciiTheme="minorEastAsia" w:hAnsiTheme="minorEastAsia"/>
          <w:sz w:val="24"/>
          <w:szCs w:val="24"/>
        </w:rPr>
        <w:t>；</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w:t>
      </w:r>
      <w:r>
        <w:rPr>
          <w:rFonts w:asciiTheme="minorEastAsia" w:hAnsiTheme="minorEastAsia"/>
          <w:sz w:val="24"/>
          <w:szCs w:val="24"/>
        </w:rPr>
        <w:t>2022年度募集资金余额0.33亿元</w:t>
      </w:r>
      <w:r>
        <w:rPr>
          <w:rFonts w:hint="eastAsia" w:asciiTheme="minorEastAsia" w:hAnsiTheme="minorEastAsia"/>
          <w:sz w:val="24"/>
          <w:szCs w:val="24"/>
        </w:rPr>
        <w:t>；</w:t>
      </w:r>
    </w:p>
    <w:p>
      <w:pPr>
        <w:tabs>
          <w:tab w:val="left" w:pos="567"/>
        </w:tabs>
        <w:spacing w:line="360" w:lineRule="auto"/>
        <w:ind w:firstLine="480" w:firstLineChars="200"/>
        <w:rPr>
          <w:rFonts w:asciiTheme="minorEastAsia" w:hAnsiTheme="minorEastAsia" w:cstheme="minorEastAsia"/>
          <w:sz w:val="24"/>
          <w:szCs w:val="24"/>
        </w:rPr>
      </w:pPr>
      <w:r>
        <w:rPr>
          <w:rFonts w:hint="eastAsia" w:asciiTheme="minorEastAsia" w:hAnsiTheme="minorEastAsia"/>
          <w:sz w:val="24"/>
          <w:szCs w:val="24"/>
        </w:rPr>
        <w:t>（6）</w:t>
      </w:r>
      <w:r>
        <w:rPr>
          <w:rFonts w:asciiTheme="minorEastAsia" w:hAnsiTheme="minorEastAsia"/>
          <w:sz w:val="24"/>
          <w:szCs w:val="24"/>
        </w:rPr>
        <w:t>定期存款和信用证保证金1.54亿元</w:t>
      </w:r>
      <w:r>
        <w:rPr>
          <w:rFonts w:hint="eastAsia" w:asciiTheme="minorEastAsia" w:hAnsiTheme="minorEastAsia"/>
          <w:sz w:val="24"/>
          <w:szCs w:val="24"/>
        </w:rPr>
        <w:t>；</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（7）</w:t>
      </w:r>
      <w:r>
        <w:rPr>
          <w:rFonts w:asciiTheme="minorEastAsia" w:hAnsiTheme="minorEastAsia"/>
          <w:sz w:val="24"/>
          <w:szCs w:val="24"/>
        </w:rPr>
        <w:t>日常运营所需资金</w:t>
      </w:r>
      <w:r>
        <w:rPr>
          <w:rFonts w:hint="eastAsia" w:asciiTheme="minorEastAsia" w:hAnsiTheme="minorEastAsia"/>
          <w:sz w:val="24"/>
          <w:szCs w:val="24"/>
        </w:rPr>
        <w:t>储备</w:t>
      </w:r>
      <w:r>
        <w:rPr>
          <w:rFonts w:asciiTheme="minorEastAsia" w:hAnsiTheme="minorEastAsia"/>
          <w:sz w:val="24"/>
          <w:szCs w:val="24"/>
        </w:rPr>
        <w:t>：2.5亿元</w:t>
      </w:r>
      <w:r>
        <w:rPr>
          <w:rFonts w:hint="eastAsia" w:asciiTheme="minorEastAsia" w:hAnsiTheme="minorEastAsia"/>
          <w:sz w:val="24"/>
          <w:szCs w:val="24"/>
        </w:rPr>
        <w:t>；</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鉴于医药基地有建设周期、</w:t>
      </w:r>
      <w:r>
        <w:rPr>
          <w:rFonts w:hint="eastAsia" w:asciiTheme="minorEastAsia" w:hAnsiTheme="minorEastAsia"/>
          <w:sz w:val="24"/>
          <w:szCs w:val="24"/>
        </w:rPr>
        <w:t>吴中</w:t>
      </w:r>
      <w:r>
        <w:rPr>
          <w:rFonts w:asciiTheme="minorEastAsia" w:hAnsiTheme="minorEastAsia"/>
          <w:sz w:val="24"/>
          <w:szCs w:val="24"/>
        </w:rPr>
        <w:t>美学运营资金投入</w:t>
      </w:r>
      <w:r>
        <w:rPr>
          <w:rFonts w:hint="eastAsia" w:asciiTheme="minorEastAsia" w:hAnsiTheme="minorEastAsia"/>
          <w:sz w:val="24"/>
          <w:szCs w:val="24"/>
        </w:rPr>
        <w:t>需阶段性按时支付</w:t>
      </w:r>
      <w:r>
        <w:rPr>
          <w:rFonts w:asciiTheme="minorEastAsia" w:hAnsiTheme="minorEastAsia"/>
          <w:sz w:val="24"/>
          <w:szCs w:val="24"/>
        </w:rPr>
        <w:t>，为提高资金使用效率，将以上两板块的</w:t>
      </w:r>
      <w:r>
        <w:rPr>
          <w:rFonts w:hint="eastAsia" w:asciiTheme="minorEastAsia" w:hAnsiTheme="minorEastAsia"/>
          <w:sz w:val="24"/>
          <w:szCs w:val="24"/>
        </w:rPr>
        <w:t>暂时性闲置</w:t>
      </w:r>
      <w:r>
        <w:rPr>
          <w:rFonts w:asciiTheme="minorEastAsia" w:hAnsiTheme="minorEastAsia"/>
          <w:sz w:val="24"/>
          <w:szCs w:val="24"/>
        </w:rPr>
        <w:t>资金转作贸易资金</w:t>
      </w:r>
      <w:r>
        <w:rPr>
          <w:rFonts w:hint="eastAsia" w:asciiTheme="minorEastAsia" w:hAnsiTheme="minorEastAsia"/>
          <w:sz w:val="24"/>
          <w:szCs w:val="24"/>
        </w:rPr>
        <w:t>流转</w:t>
      </w:r>
      <w:r>
        <w:rPr>
          <w:rFonts w:asciiTheme="minorEastAsia" w:hAnsiTheme="minorEastAsia"/>
          <w:sz w:val="24"/>
          <w:szCs w:val="24"/>
        </w:rPr>
        <w:t>，为公司</w:t>
      </w:r>
      <w:r>
        <w:rPr>
          <w:rFonts w:hint="eastAsia" w:asciiTheme="minorEastAsia" w:hAnsiTheme="minorEastAsia"/>
          <w:sz w:val="24"/>
          <w:szCs w:val="24"/>
        </w:rPr>
        <w:t>尽可能创造盈利</w:t>
      </w:r>
      <w:r>
        <w:rPr>
          <w:rFonts w:asciiTheme="minorEastAsia" w:hAnsiTheme="minorEastAsia"/>
          <w:sz w:val="24"/>
          <w:szCs w:val="24"/>
        </w:rPr>
        <w:t>；因此公司日均货币资金余额会低于期末货币资金</w:t>
      </w:r>
      <w:r>
        <w:rPr>
          <w:rFonts w:hint="eastAsia" w:asciiTheme="minorEastAsia" w:hAnsiTheme="minorEastAsia"/>
          <w:sz w:val="24"/>
          <w:szCs w:val="24"/>
        </w:rPr>
        <w:t>余额</w:t>
      </w:r>
      <w:r>
        <w:rPr>
          <w:rFonts w:asciiTheme="minorEastAsia" w:hAnsiTheme="minorEastAsia"/>
          <w:sz w:val="24"/>
          <w:szCs w:val="24"/>
        </w:rPr>
        <w:t>。</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贷款利率介于3.05%-5.3%之间，较低的资金成本，有效助力了公司的发展，同时为提高资金收益，公司将一部分闲余自有资金用于购买保本保息型理财产品，2022年度理财产品利率为6.28%和7%，2022年末理财产品余额为1.7亿元。截至2023年3月31日，基于医药基地建设和医美产业发展</w:t>
      </w:r>
      <w:r>
        <w:rPr>
          <w:rFonts w:hint="eastAsia" w:asciiTheme="minorEastAsia" w:hAnsiTheme="minorEastAsia"/>
          <w:sz w:val="24"/>
          <w:szCs w:val="24"/>
        </w:rPr>
        <w:t>的资金需求</w:t>
      </w:r>
      <w:r>
        <w:rPr>
          <w:rFonts w:asciiTheme="minorEastAsia" w:hAnsiTheme="minorEastAsia"/>
          <w:sz w:val="24"/>
          <w:szCs w:val="24"/>
        </w:rPr>
        <w:t>，公司已赎回全部理财产品。公司贷款主要用于上述公司各项资金需求中。</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公司大额贷款且负担高额融资成本的必要性以及相关财务安排的合理性</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公司受响水化工园爆炸因素影响，原有“医药+化工”双主业</w:t>
      </w:r>
      <w:r>
        <w:rPr>
          <w:rFonts w:hint="eastAsia" w:asciiTheme="minorEastAsia" w:hAnsiTheme="minorEastAsia"/>
          <w:sz w:val="24"/>
          <w:szCs w:val="24"/>
        </w:rPr>
        <w:t>经营战略</w:t>
      </w:r>
      <w:r>
        <w:rPr>
          <w:rFonts w:asciiTheme="minorEastAsia" w:hAnsiTheme="minorEastAsia"/>
          <w:sz w:val="24"/>
          <w:szCs w:val="24"/>
        </w:rPr>
        <w:t>受</w:t>
      </w:r>
      <w:r>
        <w:rPr>
          <w:rFonts w:hint="eastAsia" w:asciiTheme="minorEastAsia" w:hAnsiTheme="minorEastAsia"/>
          <w:sz w:val="24"/>
          <w:szCs w:val="24"/>
        </w:rPr>
        <w:t>阻</w:t>
      </w:r>
      <w:r>
        <w:rPr>
          <w:rFonts w:asciiTheme="minorEastAsia" w:hAnsiTheme="minorEastAsia"/>
          <w:sz w:val="24"/>
          <w:szCs w:val="24"/>
        </w:rPr>
        <w:t>，</w:t>
      </w:r>
      <w:r>
        <w:rPr>
          <w:rFonts w:hint="eastAsia" w:asciiTheme="minorEastAsia" w:hAnsiTheme="minorEastAsia"/>
          <w:sz w:val="24"/>
          <w:szCs w:val="24"/>
        </w:rPr>
        <w:t>公司</w:t>
      </w:r>
      <w:r>
        <w:rPr>
          <w:rFonts w:asciiTheme="minorEastAsia" w:hAnsiTheme="minorEastAsia"/>
          <w:sz w:val="24"/>
          <w:szCs w:val="24"/>
        </w:rPr>
        <w:t>经过二年的论证，目前</w:t>
      </w:r>
      <w:r>
        <w:rPr>
          <w:rFonts w:hint="eastAsia" w:asciiTheme="minorEastAsia" w:hAnsiTheme="minorEastAsia"/>
          <w:sz w:val="24"/>
          <w:szCs w:val="24"/>
        </w:rPr>
        <w:t>已制定</w:t>
      </w:r>
      <w:r>
        <w:rPr>
          <w:rFonts w:asciiTheme="minorEastAsia" w:hAnsiTheme="minorEastAsia"/>
          <w:sz w:val="24"/>
          <w:szCs w:val="24"/>
        </w:rPr>
        <w:t>“做实医药做强医美”的</w:t>
      </w:r>
      <w:r>
        <w:rPr>
          <w:rFonts w:hint="eastAsia" w:asciiTheme="minorEastAsia" w:hAnsiTheme="minorEastAsia"/>
          <w:sz w:val="24"/>
          <w:szCs w:val="24"/>
        </w:rPr>
        <w:t>发展</w:t>
      </w:r>
      <w:r>
        <w:rPr>
          <w:rFonts w:asciiTheme="minorEastAsia" w:hAnsiTheme="minorEastAsia"/>
          <w:sz w:val="24"/>
          <w:szCs w:val="24"/>
        </w:rPr>
        <w:t>战略，</w:t>
      </w:r>
      <w:r>
        <w:rPr>
          <w:rFonts w:hint="eastAsia" w:asciiTheme="minorEastAsia" w:hAnsiTheme="minorEastAsia"/>
          <w:sz w:val="24"/>
          <w:szCs w:val="24"/>
        </w:rPr>
        <w:t>医药方面，</w:t>
      </w:r>
      <w:r>
        <w:rPr>
          <w:rFonts w:asciiTheme="minorEastAsia" w:hAnsiTheme="minorEastAsia"/>
          <w:sz w:val="24"/>
          <w:szCs w:val="24"/>
        </w:rPr>
        <w:t>医药研发和产业化基地项目开工在即；医美方面，童颜针、玻尿酸、胶原蛋白等注射类上游产品管线均已处于研发阶段，为了确保医美产业的快速发展，公司</w:t>
      </w:r>
      <w:r>
        <w:rPr>
          <w:rFonts w:hint="eastAsia" w:asciiTheme="minorEastAsia" w:hAnsiTheme="minorEastAsia"/>
          <w:sz w:val="24"/>
          <w:szCs w:val="24"/>
        </w:rPr>
        <w:t>需</w:t>
      </w:r>
      <w:r>
        <w:rPr>
          <w:rFonts w:asciiTheme="minorEastAsia" w:hAnsiTheme="minorEastAsia"/>
          <w:sz w:val="24"/>
          <w:szCs w:val="24"/>
        </w:rPr>
        <w:t>一定的资金储备。同时公司日常经营也需要</w:t>
      </w:r>
      <w:r>
        <w:rPr>
          <w:rFonts w:hint="eastAsia" w:asciiTheme="minorEastAsia" w:hAnsiTheme="minorEastAsia"/>
          <w:sz w:val="24"/>
          <w:szCs w:val="24"/>
        </w:rPr>
        <w:t>储备一定的营运资金</w:t>
      </w:r>
      <w:r>
        <w:rPr>
          <w:rFonts w:asciiTheme="minorEastAsia" w:hAnsiTheme="minorEastAsia"/>
          <w:sz w:val="24"/>
          <w:szCs w:val="24"/>
        </w:rPr>
        <w:t>。</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另</w:t>
      </w:r>
      <w:r>
        <w:rPr>
          <w:rFonts w:hint="eastAsia" w:asciiTheme="minorEastAsia" w:hAnsiTheme="minorEastAsia"/>
          <w:sz w:val="24"/>
          <w:szCs w:val="24"/>
        </w:rPr>
        <w:t>外，</w:t>
      </w:r>
      <w:r>
        <w:rPr>
          <w:rFonts w:asciiTheme="minorEastAsia" w:hAnsiTheme="minorEastAsia"/>
          <w:sz w:val="24"/>
          <w:szCs w:val="24"/>
        </w:rPr>
        <w:t>近期</w:t>
      </w:r>
      <w:r>
        <w:rPr>
          <w:rFonts w:hint="eastAsia" w:asciiTheme="minorEastAsia" w:hAnsiTheme="minorEastAsia"/>
          <w:sz w:val="24"/>
          <w:szCs w:val="24"/>
        </w:rPr>
        <w:t>公司拟向特定对象增发股票已进入申报阶段</w:t>
      </w:r>
      <w:r>
        <w:rPr>
          <w:rFonts w:asciiTheme="minorEastAsia" w:hAnsiTheme="minorEastAsia"/>
          <w:sz w:val="24"/>
          <w:szCs w:val="24"/>
        </w:rPr>
        <w:t>，</w:t>
      </w:r>
      <w:r>
        <w:rPr>
          <w:rFonts w:hint="eastAsia" w:asciiTheme="minorEastAsia" w:hAnsiTheme="minorEastAsia"/>
          <w:sz w:val="24"/>
          <w:szCs w:val="24"/>
        </w:rPr>
        <w:t>待</w:t>
      </w:r>
      <w:r>
        <w:rPr>
          <w:rFonts w:asciiTheme="minorEastAsia" w:hAnsiTheme="minorEastAsia"/>
          <w:sz w:val="24"/>
          <w:szCs w:val="24"/>
        </w:rPr>
        <w:t>募资成功后，将有3亿元</w:t>
      </w:r>
      <w:r>
        <w:rPr>
          <w:rFonts w:hint="eastAsia" w:asciiTheme="minorEastAsia" w:hAnsiTheme="minorEastAsia"/>
          <w:sz w:val="24"/>
          <w:szCs w:val="24"/>
        </w:rPr>
        <w:t>流动资金</w:t>
      </w:r>
      <w:r>
        <w:rPr>
          <w:rFonts w:asciiTheme="minorEastAsia" w:hAnsiTheme="minorEastAsia"/>
          <w:sz w:val="24"/>
          <w:szCs w:val="24"/>
        </w:rPr>
        <w:t>用</w:t>
      </w:r>
      <w:r>
        <w:rPr>
          <w:rFonts w:hint="eastAsia" w:asciiTheme="minorEastAsia" w:hAnsiTheme="minorEastAsia"/>
          <w:sz w:val="24"/>
          <w:szCs w:val="24"/>
        </w:rPr>
        <w:t>于</w:t>
      </w:r>
      <w:r>
        <w:rPr>
          <w:rFonts w:asciiTheme="minorEastAsia" w:hAnsiTheme="minorEastAsia"/>
          <w:sz w:val="24"/>
          <w:szCs w:val="24"/>
        </w:rPr>
        <w:t>归还银行贷款，同时待医美产业</w:t>
      </w:r>
      <w:r>
        <w:rPr>
          <w:rFonts w:hint="eastAsia" w:asciiTheme="minorEastAsia" w:hAnsiTheme="minorEastAsia"/>
          <w:sz w:val="24"/>
          <w:szCs w:val="24"/>
        </w:rPr>
        <w:t>成功实现</w:t>
      </w:r>
      <w:r>
        <w:rPr>
          <w:rFonts w:asciiTheme="minorEastAsia" w:hAnsiTheme="minorEastAsia"/>
          <w:sz w:val="24"/>
          <w:szCs w:val="24"/>
        </w:rPr>
        <w:t>营收后，公司也将逐步</w:t>
      </w:r>
      <w:r>
        <w:rPr>
          <w:rFonts w:hint="eastAsia" w:asciiTheme="minorEastAsia" w:hAnsiTheme="minorEastAsia"/>
          <w:sz w:val="24"/>
          <w:szCs w:val="24"/>
        </w:rPr>
        <w:t>提升短期借款偿债能力</w:t>
      </w:r>
      <w:r>
        <w:rPr>
          <w:rFonts w:asciiTheme="minorEastAsia" w:hAnsiTheme="minorEastAsia"/>
          <w:sz w:val="24"/>
          <w:szCs w:val="24"/>
        </w:rPr>
        <w:t>，继续优化公司债务结构。</w:t>
      </w:r>
    </w:p>
    <w:p>
      <w:pPr>
        <w:tabs>
          <w:tab w:val="left" w:pos="567"/>
        </w:tabs>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会计师核查意见：</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会计师</w:t>
      </w:r>
      <w:r>
        <w:rPr>
          <w:rFonts w:asciiTheme="minorEastAsia" w:hAnsiTheme="minorEastAsia"/>
          <w:sz w:val="24"/>
          <w:szCs w:val="24"/>
        </w:rPr>
        <w:t>对货币资金、银行借款执行了以下的审计程序：</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了解货币资金 相关内部控制，并测试关键控制的执行有效性</w:t>
      </w:r>
      <w:r>
        <w:rPr>
          <w:rFonts w:asciiTheme="minorEastAsia" w:hAnsiTheme="minorEastAsia"/>
          <w:sz w:val="24"/>
          <w:szCs w:val="24"/>
        </w:rPr>
        <w:t>；</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（2）在企业人员陪同下亲自前往银行现场获取已开立银行账户清单，并与账面银行账户信息进行核对，了解银行账户开立、使用和注销情况，检查银行账户的完整性；</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在公司财务相关人员陪同下亲自前往银行现场银行对账单原件，与银行明细账期末余额核对；对货币资金进行100%函证，函证内容包括：期末余额、资金是否受限、本期注销的账户、借款金额、抵押担保情况、应付银行汇票、信用证等；</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（4）检查定期存单原件，确认其是否被质押或限制使用，并通过函证进一步确认；</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（5）检查企业信用报告，与函证信息进行核对；</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6）对货币资金进行细节测试，包括但不限于：大额资金双向流水核查，重点关注是否存在大额异常交易、是否存在关联方资金占用情形；检查资产负债表日前后实际执行重要性水平及以上的凭证实施截止测试，关注业务内容及对应项目，是否存在大额跨期收支事项，根据业务实质判断是否需要作出审计调整；</w:t>
      </w:r>
    </w:p>
    <w:p>
      <w:pPr>
        <w:tabs>
          <w:tab w:val="left" w:pos="567"/>
        </w:tabs>
        <w:spacing w:line="360" w:lineRule="auto"/>
        <w:ind w:firstLine="480" w:firstLineChars="200"/>
        <w:rPr>
          <w:rFonts w:hint="eastAsia" w:asciiTheme="minorEastAsia" w:hAnsiTheme="minorEastAsia"/>
          <w:sz w:val="24"/>
          <w:szCs w:val="24"/>
        </w:rPr>
      </w:pPr>
      <w:r>
        <w:rPr>
          <w:rFonts w:hint="eastAsia" w:asciiTheme="minorEastAsia" w:hAnsiTheme="minorEastAsia"/>
          <w:sz w:val="24"/>
          <w:szCs w:val="24"/>
        </w:rPr>
        <w:t>（7）对购买的大额理财产品进行100%函证，同时函证理财产品的实际收益人情况，检查理财产品期后赎回情况，以确认期末余额真实存在以及理财产品的商业实质是否符合逻辑；</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（8）实施利息收入的匡算和复核程序；</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（9）了解管理层对货币资金管理的整体规划，取得控股股东（实际控制人）的相关承诺函。经核查，会计师认为：</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1）公司货币资金未见被控股股东及其他关联方挪用、占用以及限制使用的情形；</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2）理财产品未见流向控股股东、实际控制人或其他潜在利益相关方；</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3）公司货币资金使用符合公司目前的经营战略及安排，利息收入和资金规模基本匹配。</w:t>
      </w:r>
    </w:p>
    <w:p>
      <w:pPr>
        <w:tabs>
          <w:tab w:val="left" w:pos="567"/>
        </w:tabs>
        <w:spacing w:line="360" w:lineRule="auto"/>
        <w:ind w:firstLine="480" w:firstLineChars="200"/>
        <w:rPr>
          <w:rFonts w:asciiTheme="minorEastAsia" w:hAnsiTheme="minorEastAsia"/>
          <w:sz w:val="24"/>
          <w:szCs w:val="24"/>
        </w:rPr>
      </w:pPr>
    </w:p>
    <w:p>
      <w:pPr>
        <w:tabs>
          <w:tab w:val="left" w:pos="567"/>
        </w:tabs>
        <w:spacing w:line="360" w:lineRule="auto"/>
        <w:ind w:firstLine="482" w:firstLineChars="200"/>
        <w:outlineLvl w:val="0"/>
        <w:rPr>
          <w:rFonts w:asciiTheme="minorEastAsia" w:hAnsiTheme="minorEastAsia"/>
          <w:b/>
          <w:sz w:val="24"/>
          <w:szCs w:val="24"/>
        </w:rPr>
      </w:pPr>
      <w:r>
        <w:rPr>
          <w:rFonts w:asciiTheme="minorEastAsia" w:hAnsiTheme="minorEastAsia"/>
          <w:b/>
          <w:sz w:val="24"/>
          <w:szCs w:val="24"/>
        </w:rPr>
        <w:t>三、根据年度报告，报告期贸易业务收入5.85亿元，同比增长24.75%，占营业收入的28.87%，占比同比增加2.43个百分点；毛利率为4.40%，同比增加0.2个百分点。</w:t>
      </w:r>
    </w:p>
    <w:p>
      <w:pPr>
        <w:tabs>
          <w:tab w:val="left" w:pos="567"/>
        </w:tabs>
        <w:spacing w:line="360" w:lineRule="auto"/>
        <w:ind w:firstLine="482" w:firstLineChars="200"/>
        <w:rPr>
          <w:rFonts w:asciiTheme="minorEastAsia" w:hAnsiTheme="minorEastAsia"/>
          <w:b/>
          <w:sz w:val="24"/>
          <w:szCs w:val="24"/>
        </w:rPr>
      </w:pPr>
      <w:r>
        <w:rPr>
          <w:rFonts w:asciiTheme="minorEastAsia" w:hAnsiTheme="minorEastAsia"/>
          <w:b/>
          <w:sz w:val="24"/>
          <w:szCs w:val="24"/>
        </w:rPr>
        <w:t>请公司补充披露：(</w:t>
      </w:r>
      <w:r>
        <w:rPr>
          <w:rFonts w:hint="eastAsia" w:asciiTheme="minorEastAsia" w:hAnsiTheme="minorEastAsia"/>
          <w:b/>
          <w:sz w:val="24"/>
          <w:szCs w:val="24"/>
        </w:rPr>
        <w:t>一</w:t>
      </w:r>
      <w:r>
        <w:rPr>
          <w:rFonts w:asciiTheme="minorEastAsia" w:hAnsiTheme="minorEastAsia"/>
          <w:b/>
          <w:sz w:val="24"/>
          <w:szCs w:val="24"/>
        </w:rPr>
        <w:t>)贸易业务的具体经营模式，并结合主要合同条款、定价方法、仓储物流、信用政策和结算方式等说明贸易业务收入确认的具体政策，是否符合会计准则要求；(</w:t>
      </w:r>
      <w:r>
        <w:rPr>
          <w:rFonts w:hint="eastAsia" w:asciiTheme="minorEastAsia" w:hAnsiTheme="minorEastAsia"/>
          <w:b/>
          <w:sz w:val="24"/>
          <w:szCs w:val="24"/>
        </w:rPr>
        <w:t>二</w:t>
      </w:r>
      <w:r>
        <w:rPr>
          <w:rFonts w:asciiTheme="minorEastAsia" w:hAnsiTheme="minorEastAsia"/>
          <w:b/>
          <w:sz w:val="24"/>
          <w:szCs w:val="24"/>
        </w:rPr>
        <w:t>)贸易业务涉及的具体产品及对应收入、毛利率，前五大客户和供应商的名称、交易内容、金额、是否关联方，并说明客户与供应商之间是否存在关联关系或业务往来关系；(</w:t>
      </w:r>
      <w:r>
        <w:rPr>
          <w:rFonts w:hint="eastAsia" w:asciiTheme="minorEastAsia" w:hAnsiTheme="minorEastAsia"/>
          <w:b/>
          <w:sz w:val="24"/>
          <w:szCs w:val="24"/>
        </w:rPr>
        <w:t>三</w:t>
      </w:r>
      <w:r>
        <w:rPr>
          <w:rFonts w:asciiTheme="minorEastAsia" w:hAnsiTheme="minorEastAsia"/>
          <w:b/>
          <w:sz w:val="24"/>
          <w:szCs w:val="24"/>
        </w:rPr>
        <w:t>)贸易业务应收和预付款项前五名对象、交易内容、是否为当年新增客户、金额及同比变化、账龄分布情况，并结合期后回款情况，说明是否存在回收风险。请会计师发表意见。</w:t>
      </w:r>
    </w:p>
    <w:p>
      <w:pPr>
        <w:tabs>
          <w:tab w:val="left" w:pos="567"/>
        </w:tabs>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公司回复：</w:t>
      </w: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（一）</w:t>
      </w:r>
      <w:r>
        <w:rPr>
          <w:rFonts w:asciiTheme="minorEastAsia" w:hAnsiTheme="minorEastAsia"/>
          <w:b/>
          <w:sz w:val="24"/>
          <w:szCs w:val="24"/>
        </w:rPr>
        <w:t>贸易业务的具体经营模式，并结合主要合同条款、定价方法、仓储物流、信用政策和结算方式等说明贸易业务收入确认的具体政策，是否符合会计准则要求</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公司与客户签订销售合同，通过货权转移单完成货权交割（仓储服务平台系统生成货权转移单交割、或使用纸质提货单扫描件外加传真件双重确认货权的转移）。公司财务根据货权转移单、发票、合同确认收入。</w:t>
      </w:r>
    </w:p>
    <w:p>
      <w:pPr>
        <w:spacing w:line="360" w:lineRule="auto"/>
        <w:ind w:firstLine="480" w:firstLineChars="200"/>
        <w:rPr>
          <w:sz w:val="24"/>
          <w:szCs w:val="32"/>
        </w:rPr>
      </w:pPr>
      <w:r>
        <w:rPr>
          <w:rFonts w:asciiTheme="minorEastAsia" w:hAnsiTheme="minorEastAsia"/>
          <w:sz w:val="24"/>
          <w:szCs w:val="24"/>
        </w:rPr>
        <w:t>在收入确认方法上，公司主要根据风险承担的程度来确定采用总额法还是净额法核算</w:t>
      </w:r>
      <w:r>
        <w:rPr>
          <w:rFonts w:hint="eastAsia" w:asciiTheme="minorEastAsia" w:hAnsiTheme="minorEastAsia"/>
          <w:sz w:val="24"/>
          <w:szCs w:val="24"/>
        </w:rPr>
        <w:t>：</w:t>
      </w:r>
    </w:p>
    <w:p>
      <w:pPr>
        <w:spacing w:line="360" w:lineRule="auto"/>
        <w:ind w:firstLine="480" w:firstLineChars="200"/>
        <w:rPr>
          <w:sz w:val="24"/>
          <w:szCs w:val="32"/>
        </w:rPr>
      </w:pPr>
      <w:r>
        <w:rPr>
          <w:rFonts w:hint="eastAsia"/>
          <w:sz w:val="24"/>
          <w:szCs w:val="32"/>
        </w:rPr>
        <w:t>净额法：以销定采，确定下游客户的采购意向，包括采购数量和价格等要素后，再从供应商处拿货，按市场价格升贴水的定价方式进项交易，不承担价格波动的风险。由于我们先行垫付货款给供应商，因此采购价格存在竞争优势。</w:t>
      </w:r>
    </w:p>
    <w:p>
      <w:pPr>
        <w:spacing w:line="360" w:lineRule="auto"/>
        <w:ind w:firstLine="480" w:firstLineChars="200"/>
        <w:rPr>
          <w:sz w:val="24"/>
          <w:szCs w:val="32"/>
        </w:rPr>
      </w:pPr>
      <w:r>
        <w:rPr>
          <w:rFonts w:hint="eastAsia"/>
          <w:sz w:val="24"/>
          <w:szCs w:val="32"/>
        </w:rPr>
        <w:t>总额法</w:t>
      </w:r>
      <w:r>
        <w:rPr>
          <w:rFonts w:hint="eastAsia"/>
          <w:sz w:val="24"/>
          <w:szCs w:val="32"/>
          <w:lang w:eastAsia="zh-CN"/>
        </w:rPr>
        <w:t>：</w:t>
      </w:r>
      <w:r>
        <w:rPr>
          <w:rFonts w:hint="eastAsia"/>
          <w:sz w:val="24"/>
          <w:szCs w:val="32"/>
        </w:rPr>
        <w:t>先采后销，通常是根据上海有色金属网或上海易贸资讯的现货报价，结合贸易商和中间商的报价，在对现货市场进行研判的基础上，采购和销售商品，运用快进快出的低库存管理，来降低价格涨跌的风险。</w:t>
      </w:r>
    </w:p>
    <w:p>
      <w:pPr>
        <w:spacing w:line="360" w:lineRule="auto"/>
        <w:ind w:firstLine="480" w:firstLineChars="200"/>
      </w:pPr>
      <w:r>
        <w:rPr>
          <w:rFonts w:hint="eastAsia"/>
          <w:sz w:val="24"/>
          <w:szCs w:val="32"/>
        </w:rPr>
        <w:t>由于公司以及上下游交易对手，以贸易类公司为主，不是实际使用货物的生产商和工厂，因此大部分交易标的不涉及实物流转。只有少量交易标的如钢材，是直接交货给建筑公司的，涉及实物流转，由公司安排运输。</w:t>
      </w:r>
    </w:p>
    <w:p>
      <w:pPr>
        <w:spacing w:line="360" w:lineRule="auto"/>
        <w:ind w:firstLine="480" w:firstLineChars="200"/>
        <w:rPr>
          <w:sz w:val="24"/>
          <w:szCs w:val="32"/>
        </w:rPr>
      </w:pPr>
      <w:r>
        <w:rPr>
          <w:rFonts w:hint="eastAsia"/>
          <w:sz w:val="24"/>
          <w:szCs w:val="32"/>
        </w:rPr>
        <w:t>非实物流转具体货物的交割方式如下：</w:t>
      </w:r>
    </w:p>
    <w:p>
      <w:pPr>
        <w:spacing w:line="360" w:lineRule="auto"/>
        <w:ind w:firstLine="480" w:firstLineChars="200"/>
        <w:rPr>
          <w:sz w:val="24"/>
          <w:szCs w:val="32"/>
        </w:rPr>
      </w:pPr>
      <w:r>
        <w:rPr>
          <w:rFonts w:hint="eastAsia"/>
          <w:sz w:val="24"/>
          <w:szCs w:val="32"/>
        </w:rPr>
        <w:t>聚酯化工类商品，如乙二醇、精对苯二甲酸等，基本通过第三方仓储公司，诸如张家港保税区长江国际港务有限公司、张家港保税区外商投资服务有限公司等国有上市企业的网上仓储服务平台进行线上交割，先操作入库，再操作出库，没有纸质提货单，在上述网上仓储服务平台上，可以查询到我们每一单交易标的的交割记录。</w:t>
      </w:r>
    </w:p>
    <w:p>
      <w:pPr>
        <w:spacing w:line="360" w:lineRule="auto"/>
        <w:ind w:firstLine="480" w:firstLineChars="200"/>
        <w:rPr>
          <w:sz w:val="24"/>
          <w:szCs w:val="32"/>
        </w:rPr>
      </w:pPr>
      <w:r>
        <w:rPr>
          <w:rFonts w:hint="eastAsia"/>
          <w:sz w:val="24"/>
          <w:szCs w:val="32"/>
        </w:rPr>
        <w:t>有色金属类商品，如锌锭、电解铜等，先在第三方仓储公司网站（如中远海运物流有限公司、上海诚骋物流有限公司、上海全胜物流股份有限公司等）申请每一单货物相对应的提货单卡号，然后由单证人员编制纸质提货单，买卖双方核对后盖章确认，再将提货单扫描件发送给仓储公司，由仓储公司在其内部系统进行入库和出库操作，每一单货物的交割也都可以查询得到。</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主要合同条款：</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（1）交易价格：随行就市，自主定价（总额法）；采购价格加一定升贴水（净额法）</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（2）交货地点及交货方式：</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平台交易转移货权的情形下，部分大宗商品不易搬运，且必须专用场地存放，货物一般都存放于专门从事仓储服务的港务公司仓库，交易时由货权方通知物流公司进行过磅称重，确定最终重量后进行交割，通过港务公司的网上仓储服务平台（CA）将货权转移至购买方；</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大宗商品交易存在实物流的情形下，合同约定商品运输至客户指定地点，客户验收合格后，视为交付完成。相关的运输费用由公司承担。</w:t>
      </w:r>
    </w:p>
    <w:p>
      <w:pPr>
        <w:tabs>
          <w:tab w:val="left" w:pos="567"/>
        </w:tabs>
        <w:spacing w:line="360" w:lineRule="auto"/>
        <w:ind w:firstLine="480" w:firstLineChars="200"/>
        <w:rPr>
          <w:rFonts w:hint="eastAsia" w:asciiTheme="minorEastAsia" w:hAnsiTheme="minorEastAsia" w:eastAsiaTheme="minorEastAsia"/>
          <w:sz w:val="24"/>
          <w:szCs w:val="24"/>
          <w:lang w:eastAsia="zh-CN"/>
        </w:rPr>
      </w:pPr>
      <w:r>
        <w:rPr>
          <w:rFonts w:asciiTheme="minorEastAsia" w:hAnsiTheme="minorEastAsia"/>
          <w:sz w:val="24"/>
          <w:szCs w:val="24"/>
        </w:rPr>
        <w:t>（3）所有权相关的风险和报酬转移时点</w:t>
      </w:r>
      <w:r>
        <w:rPr>
          <w:rFonts w:hint="eastAsia" w:asciiTheme="minorEastAsia" w:hAnsiTheme="minorEastAsia"/>
          <w:sz w:val="24"/>
          <w:szCs w:val="24"/>
          <w:lang w:eastAsia="zh-CN"/>
        </w:rPr>
        <w:t>：</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平台交易不交接实物情形下，通过系统生成“货权转移单”或纸质提货单扫描件外加传真件双重确认，完成货权的交割，货权转至客户名下，标志着与货物所有权相关的风险和报酬已经转移（净额法下虽然也是通过货权转移单据交割，但由于先明确下游客户，且会在极短时间内完成交割，公司实质不承担与货物所有权相关的风险和报酬）。</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商品交易存在交接实物的情形下，根据销售合同约定的交货方式将货物送达交付地点并由客户在物流回单上签字验收时，标志着与货物所有权相关的风险和报酬已经转移。</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（4）结算方式：一般以银行电汇或银行承兑汇票方式支付货款，2022年度基本为银行电汇方式。</w:t>
      </w:r>
    </w:p>
    <w:p>
      <w:pPr>
        <w:tabs>
          <w:tab w:val="left" w:pos="0"/>
        </w:tabs>
        <w:spacing w:line="360" w:lineRule="auto"/>
        <w:ind w:left="424" w:leftChars="202" w:firstLine="141" w:firstLineChars="59"/>
        <w:rPr>
          <w:rFonts w:asciiTheme="minorEastAsia" w:hAnsiTheme="minorEastAsia"/>
          <w:sz w:val="24"/>
          <w:szCs w:val="24"/>
        </w:rPr>
      </w:pPr>
      <w:bookmarkStart w:id="0" w:name="_Hlk136951394"/>
      <w:r>
        <w:rPr>
          <w:rFonts w:asciiTheme="minorEastAsia" w:hAnsiTheme="minorEastAsia"/>
          <w:sz w:val="24"/>
          <w:szCs w:val="24"/>
        </w:rPr>
        <w:t>2022年度采用总额法核算和净额法核算的贸易业务交易情况：</w:t>
      </w:r>
    </w:p>
    <w:p>
      <w:pPr>
        <w:tabs>
          <w:tab w:val="left" w:pos="0"/>
        </w:tabs>
        <w:spacing w:line="360" w:lineRule="auto"/>
        <w:ind w:left="424" w:leftChars="202" w:firstLine="420" w:firstLineChars="200"/>
        <w:jc w:val="right"/>
        <w:rPr>
          <w:rFonts w:asciiTheme="minorEastAsia" w:hAnsiTheme="minorEastAsia"/>
          <w:szCs w:val="21"/>
        </w:rPr>
      </w:pPr>
      <w:r>
        <w:rPr>
          <w:rFonts w:hint="eastAsia" w:asciiTheme="minorEastAsia" w:hAnsiTheme="minorEastAsia"/>
          <w:szCs w:val="21"/>
        </w:rPr>
        <w:t>单位：元</w:t>
      </w:r>
    </w:p>
    <w:bookmarkEnd w:id="0"/>
    <w:tbl>
      <w:tblPr>
        <w:tblStyle w:val="8"/>
        <w:tblW w:w="8222"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3"/>
        <w:gridCol w:w="2410"/>
        <w:gridCol w:w="170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贸易业务种类</w:t>
            </w:r>
          </w:p>
        </w:tc>
        <w:tc>
          <w:tcPr>
            <w:tcW w:w="2410" w:type="dxa"/>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交易总额（不含税）</w:t>
            </w:r>
          </w:p>
        </w:tc>
        <w:tc>
          <w:tcPr>
            <w:tcW w:w="1701" w:type="dxa"/>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交易额占比</w:t>
            </w:r>
          </w:p>
        </w:tc>
        <w:tc>
          <w:tcPr>
            <w:tcW w:w="2268" w:type="dxa"/>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确认收入金额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总额法</w:t>
            </w:r>
          </w:p>
        </w:tc>
        <w:tc>
          <w:tcPr>
            <w:tcW w:w="2410" w:type="dxa"/>
            <w:shd w:val="clear" w:color="auto" w:fill="auto"/>
            <w:vAlign w:val="center"/>
          </w:tcPr>
          <w:p>
            <w:pPr>
              <w:widowControl/>
              <w:jc w:val="right"/>
              <w:rPr>
                <w:rFonts w:asciiTheme="minorEastAsia" w:hAnsiTheme="minorEastAsia"/>
                <w:szCs w:val="21"/>
              </w:rPr>
            </w:pPr>
            <w:r>
              <w:rPr>
                <w:rFonts w:asciiTheme="minorEastAsia" w:hAnsiTheme="minorEastAsia"/>
                <w:szCs w:val="21"/>
              </w:rPr>
              <w:t>565,894,802.36</w:t>
            </w:r>
          </w:p>
        </w:tc>
        <w:tc>
          <w:tcPr>
            <w:tcW w:w="1701" w:type="dxa"/>
            <w:shd w:val="clear" w:color="auto" w:fill="auto"/>
            <w:vAlign w:val="center"/>
          </w:tcPr>
          <w:p>
            <w:pPr>
              <w:widowControl/>
              <w:jc w:val="right"/>
              <w:rPr>
                <w:rFonts w:asciiTheme="minorEastAsia" w:hAnsiTheme="minorEastAsia"/>
                <w:szCs w:val="21"/>
              </w:rPr>
            </w:pPr>
            <w:r>
              <w:rPr>
                <w:rFonts w:asciiTheme="minorEastAsia" w:hAnsiTheme="minorEastAsia"/>
                <w:szCs w:val="21"/>
              </w:rPr>
              <w:t>12.92%</w:t>
            </w:r>
          </w:p>
        </w:tc>
        <w:tc>
          <w:tcPr>
            <w:tcW w:w="2268" w:type="dxa"/>
            <w:shd w:val="clear" w:color="auto" w:fill="auto"/>
            <w:vAlign w:val="center"/>
          </w:tcPr>
          <w:p>
            <w:pPr>
              <w:widowControl/>
              <w:jc w:val="right"/>
              <w:rPr>
                <w:rFonts w:asciiTheme="minorEastAsia" w:hAnsiTheme="minorEastAsia"/>
                <w:szCs w:val="21"/>
              </w:rPr>
            </w:pPr>
            <w:r>
              <w:rPr>
                <w:rFonts w:asciiTheme="minorEastAsia" w:hAnsiTheme="minorEastAsia"/>
                <w:szCs w:val="21"/>
              </w:rPr>
              <w:t>565,894,802.36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843" w:type="dxa"/>
            <w:shd w:val="clear" w:color="auto" w:fill="auto"/>
            <w:vAlign w:val="center"/>
          </w:tcPr>
          <w:p>
            <w:pPr>
              <w:widowControl/>
              <w:jc w:val="center"/>
              <w:rPr>
                <w:rFonts w:asciiTheme="minorEastAsia" w:hAnsiTheme="minorEastAsia"/>
                <w:szCs w:val="21"/>
              </w:rPr>
            </w:pPr>
            <w:r>
              <w:rPr>
                <w:rFonts w:hint="eastAsia" w:asciiTheme="minorEastAsia" w:hAnsiTheme="minorEastAsia"/>
                <w:szCs w:val="21"/>
              </w:rPr>
              <w:t>净额法</w:t>
            </w:r>
          </w:p>
        </w:tc>
        <w:tc>
          <w:tcPr>
            <w:tcW w:w="2410" w:type="dxa"/>
            <w:shd w:val="clear" w:color="auto" w:fill="auto"/>
            <w:vAlign w:val="center"/>
          </w:tcPr>
          <w:p>
            <w:pPr>
              <w:widowControl/>
              <w:jc w:val="right"/>
              <w:rPr>
                <w:rFonts w:asciiTheme="minorEastAsia" w:hAnsiTheme="minorEastAsia"/>
                <w:szCs w:val="21"/>
              </w:rPr>
            </w:pPr>
            <w:r>
              <w:rPr>
                <w:rFonts w:asciiTheme="minorEastAsia" w:hAnsiTheme="minorEastAsia"/>
                <w:szCs w:val="21"/>
              </w:rPr>
              <w:t>3,815,576,889.70</w:t>
            </w:r>
          </w:p>
        </w:tc>
        <w:tc>
          <w:tcPr>
            <w:tcW w:w="1701" w:type="dxa"/>
            <w:shd w:val="clear" w:color="auto" w:fill="auto"/>
            <w:vAlign w:val="center"/>
          </w:tcPr>
          <w:p>
            <w:pPr>
              <w:widowControl/>
              <w:jc w:val="right"/>
              <w:rPr>
                <w:rFonts w:asciiTheme="minorEastAsia" w:hAnsiTheme="minorEastAsia"/>
                <w:szCs w:val="21"/>
              </w:rPr>
            </w:pPr>
            <w:r>
              <w:rPr>
                <w:rFonts w:asciiTheme="minorEastAsia" w:hAnsiTheme="minorEastAsia"/>
                <w:szCs w:val="21"/>
              </w:rPr>
              <w:t>87.08%</w:t>
            </w:r>
          </w:p>
        </w:tc>
        <w:tc>
          <w:tcPr>
            <w:tcW w:w="2268" w:type="dxa"/>
            <w:shd w:val="clear" w:color="auto" w:fill="auto"/>
            <w:vAlign w:val="center"/>
          </w:tcPr>
          <w:p>
            <w:pPr>
              <w:widowControl/>
              <w:jc w:val="right"/>
              <w:rPr>
                <w:rFonts w:asciiTheme="minorEastAsia" w:hAnsiTheme="minorEastAsia"/>
                <w:szCs w:val="21"/>
              </w:rPr>
            </w:pPr>
            <w:r>
              <w:rPr>
                <w:rFonts w:asciiTheme="minorEastAsia" w:hAnsiTheme="minorEastAsia"/>
                <w:szCs w:val="21"/>
              </w:rPr>
              <w:t>19,675,837.11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843" w:type="dxa"/>
            <w:shd w:val="clear" w:color="auto" w:fill="auto"/>
            <w:noWrap/>
            <w:vAlign w:val="center"/>
          </w:tcPr>
          <w:p>
            <w:pPr>
              <w:widowControl/>
              <w:jc w:val="center"/>
              <w:rPr>
                <w:rFonts w:asciiTheme="minorEastAsia" w:hAnsiTheme="minorEastAsia"/>
                <w:szCs w:val="21"/>
              </w:rPr>
            </w:pPr>
            <w:r>
              <w:rPr>
                <w:rFonts w:hint="eastAsia" w:asciiTheme="minorEastAsia" w:hAnsiTheme="minorEastAsia"/>
                <w:szCs w:val="21"/>
              </w:rPr>
              <w:t>合计</w:t>
            </w:r>
          </w:p>
        </w:tc>
        <w:tc>
          <w:tcPr>
            <w:tcW w:w="2410" w:type="dxa"/>
            <w:shd w:val="clear" w:color="auto" w:fill="auto"/>
            <w:noWrap/>
            <w:vAlign w:val="center"/>
          </w:tcPr>
          <w:p>
            <w:pPr>
              <w:widowControl/>
              <w:jc w:val="right"/>
              <w:rPr>
                <w:rFonts w:asciiTheme="minorEastAsia" w:hAnsiTheme="minorEastAsia"/>
                <w:szCs w:val="21"/>
              </w:rPr>
            </w:pPr>
            <w:r>
              <w:rPr>
                <w:rFonts w:hint="eastAsia" w:asciiTheme="minorEastAsia" w:hAnsiTheme="minorEastAsia"/>
                <w:szCs w:val="21"/>
              </w:rPr>
              <w:t>4,381,471,692.06</w:t>
            </w:r>
          </w:p>
        </w:tc>
        <w:tc>
          <w:tcPr>
            <w:tcW w:w="1701" w:type="dxa"/>
            <w:shd w:val="clear" w:color="auto" w:fill="auto"/>
            <w:vAlign w:val="center"/>
          </w:tcPr>
          <w:p>
            <w:pPr>
              <w:widowControl/>
              <w:jc w:val="right"/>
              <w:rPr>
                <w:rFonts w:asciiTheme="minorEastAsia" w:hAnsiTheme="minorEastAsia"/>
                <w:szCs w:val="21"/>
              </w:rPr>
            </w:pPr>
            <w:r>
              <w:rPr>
                <w:rFonts w:asciiTheme="minorEastAsia" w:hAnsiTheme="minorEastAsia"/>
                <w:szCs w:val="21"/>
              </w:rPr>
              <w:t>100.00%</w:t>
            </w:r>
          </w:p>
        </w:tc>
        <w:tc>
          <w:tcPr>
            <w:tcW w:w="2268" w:type="dxa"/>
            <w:shd w:val="clear" w:color="auto" w:fill="auto"/>
            <w:noWrap/>
            <w:vAlign w:val="center"/>
          </w:tcPr>
          <w:p>
            <w:pPr>
              <w:widowControl/>
              <w:jc w:val="right"/>
              <w:rPr>
                <w:rFonts w:asciiTheme="minorEastAsia" w:hAnsiTheme="minorEastAsia"/>
                <w:szCs w:val="21"/>
              </w:rPr>
            </w:pPr>
            <w:r>
              <w:rPr>
                <w:rFonts w:hint="eastAsia" w:asciiTheme="minorEastAsia" w:hAnsiTheme="minorEastAsia"/>
                <w:szCs w:val="21"/>
              </w:rPr>
              <w:t>585,570,639.47</w:t>
            </w:r>
          </w:p>
        </w:tc>
      </w:tr>
    </w:tbl>
    <w:p>
      <w:pPr>
        <w:tabs>
          <w:tab w:val="left" w:pos="567"/>
        </w:tabs>
        <w:spacing w:line="360" w:lineRule="auto"/>
        <w:ind w:firstLine="480" w:firstLineChars="200"/>
        <w:rPr>
          <w:rFonts w:asciiTheme="minorEastAsia" w:hAnsiTheme="minorEastAsia"/>
          <w:b/>
          <w:sz w:val="24"/>
          <w:szCs w:val="24"/>
        </w:rPr>
      </w:pPr>
      <w:r>
        <w:rPr>
          <w:rFonts w:hint="eastAsia" w:asciiTheme="minorEastAsia" w:hAnsiTheme="minorEastAsia"/>
          <w:sz w:val="24"/>
          <w:szCs w:val="24"/>
        </w:rPr>
        <w:t>综上所述，公司在合同条款、定价方法、仓储物流和结算方式上符合会计准则对收入确认的要求。</w:t>
      </w:r>
    </w:p>
    <w:p>
      <w:pPr>
        <w:tabs>
          <w:tab w:val="left" w:pos="567"/>
        </w:tabs>
        <w:spacing w:line="360" w:lineRule="auto"/>
        <w:ind w:firstLine="482" w:firstLineChars="200"/>
        <w:outlineLvl w:val="1"/>
        <w:rPr>
          <w:rFonts w:asciiTheme="minorEastAsia" w:hAnsiTheme="minorEastAsia"/>
          <w:b/>
          <w:sz w:val="24"/>
          <w:szCs w:val="24"/>
        </w:rPr>
      </w:pPr>
      <w:bookmarkStart w:id="1" w:name="_Hlk136244227"/>
      <w:r>
        <w:rPr>
          <w:rFonts w:hint="eastAsia" w:asciiTheme="minorEastAsia" w:hAnsiTheme="minorEastAsia"/>
          <w:b/>
          <w:sz w:val="24"/>
          <w:szCs w:val="24"/>
        </w:rPr>
        <w:t>（二）</w:t>
      </w:r>
      <w:r>
        <w:rPr>
          <w:rFonts w:asciiTheme="minorEastAsia" w:hAnsiTheme="minorEastAsia"/>
          <w:b/>
          <w:sz w:val="24"/>
          <w:szCs w:val="24"/>
        </w:rPr>
        <w:t>贸易业务涉及的具体产品及对应收入、毛利率</w:t>
      </w:r>
      <w:bookmarkEnd w:id="1"/>
      <w:r>
        <w:rPr>
          <w:rFonts w:asciiTheme="minorEastAsia" w:hAnsiTheme="minorEastAsia"/>
          <w:b/>
          <w:sz w:val="24"/>
          <w:szCs w:val="24"/>
        </w:rPr>
        <w:t>，前五大客户和供应商的名称、交易内容、金额、是否关联方，并说明客户与供应商之间是否存在关联关系或业务往来关系</w:t>
      </w:r>
    </w:p>
    <w:p>
      <w:pPr>
        <w:tabs>
          <w:tab w:val="left" w:pos="567"/>
        </w:tabs>
        <w:spacing w:line="360" w:lineRule="auto"/>
        <w:ind w:firstLine="480" w:firstLineChars="200"/>
        <w:outlineLvl w:val="1"/>
        <w:rPr>
          <w:rFonts w:asciiTheme="minorEastAsia" w:hAnsiTheme="minorEastAsia"/>
          <w:sz w:val="24"/>
          <w:szCs w:val="24"/>
        </w:rPr>
      </w:pPr>
      <w:r>
        <w:rPr>
          <w:rFonts w:hint="eastAsia" w:asciiTheme="minorEastAsia" w:hAnsiTheme="minorEastAsia"/>
          <w:sz w:val="24"/>
          <w:szCs w:val="24"/>
        </w:rPr>
        <w:t>公司从事贸易业务主要基于以下考虑：公司拥有</w:t>
      </w:r>
      <w:r>
        <w:rPr>
          <w:rFonts w:asciiTheme="minorEastAsia" w:hAnsiTheme="minorEastAsia"/>
          <w:sz w:val="24"/>
          <w:szCs w:val="24"/>
        </w:rPr>
        <w:t>长期从事大宗商品的贸易业务</w:t>
      </w:r>
      <w:r>
        <w:rPr>
          <w:rFonts w:hint="eastAsia" w:asciiTheme="minorEastAsia" w:hAnsiTheme="minorEastAsia"/>
          <w:sz w:val="24"/>
          <w:szCs w:val="24"/>
        </w:rPr>
        <w:t>的专业人员</w:t>
      </w:r>
      <w:r>
        <w:rPr>
          <w:rFonts w:asciiTheme="minorEastAsia" w:hAnsiTheme="minorEastAsia"/>
          <w:sz w:val="24"/>
          <w:szCs w:val="24"/>
        </w:rPr>
        <w:t>，</w:t>
      </w:r>
      <w:r>
        <w:rPr>
          <w:rFonts w:hint="eastAsia" w:asciiTheme="minorEastAsia" w:hAnsiTheme="minorEastAsia"/>
          <w:sz w:val="24"/>
          <w:szCs w:val="24"/>
        </w:rPr>
        <w:t>尤其在</w:t>
      </w:r>
      <w:r>
        <w:rPr>
          <w:rFonts w:asciiTheme="minorEastAsia" w:hAnsiTheme="minorEastAsia"/>
          <w:sz w:val="24"/>
          <w:szCs w:val="24"/>
        </w:rPr>
        <w:t>电解铜</w:t>
      </w:r>
      <w:r>
        <w:rPr>
          <w:rFonts w:hint="eastAsia" w:asciiTheme="minorEastAsia" w:hAnsiTheme="minorEastAsia"/>
          <w:sz w:val="24"/>
          <w:szCs w:val="24"/>
        </w:rPr>
        <w:t>、</w:t>
      </w:r>
      <w:r>
        <w:rPr>
          <w:rFonts w:asciiTheme="minorEastAsia" w:hAnsiTheme="minorEastAsia"/>
          <w:sz w:val="24"/>
          <w:szCs w:val="24"/>
        </w:rPr>
        <w:t>锌锭</w:t>
      </w:r>
      <w:r>
        <w:rPr>
          <w:rFonts w:hint="eastAsia" w:asciiTheme="minorEastAsia" w:hAnsiTheme="minorEastAsia"/>
          <w:sz w:val="24"/>
          <w:szCs w:val="24"/>
        </w:rPr>
        <w:t>、</w:t>
      </w:r>
      <w:r>
        <w:rPr>
          <w:rFonts w:asciiTheme="minorEastAsia" w:hAnsiTheme="minorEastAsia"/>
          <w:sz w:val="24"/>
          <w:szCs w:val="24"/>
        </w:rPr>
        <w:t>PTA和MEG等</w:t>
      </w:r>
      <w:r>
        <w:rPr>
          <w:rFonts w:hint="eastAsia" w:asciiTheme="minorEastAsia" w:hAnsiTheme="minorEastAsia"/>
          <w:sz w:val="24"/>
          <w:szCs w:val="24"/>
        </w:rPr>
        <w:t>商品</w:t>
      </w:r>
      <w:r>
        <w:rPr>
          <w:rFonts w:asciiTheme="minorEastAsia" w:hAnsiTheme="minorEastAsia"/>
          <w:sz w:val="24"/>
          <w:szCs w:val="24"/>
        </w:rPr>
        <w:t>的采购和销售</w:t>
      </w:r>
      <w:r>
        <w:rPr>
          <w:rFonts w:hint="eastAsia" w:asciiTheme="minorEastAsia" w:hAnsiTheme="minorEastAsia"/>
          <w:sz w:val="24"/>
          <w:szCs w:val="24"/>
        </w:rPr>
        <w:t>方面</w:t>
      </w:r>
      <w:r>
        <w:rPr>
          <w:rFonts w:asciiTheme="minorEastAsia" w:hAnsiTheme="minorEastAsia"/>
          <w:sz w:val="24"/>
          <w:szCs w:val="24"/>
        </w:rPr>
        <w:t>市场经验</w:t>
      </w:r>
      <w:r>
        <w:rPr>
          <w:rFonts w:hint="eastAsia" w:asciiTheme="minorEastAsia" w:hAnsiTheme="minorEastAsia"/>
          <w:sz w:val="24"/>
          <w:szCs w:val="24"/>
        </w:rPr>
        <w:t>丰富</w:t>
      </w:r>
      <w:r>
        <w:rPr>
          <w:rFonts w:asciiTheme="minorEastAsia" w:hAnsiTheme="minorEastAsia"/>
          <w:sz w:val="24"/>
          <w:szCs w:val="24"/>
        </w:rPr>
        <w:t>、客户资源</w:t>
      </w:r>
      <w:r>
        <w:rPr>
          <w:rFonts w:hint="eastAsia" w:asciiTheme="minorEastAsia" w:hAnsiTheme="minorEastAsia"/>
          <w:sz w:val="24"/>
          <w:szCs w:val="24"/>
        </w:rPr>
        <w:t>充足</w:t>
      </w:r>
      <w:r>
        <w:rPr>
          <w:rFonts w:asciiTheme="minorEastAsia" w:hAnsiTheme="minorEastAsia"/>
          <w:sz w:val="24"/>
          <w:szCs w:val="24"/>
        </w:rPr>
        <w:t>。</w:t>
      </w:r>
    </w:p>
    <w:p>
      <w:pPr>
        <w:tabs>
          <w:tab w:val="left" w:pos="567"/>
        </w:tabs>
        <w:spacing w:line="360" w:lineRule="auto"/>
        <w:ind w:left="424" w:leftChars="202"/>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贸易业务涉及的具体产品及对应收入、毛利率如下表列示：</w:t>
      </w:r>
    </w:p>
    <w:p>
      <w:pPr>
        <w:tabs>
          <w:tab w:val="left" w:pos="567"/>
        </w:tabs>
        <w:spacing w:line="360" w:lineRule="auto"/>
        <w:ind w:left="424" w:leftChars="202" w:right="480"/>
        <w:jc w:val="right"/>
        <w:rPr>
          <w:rFonts w:asciiTheme="minorEastAsia" w:hAnsiTheme="minorEastAsia"/>
          <w:sz w:val="24"/>
          <w:szCs w:val="24"/>
        </w:rPr>
      </w:pPr>
      <w:r>
        <w:rPr>
          <w:rFonts w:asciiTheme="minorEastAsia" w:hAnsiTheme="minorEastAsia"/>
          <w:sz w:val="24"/>
          <w:szCs w:val="24"/>
        </w:rPr>
        <w:t>单位：万元</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1217"/>
        <w:gridCol w:w="1382"/>
        <w:gridCol w:w="1283"/>
        <w:gridCol w:w="1140"/>
        <w:gridCol w:w="1064"/>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714" w:type="pct"/>
          </w:tcPr>
          <w:p>
            <w:pPr>
              <w:tabs>
                <w:tab w:val="left" w:pos="0"/>
              </w:tabs>
              <w:rPr>
                <w:rFonts w:asciiTheme="minorEastAsia" w:hAnsiTheme="minorEastAsia"/>
                <w:kern w:val="0"/>
                <w:sz w:val="21"/>
                <w:szCs w:val="21"/>
              </w:rPr>
            </w:pPr>
            <w:r>
              <w:rPr>
                <w:rFonts w:asciiTheme="minorEastAsia" w:hAnsiTheme="minorEastAsia"/>
                <w:kern w:val="0"/>
                <w:sz w:val="21"/>
                <w:szCs w:val="21"/>
              </w:rPr>
              <w:t>贸易业务类型</w:t>
            </w: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产品</w:t>
            </w:r>
          </w:p>
        </w:tc>
        <w:tc>
          <w:tcPr>
            <w:tcW w:w="811"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交易总额（不含税）</w:t>
            </w:r>
          </w:p>
        </w:tc>
        <w:tc>
          <w:tcPr>
            <w:tcW w:w="753"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交易成本（不含税）</w:t>
            </w:r>
          </w:p>
        </w:tc>
        <w:tc>
          <w:tcPr>
            <w:tcW w:w="669"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交易毛利</w:t>
            </w:r>
          </w:p>
        </w:tc>
        <w:tc>
          <w:tcPr>
            <w:tcW w:w="62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毛利率（%）</w:t>
            </w:r>
          </w:p>
        </w:tc>
        <w:tc>
          <w:tcPr>
            <w:tcW w:w="715"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确认收入金额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restart"/>
            <w:vAlign w:val="center"/>
          </w:tcPr>
          <w:p>
            <w:pPr>
              <w:tabs>
                <w:tab w:val="left" w:pos="0"/>
              </w:tabs>
              <w:jc w:val="center"/>
              <w:rPr>
                <w:rFonts w:asciiTheme="minorEastAsia" w:hAnsiTheme="minorEastAsia"/>
                <w:kern w:val="0"/>
                <w:sz w:val="21"/>
                <w:szCs w:val="21"/>
              </w:rPr>
            </w:pPr>
            <w:r>
              <w:rPr>
                <w:rFonts w:asciiTheme="minorEastAsia" w:hAnsiTheme="minorEastAsia"/>
                <w:kern w:val="0"/>
                <w:sz w:val="21"/>
                <w:szCs w:val="21"/>
              </w:rPr>
              <w:t>总额法</w:t>
            </w: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PTA</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34,118.84</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33,956.84</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162.00</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0.47</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34,118.84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continue"/>
            <w:vAlign w:val="center"/>
          </w:tcPr>
          <w:p>
            <w:pPr>
              <w:tabs>
                <w:tab w:val="left" w:pos="0"/>
              </w:tabs>
              <w:jc w:val="center"/>
              <w:rPr>
                <w:rFonts w:asciiTheme="minorEastAsia" w:hAnsiTheme="minorEastAsia"/>
                <w:kern w:val="0"/>
                <w:sz w:val="21"/>
                <w:szCs w:val="21"/>
              </w:rPr>
            </w:pP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乙二醇</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13,582.92</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13,517.26</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65.66</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0.48</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13,582.92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continue"/>
            <w:vAlign w:val="center"/>
          </w:tcPr>
          <w:p>
            <w:pPr>
              <w:tabs>
                <w:tab w:val="left" w:pos="0"/>
              </w:tabs>
              <w:jc w:val="center"/>
              <w:rPr>
                <w:rFonts w:asciiTheme="minorEastAsia" w:hAnsiTheme="minorEastAsia"/>
                <w:kern w:val="0"/>
                <w:sz w:val="21"/>
                <w:szCs w:val="21"/>
              </w:rPr>
            </w:pP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螺纹钢</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5,299.17</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4,895.02</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404.15</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7.63</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5,299.17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continue"/>
            <w:vAlign w:val="center"/>
          </w:tcPr>
          <w:p>
            <w:pPr>
              <w:tabs>
                <w:tab w:val="left" w:pos="0"/>
              </w:tabs>
              <w:jc w:val="center"/>
              <w:rPr>
                <w:rFonts w:asciiTheme="minorEastAsia" w:hAnsiTheme="minorEastAsia"/>
                <w:kern w:val="0"/>
                <w:sz w:val="21"/>
                <w:szCs w:val="21"/>
              </w:rPr>
            </w:pP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锌锭</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3,561.42</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3,544.74</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16.68</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0.47</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3,561.42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continue"/>
            <w:vAlign w:val="center"/>
          </w:tcPr>
          <w:p>
            <w:pPr>
              <w:tabs>
                <w:tab w:val="left" w:pos="0"/>
              </w:tabs>
              <w:jc w:val="center"/>
              <w:rPr>
                <w:rFonts w:asciiTheme="minorEastAsia" w:hAnsiTheme="minorEastAsia"/>
                <w:kern w:val="0"/>
                <w:sz w:val="21"/>
                <w:szCs w:val="21"/>
              </w:rPr>
            </w:pP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DOTP</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27.13</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27.08</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0.05</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0.20</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27.13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continue"/>
            <w:vAlign w:val="center"/>
          </w:tcPr>
          <w:p>
            <w:pPr>
              <w:tabs>
                <w:tab w:val="left" w:pos="0"/>
              </w:tabs>
              <w:jc w:val="center"/>
              <w:rPr>
                <w:rFonts w:asciiTheme="minorEastAsia" w:hAnsiTheme="minorEastAsia"/>
                <w:kern w:val="0"/>
                <w:sz w:val="21"/>
                <w:szCs w:val="21"/>
              </w:rPr>
            </w:pP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合计</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56,589.48</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55,940.94</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648.54</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1.15</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56,589.48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restart"/>
            <w:vAlign w:val="center"/>
          </w:tcPr>
          <w:p>
            <w:pPr>
              <w:tabs>
                <w:tab w:val="left" w:pos="0"/>
              </w:tabs>
              <w:jc w:val="center"/>
              <w:rPr>
                <w:rFonts w:asciiTheme="minorEastAsia" w:hAnsiTheme="minorEastAsia"/>
                <w:kern w:val="0"/>
                <w:sz w:val="21"/>
                <w:szCs w:val="21"/>
              </w:rPr>
            </w:pPr>
            <w:r>
              <w:rPr>
                <w:rFonts w:asciiTheme="minorEastAsia" w:hAnsiTheme="minorEastAsia"/>
                <w:kern w:val="0"/>
                <w:sz w:val="21"/>
                <w:szCs w:val="21"/>
              </w:rPr>
              <w:t>净额法</w:t>
            </w: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锌锭</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158,972.07</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158,075.80</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896.26</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0.56</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896.26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continue"/>
          </w:tcPr>
          <w:p>
            <w:pPr>
              <w:tabs>
                <w:tab w:val="left" w:pos="0"/>
              </w:tabs>
              <w:rPr>
                <w:rFonts w:asciiTheme="minorEastAsia" w:hAnsiTheme="minorEastAsia"/>
                <w:kern w:val="0"/>
                <w:sz w:val="21"/>
                <w:szCs w:val="21"/>
              </w:rPr>
            </w:pP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电解铜</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100,949.57</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100,606.95</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342.62</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0.34</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342.62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continue"/>
          </w:tcPr>
          <w:p>
            <w:pPr>
              <w:tabs>
                <w:tab w:val="left" w:pos="0"/>
              </w:tabs>
              <w:rPr>
                <w:rFonts w:asciiTheme="minorEastAsia" w:hAnsiTheme="minorEastAsia"/>
                <w:kern w:val="0"/>
                <w:sz w:val="21"/>
                <w:szCs w:val="21"/>
              </w:rPr>
            </w:pP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PTA</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96,976.14</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96,455.74</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520.40</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0.54</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520.40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continue"/>
          </w:tcPr>
          <w:p>
            <w:pPr>
              <w:tabs>
                <w:tab w:val="left" w:pos="0"/>
              </w:tabs>
              <w:rPr>
                <w:rFonts w:asciiTheme="minorEastAsia" w:hAnsiTheme="minorEastAsia"/>
                <w:kern w:val="0"/>
                <w:sz w:val="21"/>
                <w:szCs w:val="21"/>
              </w:rPr>
            </w:pP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乙二醇</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24,282.83</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24,089.91</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192.92</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0.79</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192.92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continue"/>
          </w:tcPr>
          <w:p>
            <w:pPr>
              <w:tabs>
                <w:tab w:val="left" w:pos="0"/>
              </w:tabs>
              <w:rPr>
                <w:rFonts w:asciiTheme="minorEastAsia" w:hAnsiTheme="minorEastAsia"/>
                <w:kern w:val="0"/>
                <w:sz w:val="21"/>
                <w:szCs w:val="21"/>
              </w:rPr>
            </w:pP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棉纱</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313.34</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299.33</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14.01</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4.47</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continue"/>
          </w:tcPr>
          <w:p>
            <w:pPr>
              <w:tabs>
                <w:tab w:val="left" w:pos="0"/>
              </w:tabs>
              <w:rPr>
                <w:rFonts w:asciiTheme="minorEastAsia" w:hAnsiTheme="minorEastAsia"/>
                <w:kern w:val="0"/>
                <w:sz w:val="21"/>
                <w:szCs w:val="21"/>
              </w:rPr>
            </w:pP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混纺棉纱</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63.75</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62.38</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1.37</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2.15</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4" w:type="pct"/>
            <w:vMerge w:val="continue"/>
          </w:tcPr>
          <w:p>
            <w:pPr>
              <w:tabs>
                <w:tab w:val="left" w:pos="0"/>
              </w:tabs>
              <w:rPr>
                <w:rFonts w:asciiTheme="minorEastAsia" w:hAnsiTheme="minorEastAsia"/>
                <w:kern w:val="0"/>
                <w:sz w:val="21"/>
                <w:szCs w:val="21"/>
              </w:rPr>
            </w:pPr>
          </w:p>
        </w:tc>
        <w:tc>
          <w:tcPr>
            <w:tcW w:w="714" w:type="pct"/>
            <w:vAlign w:val="center"/>
          </w:tcPr>
          <w:p>
            <w:pPr>
              <w:tabs>
                <w:tab w:val="left" w:pos="0"/>
              </w:tabs>
              <w:jc w:val="center"/>
              <w:rPr>
                <w:rFonts w:asciiTheme="minorEastAsia" w:hAnsiTheme="minorEastAsia"/>
                <w:kern w:val="0"/>
                <w:sz w:val="21"/>
                <w:szCs w:val="21"/>
              </w:rPr>
            </w:pPr>
            <w:r>
              <w:rPr>
                <w:rFonts w:cs="Arial" w:asciiTheme="minorEastAsia" w:hAnsiTheme="minorEastAsia"/>
                <w:color w:val="000000"/>
                <w:kern w:val="0"/>
                <w:sz w:val="21"/>
                <w:szCs w:val="21"/>
              </w:rPr>
              <w:t>合计</w:t>
            </w:r>
          </w:p>
        </w:tc>
        <w:tc>
          <w:tcPr>
            <w:tcW w:w="811"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381,557.69</w:t>
            </w:r>
          </w:p>
        </w:tc>
        <w:tc>
          <w:tcPr>
            <w:tcW w:w="753"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379,590.11</w:t>
            </w:r>
          </w:p>
        </w:tc>
        <w:tc>
          <w:tcPr>
            <w:tcW w:w="669"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1,967.58</w:t>
            </w:r>
          </w:p>
        </w:tc>
        <w:tc>
          <w:tcPr>
            <w:tcW w:w="624"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0.52</w:t>
            </w:r>
          </w:p>
        </w:tc>
        <w:tc>
          <w:tcPr>
            <w:tcW w:w="715" w:type="pct"/>
            <w:vAlign w:val="center"/>
          </w:tcPr>
          <w:p>
            <w:pPr>
              <w:tabs>
                <w:tab w:val="left" w:pos="0"/>
              </w:tabs>
              <w:jc w:val="right"/>
              <w:rPr>
                <w:rFonts w:asciiTheme="minorEastAsia" w:hAnsiTheme="minorEastAsia"/>
                <w:kern w:val="0"/>
                <w:sz w:val="21"/>
                <w:szCs w:val="21"/>
              </w:rPr>
            </w:pPr>
            <w:r>
              <w:rPr>
                <w:rFonts w:cs="Arial" w:asciiTheme="minorEastAsia" w:hAnsiTheme="minorEastAsia"/>
                <w:color w:val="000000"/>
                <w:kern w:val="0"/>
                <w:sz w:val="21"/>
                <w:szCs w:val="21"/>
              </w:rPr>
              <w:t>1,967.58</w:t>
            </w:r>
          </w:p>
        </w:tc>
      </w:tr>
    </w:tbl>
    <w:p>
      <w:pPr>
        <w:tabs>
          <w:tab w:val="left" w:pos="567"/>
        </w:tabs>
        <w:spacing w:line="360" w:lineRule="auto"/>
        <w:ind w:left="424" w:leftChars="202"/>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总额法核算的贸易类业务客户及供应商情况：</w:t>
      </w:r>
    </w:p>
    <w:p>
      <w:pPr>
        <w:tabs>
          <w:tab w:val="left" w:pos="567"/>
        </w:tabs>
        <w:spacing w:line="360" w:lineRule="auto"/>
        <w:ind w:left="283" w:leftChars="135"/>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前五大客户情况</w:t>
      </w:r>
    </w:p>
    <w:p>
      <w:pPr>
        <w:tabs>
          <w:tab w:val="left" w:pos="567"/>
        </w:tabs>
        <w:spacing w:line="360" w:lineRule="auto"/>
        <w:ind w:left="424" w:leftChars="202"/>
        <w:jc w:val="right"/>
        <w:rPr>
          <w:rFonts w:asciiTheme="minorEastAsia" w:hAnsiTheme="minorEastAsia"/>
          <w:sz w:val="24"/>
          <w:szCs w:val="24"/>
        </w:rPr>
      </w:pPr>
      <w:r>
        <w:rPr>
          <w:rFonts w:asciiTheme="minorEastAsia" w:hAnsiTheme="minorEastAsia"/>
          <w:sz w:val="24"/>
          <w:szCs w:val="24"/>
        </w:rPr>
        <w:t>单位：元</w:t>
      </w:r>
    </w:p>
    <w:tbl>
      <w:tblPr>
        <w:tblStyle w:val="8"/>
        <w:tblW w:w="8495"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7"/>
        <w:gridCol w:w="884"/>
        <w:gridCol w:w="1418"/>
        <w:gridCol w:w="184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2967"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单位名称</w:t>
            </w:r>
          </w:p>
        </w:tc>
        <w:tc>
          <w:tcPr>
            <w:tcW w:w="884"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是否为</w:t>
            </w:r>
          </w:p>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关联方</w:t>
            </w:r>
          </w:p>
        </w:tc>
        <w:tc>
          <w:tcPr>
            <w:tcW w:w="1418"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交易内容</w:t>
            </w:r>
          </w:p>
        </w:tc>
        <w:tc>
          <w:tcPr>
            <w:tcW w:w="184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不含税金额</w:t>
            </w:r>
          </w:p>
        </w:tc>
        <w:tc>
          <w:tcPr>
            <w:tcW w:w="1383" w:type="dxa"/>
            <w:vAlign w:val="center"/>
          </w:tcPr>
          <w:p>
            <w:pPr>
              <w:widowControl/>
              <w:jc w:val="left"/>
              <w:rPr>
                <w:rFonts w:asciiTheme="minorEastAsia" w:hAnsiTheme="minorEastAsia"/>
                <w:szCs w:val="21"/>
              </w:rPr>
            </w:pPr>
            <w:r>
              <w:rPr>
                <w:rFonts w:hint="eastAsia" w:cs="Arial" w:asciiTheme="minorEastAsia" w:hAnsiTheme="minorEastAsia"/>
                <w:bCs/>
                <w:color w:val="000000"/>
                <w:szCs w:val="21"/>
              </w:rPr>
              <w:t>交易额占比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trPr>
        <w:tc>
          <w:tcPr>
            <w:tcW w:w="2967"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宁波</w:t>
            </w:r>
            <w:r>
              <w:rPr>
                <w:rFonts w:hint="eastAsia" w:cs="微软雅黑" w:asciiTheme="minorEastAsia" w:hAnsiTheme="minorEastAsia"/>
                <w:color w:val="000000"/>
                <w:kern w:val="0"/>
                <w:szCs w:val="21"/>
              </w:rPr>
              <w:t>炘炘</w:t>
            </w:r>
            <w:r>
              <w:rPr>
                <w:rFonts w:cs="仿宋_GB2312" w:asciiTheme="minorEastAsia" w:hAnsiTheme="minorEastAsia"/>
                <w:color w:val="000000"/>
                <w:kern w:val="0"/>
                <w:szCs w:val="21"/>
              </w:rPr>
              <w:t>贸易有限公司</w:t>
            </w:r>
          </w:p>
        </w:tc>
        <w:tc>
          <w:tcPr>
            <w:tcW w:w="884"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18"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PTA</w:t>
            </w:r>
          </w:p>
        </w:tc>
        <w:tc>
          <w:tcPr>
            <w:tcW w:w="1843"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163,545,488.56</w:t>
            </w:r>
          </w:p>
        </w:tc>
        <w:tc>
          <w:tcPr>
            <w:tcW w:w="1383"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67"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浙江协创贸易有限公司</w:t>
            </w:r>
          </w:p>
        </w:tc>
        <w:tc>
          <w:tcPr>
            <w:tcW w:w="884"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18"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PTA、乙二醇</w:t>
            </w:r>
          </w:p>
        </w:tc>
        <w:tc>
          <w:tcPr>
            <w:tcW w:w="1843"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133,229,359.19</w:t>
            </w:r>
          </w:p>
        </w:tc>
        <w:tc>
          <w:tcPr>
            <w:tcW w:w="1383"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trPr>
        <w:tc>
          <w:tcPr>
            <w:tcW w:w="2967"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杭州昕同国际贸易有限公司</w:t>
            </w:r>
          </w:p>
        </w:tc>
        <w:tc>
          <w:tcPr>
            <w:tcW w:w="884"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18"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PTA、乙二醇</w:t>
            </w:r>
          </w:p>
        </w:tc>
        <w:tc>
          <w:tcPr>
            <w:tcW w:w="1843"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115,912,304.22</w:t>
            </w:r>
          </w:p>
        </w:tc>
        <w:tc>
          <w:tcPr>
            <w:tcW w:w="1383"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67"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浙江杭州湾建筑集团有限公司</w:t>
            </w:r>
          </w:p>
        </w:tc>
        <w:tc>
          <w:tcPr>
            <w:tcW w:w="884"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18"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螺纹钢</w:t>
            </w:r>
          </w:p>
        </w:tc>
        <w:tc>
          <w:tcPr>
            <w:tcW w:w="1843"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46,003,780.22</w:t>
            </w:r>
          </w:p>
        </w:tc>
        <w:tc>
          <w:tcPr>
            <w:tcW w:w="1383"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67"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温州驰芯贸易有限公司</w:t>
            </w:r>
          </w:p>
        </w:tc>
        <w:tc>
          <w:tcPr>
            <w:tcW w:w="884"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18"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PTA</w:t>
            </w:r>
          </w:p>
        </w:tc>
        <w:tc>
          <w:tcPr>
            <w:tcW w:w="1843"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35,200,348.81</w:t>
            </w:r>
          </w:p>
        </w:tc>
        <w:tc>
          <w:tcPr>
            <w:tcW w:w="1383"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0.80%</w:t>
            </w:r>
          </w:p>
        </w:tc>
      </w:tr>
    </w:tbl>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）前五大供应商情况</w:t>
      </w:r>
    </w:p>
    <w:p>
      <w:pPr>
        <w:tabs>
          <w:tab w:val="left" w:pos="567"/>
        </w:tabs>
        <w:spacing w:line="360" w:lineRule="auto"/>
        <w:ind w:left="424" w:leftChars="202"/>
        <w:jc w:val="right"/>
        <w:rPr>
          <w:rFonts w:asciiTheme="minorEastAsia" w:hAnsiTheme="minorEastAsia"/>
          <w:sz w:val="24"/>
          <w:szCs w:val="24"/>
        </w:rPr>
      </w:pPr>
      <w:r>
        <w:rPr>
          <w:rFonts w:asciiTheme="minorEastAsia" w:hAnsiTheme="minorEastAsia"/>
          <w:sz w:val="24"/>
          <w:szCs w:val="24"/>
        </w:rPr>
        <w:t>单位：元</w:t>
      </w:r>
    </w:p>
    <w:tbl>
      <w:tblPr>
        <w:tblStyle w:val="8"/>
        <w:tblW w:w="852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1"/>
        <w:gridCol w:w="885"/>
        <w:gridCol w:w="1433"/>
        <w:gridCol w:w="1843"/>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exact"/>
        </w:trPr>
        <w:tc>
          <w:tcPr>
            <w:tcW w:w="2951"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单位名称</w:t>
            </w:r>
          </w:p>
        </w:tc>
        <w:tc>
          <w:tcPr>
            <w:tcW w:w="88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是否为</w:t>
            </w:r>
          </w:p>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关联方</w:t>
            </w:r>
          </w:p>
        </w:tc>
        <w:tc>
          <w:tcPr>
            <w:tcW w:w="143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交易内容</w:t>
            </w:r>
          </w:p>
        </w:tc>
        <w:tc>
          <w:tcPr>
            <w:tcW w:w="184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不含税金额</w:t>
            </w:r>
          </w:p>
        </w:tc>
        <w:tc>
          <w:tcPr>
            <w:tcW w:w="1417" w:type="dxa"/>
            <w:vAlign w:val="center"/>
          </w:tcPr>
          <w:p>
            <w:pPr>
              <w:widowControl/>
              <w:jc w:val="left"/>
              <w:rPr>
                <w:rFonts w:asciiTheme="minorEastAsia" w:hAnsiTheme="minorEastAsia"/>
                <w:szCs w:val="21"/>
              </w:rPr>
            </w:pPr>
            <w:r>
              <w:rPr>
                <w:rFonts w:hint="eastAsia" w:cs="Arial" w:asciiTheme="minorEastAsia" w:hAnsiTheme="minorEastAsia"/>
                <w:bCs/>
                <w:color w:val="000000"/>
                <w:szCs w:val="21"/>
              </w:rPr>
              <w:t>交易额占比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51"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青岛南普诚商贸有限公司</w:t>
            </w:r>
          </w:p>
        </w:tc>
        <w:tc>
          <w:tcPr>
            <w:tcW w:w="88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3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PTA</w:t>
            </w:r>
          </w:p>
        </w:tc>
        <w:tc>
          <w:tcPr>
            <w:tcW w:w="1843" w:type="dxa"/>
            <w:shd w:val="clear" w:color="auto" w:fill="auto"/>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304,684,646.22</w:t>
            </w:r>
          </w:p>
        </w:tc>
        <w:tc>
          <w:tcPr>
            <w:tcW w:w="1417"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51"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江苏紫港贸易有限公司</w:t>
            </w:r>
          </w:p>
        </w:tc>
        <w:tc>
          <w:tcPr>
            <w:tcW w:w="88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3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乙二醇</w:t>
            </w:r>
          </w:p>
        </w:tc>
        <w:tc>
          <w:tcPr>
            <w:tcW w:w="1843" w:type="dxa"/>
            <w:shd w:val="clear" w:color="auto" w:fill="auto"/>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106,136,283.21</w:t>
            </w:r>
          </w:p>
        </w:tc>
        <w:tc>
          <w:tcPr>
            <w:tcW w:w="1417"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51"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杭州惠迪贸易有限公司</w:t>
            </w:r>
          </w:p>
        </w:tc>
        <w:tc>
          <w:tcPr>
            <w:tcW w:w="88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3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螺纹钢</w:t>
            </w:r>
          </w:p>
        </w:tc>
        <w:tc>
          <w:tcPr>
            <w:tcW w:w="1843" w:type="dxa"/>
            <w:shd w:val="clear" w:color="auto" w:fill="auto"/>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48,950,198.74</w:t>
            </w:r>
          </w:p>
        </w:tc>
        <w:tc>
          <w:tcPr>
            <w:tcW w:w="1417"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51"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厦门市信德辉贸易有限公司</w:t>
            </w:r>
          </w:p>
        </w:tc>
        <w:tc>
          <w:tcPr>
            <w:tcW w:w="88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3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PTA</w:t>
            </w:r>
          </w:p>
        </w:tc>
        <w:tc>
          <w:tcPr>
            <w:tcW w:w="1843" w:type="dxa"/>
            <w:shd w:val="clear" w:color="auto" w:fill="auto"/>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34,883,787.72</w:t>
            </w:r>
          </w:p>
        </w:tc>
        <w:tc>
          <w:tcPr>
            <w:tcW w:w="1417"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51"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广州易融新材料有限公司</w:t>
            </w:r>
          </w:p>
        </w:tc>
        <w:tc>
          <w:tcPr>
            <w:tcW w:w="88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3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锌锭</w:t>
            </w:r>
          </w:p>
        </w:tc>
        <w:tc>
          <w:tcPr>
            <w:tcW w:w="1843" w:type="dxa"/>
            <w:shd w:val="clear" w:color="auto" w:fill="auto"/>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11,082,663.46</w:t>
            </w:r>
          </w:p>
        </w:tc>
        <w:tc>
          <w:tcPr>
            <w:tcW w:w="1417"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0.25%</w:t>
            </w:r>
          </w:p>
        </w:tc>
      </w:tr>
    </w:tbl>
    <w:p>
      <w:pPr>
        <w:tabs>
          <w:tab w:val="left" w:pos="567"/>
        </w:tabs>
        <w:spacing w:line="360" w:lineRule="auto"/>
        <w:ind w:left="424" w:leftChars="202"/>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净额法核算的贸易类业务客户及供应商情况</w:t>
      </w:r>
    </w:p>
    <w:p>
      <w:pPr>
        <w:tabs>
          <w:tab w:val="left" w:pos="567"/>
        </w:tabs>
        <w:spacing w:line="360" w:lineRule="auto"/>
        <w:ind w:firstLine="424" w:firstLineChars="177"/>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前五大客户情况</w:t>
      </w:r>
    </w:p>
    <w:p>
      <w:pPr>
        <w:tabs>
          <w:tab w:val="left" w:pos="567"/>
        </w:tabs>
        <w:spacing w:line="360" w:lineRule="auto"/>
        <w:ind w:left="424" w:leftChars="202"/>
        <w:jc w:val="right"/>
        <w:rPr>
          <w:rFonts w:asciiTheme="minorEastAsia" w:hAnsiTheme="minorEastAsia"/>
          <w:sz w:val="24"/>
          <w:szCs w:val="24"/>
        </w:rPr>
      </w:pPr>
      <w:r>
        <w:rPr>
          <w:rFonts w:asciiTheme="minorEastAsia" w:hAnsiTheme="minorEastAsia"/>
          <w:sz w:val="24"/>
          <w:szCs w:val="24"/>
        </w:rPr>
        <w:t>单位：元</w:t>
      </w:r>
    </w:p>
    <w:tbl>
      <w:tblPr>
        <w:tblStyle w:val="8"/>
        <w:tblW w:w="852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900"/>
        <w:gridCol w:w="1470"/>
        <w:gridCol w:w="1815"/>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trPr>
        <w:tc>
          <w:tcPr>
            <w:tcW w:w="2936"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单位名称</w:t>
            </w:r>
          </w:p>
        </w:tc>
        <w:tc>
          <w:tcPr>
            <w:tcW w:w="90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是否为</w:t>
            </w:r>
          </w:p>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关联方</w:t>
            </w:r>
          </w:p>
        </w:tc>
        <w:tc>
          <w:tcPr>
            <w:tcW w:w="147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交易内容</w:t>
            </w:r>
          </w:p>
        </w:tc>
        <w:tc>
          <w:tcPr>
            <w:tcW w:w="1815"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不含税金额</w:t>
            </w:r>
          </w:p>
        </w:tc>
        <w:tc>
          <w:tcPr>
            <w:tcW w:w="1408" w:type="dxa"/>
            <w:vAlign w:val="center"/>
          </w:tcPr>
          <w:p>
            <w:pPr>
              <w:widowControl/>
              <w:jc w:val="left"/>
              <w:rPr>
                <w:rFonts w:asciiTheme="minorEastAsia" w:hAnsiTheme="minorEastAsia"/>
                <w:szCs w:val="21"/>
              </w:rPr>
            </w:pPr>
            <w:r>
              <w:rPr>
                <w:rFonts w:hint="eastAsia" w:cs="Arial" w:asciiTheme="minorEastAsia" w:hAnsiTheme="minorEastAsia"/>
                <w:bCs/>
                <w:color w:val="000000"/>
                <w:szCs w:val="21"/>
              </w:rPr>
              <w:t>交易额占比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36" w:type="dxa"/>
            <w:shd w:val="clear" w:color="auto" w:fill="auto"/>
            <w:noWrap/>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浙江九玺实业有限公司</w:t>
            </w:r>
          </w:p>
        </w:tc>
        <w:tc>
          <w:tcPr>
            <w:tcW w:w="900"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7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锌锭、乙二醇</w:t>
            </w:r>
          </w:p>
        </w:tc>
        <w:tc>
          <w:tcPr>
            <w:tcW w:w="1815"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1,594,702,654.83</w:t>
            </w:r>
          </w:p>
        </w:tc>
        <w:tc>
          <w:tcPr>
            <w:tcW w:w="1408"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36.40%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36" w:type="dxa"/>
            <w:shd w:val="clear" w:color="auto" w:fill="auto"/>
            <w:noWrap/>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浙江优诺德贸易有限公司</w:t>
            </w:r>
          </w:p>
        </w:tc>
        <w:tc>
          <w:tcPr>
            <w:tcW w:w="900"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7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电解铜</w:t>
            </w:r>
          </w:p>
        </w:tc>
        <w:tc>
          <w:tcPr>
            <w:tcW w:w="1815"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946,847,066.13</w:t>
            </w:r>
          </w:p>
        </w:tc>
        <w:tc>
          <w:tcPr>
            <w:tcW w:w="1408"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21.61%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2936" w:type="dxa"/>
            <w:shd w:val="clear" w:color="auto" w:fill="auto"/>
            <w:noWrap/>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杭州昕同国际贸易有限公司</w:t>
            </w:r>
          </w:p>
        </w:tc>
        <w:tc>
          <w:tcPr>
            <w:tcW w:w="900"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7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PTA、电解铜、乙二醇</w:t>
            </w:r>
          </w:p>
        </w:tc>
        <w:tc>
          <w:tcPr>
            <w:tcW w:w="1815"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654,752,978.90</w:t>
            </w:r>
          </w:p>
        </w:tc>
        <w:tc>
          <w:tcPr>
            <w:tcW w:w="1408"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14.94%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36" w:type="dxa"/>
            <w:shd w:val="clear" w:color="auto" w:fill="auto"/>
            <w:noWrap/>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江苏胤海贸易有限公司</w:t>
            </w:r>
          </w:p>
        </w:tc>
        <w:tc>
          <w:tcPr>
            <w:tcW w:w="900"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7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PTA、乙二醇</w:t>
            </w:r>
          </w:p>
        </w:tc>
        <w:tc>
          <w:tcPr>
            <w:tcW w:w="1815"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279,648,231.09</w:t>
            </w:r>
          </w:p>
        </w:tc>
        <w:tc>
          <w:tcPr>
            <w:tcW w:w="1408"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6.38%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2936" w:type="dxa"/>
            <w:shd w:val="clear" w:color="auto" w:fill="auto"/>
            <w:noWrap/>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浙江协创贸易有限公司</w:t>
            </w:r>
          </w:p>
        </w:tc>
        <w:tc>
          <w:tcPr>
            <w:tcW w:w="900"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47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PTA</w:t>
            </w:r>
          </w:p>
        </w:tc>
        <w:tc>
          <w:tcPr>
            <w:tcW w:w="1815"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166,522,449.85</w:t>
            </w:r>
          </w:p>
        </w:tc>
        <w:tc>
          <w:tcPr>
            <w:tcW w:w="1408" w:type="dxa"/>
            <w:vAlign w:val="center"/>
          </w:tcPr>
          <w:p>
            <w:pPr>
              <w:widowControl/>
              <w:jc w:val="left"/>
              <w:rPr>
                <w:rFonts w:asciiTheme="minorEastAsia" w:hAnsiTheme="minorEastAsia"/>
                <w:szCs w:val="21"/>
              </w:rPr>
            </w:pPr>
            <w:r>
              <w:rPr>
                <w:rFonts w:hint="eastAsia" w:cs="Arial" w:asciiTheme="minorEastAsia" w:hAnsiTheme="minorEastAsia"/>
                <w:color w:val="000000"/>
                <w:szCs w:val="21"/>
              </w:rPr>
              <w:t>3.80%</w:t>
            </w:r>
          </w:p>
        </w:tc>
      </w:tr>
    </w:tbl>
    <w:p>
      <w:pPr>
        <w:tabs>
          <w:tab w:val="left" w:pos="567"/>
        </w:tabs>
        <w:spacing w:line="360" w:lineRule="auto"/>
        <w:ind w:left="567" w:leftChars="27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前五大供应商情况</w:t>
      </w:r>
    </w:p>
    <w:p>
      <w:pPr>
        <w:tabs>
          <w:tab w:val="left" w:pos="567"/>
        </w:tabs>
        <w:spacing w:line="360" w:lineRule="auto"/>
        <w:ind w:left="567" w:leftChars="270"/>
        <w:jc w:val="right"/>
        <w:rPr>
          <w:rFonts w:asciiTheme="minorEastAsia" w:hAnsiTheme="minorEastAsia"/>
          <w:sz w:val="24"/>
          <w:szCs w:val="24"/>
        </w:rPr>
      </w:pPr>
      <w:r>
        <w:rPr>
          <w:rFonts w:hint="eastAsia" w:asciiTheme="minorEastAsia" w:hAnsiTheme="minorEastAsia"/>
          <w:sz w:val="24"/>
          <w:szCs w:val="24"/>
        </w:rPr>
        <w:t>单位：元</w:t>
      </w:r>
    </w:p>
    <w:tbl>
      <w:tblPr>
        <w:tblStyle w:val="8"/>
        <w:tblW w:w="8529"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1"/>
        <w:gridCol w:w="1005"/>
        <w:gridCol w:w="1305"/>
        <w:gridCol w:w="1950"/>
        <w:gridCol w:w="1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trPr>
        <w:tc>
          <w:tcPr>
            <w:tcW w:w="3011"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单位名称</w:t>
            </w:r>
          </w:p>
        </w:tc>
        <w:tc>
          <w:tcPr>
            <w:tcW w:w="1005"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是否为</w:t>
            </w:r>
          </w:p>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关联方</w:t>
            </w:r>
          </w:p>
        </w:tc>
        <w:tc>
          <w:tcPr>
            <w:tcW w:w="1305"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交易内容</w:t>
            </w:r>
          </w:p>
        </w:tc>
        <w:tc>
          <w:tcPr>
            <w:tcW w:w="195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不含税金额</w:t>
            </w:r>
          </w:p>
        </w:tc>
        <w:tc>
          <w:tcPr>
            <w:tcW w:w="1258" w:type="dxa"/>
            <w:vAlign w:val="center"/>
          </w:tcPr>
          <w:p>
            <w:pPr>
              <w:widowControl/>
              <w:jc w:val="left"/>
              <w:rPr>
                <w:rFonts w:asciiTheme="minorEastAsia" w:hAnsiTheme="minorEastAsia"/>
                <w:szCs w:val="21"/>
              </w:rPr>
            </w:pPr>
            <w:r>
              <w:rPr>
                <w:rFonts w:hint="eastAsia" w:cs="Arial" w:asciiTheme="minorEastAsia" w:hAnsiTheme="minorEastAsia"/>
                <w:bCs/>
                <w:color w:val="000000"/>
                <w:szCs w:val="21"/>
              </w:rPr>
              <w:t>交易额占比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3011" w:type="dxa"/>
            <w:shd w:val="clear" w:color="auto" w:fill="auto"/>
            <w:noWrap/>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青岛岚泉实业有限公司</w:t>
            </w:r>
          </w:p>
        </w:tc>
        <w:tc>
          <w:tcPr>
            <w:tcW w:w="100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30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乙二醇、电解铜、锌锭</w:t>
            </w:r>
          </w:p>
        </w:tc>
        <w:tc>
          <w:tcPr>
            <w:tcW w:w="1950"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1,587,292,619.30</w:t>
            </w:r>
          </w:p>
        </w:tc>
        <w:tc>
          <w:tcPr>
            <w:tcW w:w="1258" w:type="dxa"/>
            <w:vAlign w:val="center"/>
          </w:tcPr>
          <w:p>
            <w:pPr>
              <w:widowControl/>
              <w:jc w:val="left"/>
              <w:rPr>
                <w:rFonts w:asciiTheme="minorEastAsia" w:hAnsiTheme="minorEastAsia"/>
                <w:sz w:val="21"/>
                <w:szCs w:val="21"/>
              </w:rPr>
            </w:pPr>
            <w:r>
              <w:rPr>
                <w:rFonts w:hint="eastAsia" w:cs="Arial" w:asciiTheme="minorEastAsia" w:hAnsiTheme="minorEastAsia"/>
                <w:color w:val="000000"/>
                <w:sz w:val="21"/>
                <w:szCs w:val="21"/>
              </w:rPr>
              <w:t>36.44%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3011" w:type="dxa"/>
            <w:shd w:val="clear" w:color="auto" w:fill="auto"/>
            <w:noWrap/>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青岛南普诚商贸有限公司</w:t>
            </w:r>
          </w:p>
        </w:tc>
        <w:tc>
          <w:tcPr>
            <w:tcW w:w="100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30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PTA、电解铜、锌锭</w:t>
            </w:r>
          </w:p>
        </w:tc>
        <w:tc>
          <w:tcPr>
            <w:tcW w:w="1950"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1,239,548,360.17</w:t>
            </w:r>
          </w:p>
        </w:tc>
        <w:tc>
          <w:tcPr>
            <w:tcW w:w="1258" w:type="dxa"/>
            <w:vAlign w:val="center"/>
          </w:tcPr>
          <w:p>
            <w:pPr>
              <w:widowControl/>
              <w:jc w:val="left"/>
              <w:rPr>
                <w:rFonts w:asciiTheme="minorEastAsia" w:hAnsiTheme="minorEastAsia"/>
                <w:sz w:val="21"/>
                <w:szCs w:val="21"/>
              </w:rPr>
            </w:pPr>
            <w:r>
              <w:rPr>
                <w:rFonts w:hint="eastAsia" w:cs="Arial" w:asciiTheme="minorEastAsia" w:hAnsiTheme="minorEastAsia"/>
                <w:color w:val="000000"/>
                <w:sz w:val="21"/>
                <w:szCs w:val="21"/>
              </w:rPr>
              <w:t>28.46%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11" w:type="dxa"/>
            <w:shd w:val="clear" w:color="auto" w:fill="auto"/>
            <w:noWrap/>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江苏紫港贸易有限公司</w:t>
            </w:r>
          </w:p>
        </w:tc>
        <w:tc>
          <w:tcPr>
            <w:tcW w:w="100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30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PTA、乙二醇</w:t>
            </w:r>
          </w:p>
        </w:tc>
        <w:tc>
          <w:tcPr>
            <w:tcW w:w="1950"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553,446,327.58</w:t>
            </w:r>
          </w:p>
        </w:tc>
        <w:tc>
          <w:tcPr>
            <w:tcW w:w="1258" w:type="dxa"/>
            <w:vAlign w:val="center"/>
          </w:tcPr>
          <w:p>
            <w:pPr>
              <w:widowControl/>
              <w:jc w:val="left"/>
              <w:rPr>
                <w:rFonts w:asciiTheme="minorEastAsia" w:hAnsiTheme="minorEastAsia"/>
                <w:sz w:val="21"/>
                <w:szCs w:val="21"/>
              </w:rPr>
            </w:pPr>
            <w:r>
              <w:rPr>
                <w:rFonts w:hint="eastAsia" w:cs="Arial" w:asciiTheme="minorEastAsia" w:hAnsiTheme="minorEastAsia"/>
                <w:color w:val="000000"/>
                <w:sz w:val="21"/>
                <w:szCs w:val="21"/>
              </w:rPr>
              <w:t>12.71%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11" w:type="dxa"/>
            <w:shd w:val="clear" w:color="auto" w:fill="auto"/>
            <w:noWrap/>
            <w:vAlign w:val="center"/>
          </w:tcPr>
          <w:p>
            <w:pPr>
              <w:widowControl/>
              <w:tabs>
                <w:tab w:val="left" w:pos="567"/>
              </w:tabs>
              <w:jc w:val="left"/>
              <w:rPr>
                <w:rFonts w:cs="Arial" w:asciiTheme="minorEastAsia" w:hAnsiTheme="minorEastAsia"/>
                <w:color w:val="000000"/>
                <w:kern w:val="0"/>
                <w:szCs w:val="21"/>
              </w:rPr>
            </w:pPr>
            <w:r>
              <w:rPr>
                <w:rFonts w:cs="Arial" w:asciiTheme="minorEastAsia" w:hAnsiTheme="minorEastAsia"/>
                <w:color w:val="000000"/>
                <w:kern w:val="0"/>
                <w:szCs w:val="21"/>
              </w:rPr>
              <w:t>福建伍郡供应链管理有限公司</w:t>
            </w:r>
          </w:p>
        </w:tc>
        <w:tc>
          <w:tcPr>
            <w:tcW w:w="100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305"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电解铜</w:t>
            </w:r>
          </w:p>
        </w:tc>
        <w:tc>
          <w:tcPr>
            <w:tcW w:w="1950"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328,699,567.00</w:t>
            </w:r>
          </w:p>
        </w:tc>
        <w:tc>
          <w:tcPr>
            <w:tcW w:w="1258" w:type="dxa"/>
            <w:vAlign w:val="center"/>
          </w:tcPr>
          <w:p>
            <w:pPr>
              <w:widowControl/>
              <w:jc w:val="left"/>
              <w:rPr>
                <w:rFonts w:asciiTheme="minorEastAsia" w:hAnsiTheme="minorEastAsia"/>
                <w:sz w:val="21"/>
                <w:szCs w:val="21"/>
              </w:rPr>
            </w:pPr>
            <w:r>
              <w:rPr>
                <w:rFonts w:hint="eastAsia" w:cs="Arial" w:asciiTheme="minorEastAsia" w:hAnsiTheme="minorEastAsia"/>
                <w:color w:val="000000"/>
                <w:sz w:val="21"/>
                <w:szCs w:val="21"/>
              </w:rPr>
              <w:t>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3011" w:type="dxa"/>
            <w:shd w:val="clear" w:color="auto" w:fill="auto"/>
            <w:noWrap/>
            <w:vAlign w:val="center"/>
          </w:tcPr>
          <w:p>
            <w:pPr>
              <w:widowControl/>
              <w:tabs>
                <w:tab w:val="left" w:pos="567"/>
              </w:tabs>
              <w:rPr>
                <w:rFonts w:cs="Arial" w:asciiTheme="minorEastAsia" w:hAnsiTheme="minorEastAsia"/>
                <w:color w:val="000000"/>
                <w:kern w:val="0"/>
                <w:szCs w:val="21"/>
              </w:rPr>
            </w:pPr>
            <w:r>
              <w:rPr>
                <w:rFonts w:cs="Arial" w:asciiTheme="minorEastAsia" w:hAnsiTheme="minorEastAsia"/>
                <w:color w:val="000000"/>
                <w:kern w:val="0"/>
                <w:szCs w:val="21"/>
              </w:rPr>
              <w:t>济源晟禾金属材料有限公司</w:t>
            </w:r>
          </w:p>
        </w:tc>
        <w:tc>
          <w:tcPr>
            <w:tcW w:w="1005"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否</w:t>
            </w:r>
          </w:p>
        </w:tc>
        <w:tc>
          <w:tcPr>
            <w:tcW w:w="1305"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锌锭</w:t>
            </w:r>
          </w:p>
        </w:tc>
        <w:tc>
          <w:tcPr>
            <w:tcW w:w="1950" w:type="dxa"/>
            <w:shd w:val="clear" w:color="auto" w:fill="auto"/>
            <w:noWrap/>
            <w:vAlign w:val="center"/>
          </w:tcPr>
          <w:p>
            <w:pPr>
              <w:widowControl/>
              <w:tabs>
                <w:tab w:val="left" w:pos="567"/>
              </w:tabs>
              <w:jc w:val="right"/>
              <w:rPr>
                <w:rFonts w:cs="Arial" w:asciiTheme="minorEastAsia" w:hAnsiTheme="minorEastAsia"/>
                <w:color w:val="000000"/>
                <w:kern w:val="0"/>
                <w:szCs w:val="21"/>
              </w:rPr>
            </w:pPr>
            <w:r>
              <w:rPr>
                <w:rFonts w:cs="Arial" w:asciiTheme="minorEastAsia" w:hAnsiTheme="minorEastAsia"/>
                <w:color w:val="000000"/>
                <w:kern w:val="0"/>
                <w:szCs w:val="21"/>
              </w:rPr>
              <w:t>43,268,574.55</w:t>
            </w:r>
          </w:p>
        </w:tc>
        <w:tc>
          <w:tcPr>
            <w:tcW w:w="1258" w:type="dxa"/>
            <w:vAlign w:val="center"/>
          </w:tcPr>
          <w:p>
            <w:pPr>
              <w:widowControl/>
              <w:jc w:val="left"/>
              <w:rPr>
                <w:rFonts w:asciiTheme="minorEastAsia" w:hAnsiTheme="minorEastAsia"/>
                <w:sz w:val="21"/>
                <w:szCs w:val="21"/>
              </w:rPr>
            </w:pPr>
            <w:r>
              <w:rPr>
                <w:rFonts w:hint="eastAsia" w:cs="Arial" w:asciiTheme="minorEastAsia" w:hAnsiTheme="minorEastAsia"/>
                <w:color w:val="000000"/>
                <w:sz w:val="21"/>
                <w:szCs w:val="21"/>
              </w:rPr>
              <w:t>0.99%</w:t>
            </w:r>
          </w:p>
        </w:tc>
      </w:tr>
    </w:tbl>
    <w:p>
      <w:pPr>
        <w:tabs>
          <w:tab w:val="left" w:pos="567"/>
        </w:tabs>
        <w:spacing w:line="360" w:lineRule="auto"/>
        <w:ind w:left="424" w:leftChars="202" w:firstLine="480" w:firstLineChars="200"/>
        <w:rPr>
          <w:rFonts w:asciiTheme="minorEastAsia" w:hAnsiTheme="minorEastAsia"/>
          <w:sz w:val="24"/>
          <w:szCs w:val="24"/>
        </w:rPr>
      </w:pPr>
      <w:r>
        <w:rPr>
          <w:rFonts w:hint="eastAsia" w:asciiTheme="minorEastAsia" w:hAnsiTheme="minorEastAsia"/>
          <w:sz w:val="24"/>
          <w:szCs w:val="24"/>
        </w:rPr>
        <w:t>上述前五大客户和供应商之间不存在关联关系或业务往来关系。</w:t>
      </w:r>
    </w:p>
    <w:p>
      <w:pPr>
        <w:tabs>
          <w:tab w:val="left" w:pos="567"/>
        </w:tabs>
        <w:spacing w:line="360" w:lineRule="auto"/>
        <w:ind w:left="424" w:leftChars="202" w:firstLine="480" w:firstLineChars="200"/>
        <w:rPr>
          <w:rFonts w:asciiTheme="minorEastAsia" w:hAnsiTheme="minorEastAsia"/>
          <w:sz w:val="24"/>
          <w:szCs w:val="24"/>
        </w:rPr>
      </w:pPr>
      <w:r>
        <w:rPr>
          <w:rFonts w:hint="eastAsia" w:asciiTheme="minorEastAsia" w:hAnsiTheme="minorEastAsia"/>
          <w:sz w:val="24"/>
          <w:szCs w:val="24"/>
        </w:rPr>
        <w:t>公司贸易客户和供应商不存在重合情形，</w:t>
      </w:r>
      <w:r>
        <w:rPr>
          <w:rFonts w:asciiTheme="minorEastAsia" w:hAnsiTheme="minorEastAsia"/>
          <w:sz w:val="24"/>
          <w:szCs w:val="24"/>
        </w:rPr>
        <w:t>供应商是</w:t>
      </w:r>
      <w:r>
        <w:rPr>
          <w:rFonts w:hint="eastAsia" w:asciiTheme="minorEastAsia" w:hAnsiTheme="minorEastAsia"/>
          <w:sz w:val="24"/>
          <w:szCs w:val="24"/>
        </w:rPr>
        <w:t>由</w:t>
      </w:r>
      <w:r>
        <w:rPr>
          <w:rFonts w:asciiTheme="minorEastAsia" w:hAnsiTheme="minorEastAsia"/>
          <w:sz w:val="24"/>
          <w:szCs w:val="24"/>
        </w:rPr>
        <w:t>公司独立选</w:t>
      </w:r>
      <w:r>
        <w:rPr>
          <w:rFonts w:hint="eastAsia" w:asciiTheme="minorEastAsia" w:hAnsiTheme="minorEastAsia"/>
          <w:sz w:val="24"/>
          <w:szCs w:val="24"/>
        </w:rPr>
        <w:t>取</w:t>
      </w:r>
      <w:r>
        <w:rPr>
          <w:rFonts w:asciiTheme="minorEastAsia" w:hAnsiTheme="minorEastAsia"/>
          <w:sz w:val="24"/>
          <w:szCs w:val="24"/>
        </w:rPr>
        <w:t>的</w:t>
      </w:r>
      <w:r>
        <w:rPr>
          <w:rFonts w:hint="eastAsia" w:asciiTheme="minorEastAsia" w:hAnsiTheme="minorEastAsia"/>
          <w:sz w:val="24"/>
          <w:szCs w:val="24"/>
        </w:rPr>
        <w:t>。</w:t>
      </w:r>
    </w:p>
    <w:p>
      <w:pPr>
        <w:tabs>
          <w:tab w:val="left" w:pos="567"/>
        </w:tabs>
        <w:spacing w:line="360" w:lineRule="auto"/>
        <w:ind w:left="424" w:leftChars="202" w:firstLine="480" w:firstLineChars="200"/>
        <w:rPr>
          <w:rFonts w:asciiTheme="minorEastAsia" w:hAnsiTheme="minorEastAsia"/>
          <w:sz w:val="24"/>
          <w:szCs w:val="24"/>
        </w:rPr>
      </w:pP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（三）</w:t>
      </w:r>
      <w:r>
        <w:rPr>
          <w:rFonts w:asciiTheme="minorEastAsia" w:hAnsiTheme="minorEastAsia"/>
          <w:b/>
          <w:sz w:val="24"/>
          <w:szCs w:val="24"/>
        </w:rPr>
        <w:t>贸易业务应收和预付款项前五名对象、交易内容、是否为当年新增客户、金额及同比变化、账龄分布情况，并结合期后回款情况，说明是否存在回收风险</w:t>
      </w:r>
    </w:p>
    <w:p>
      <w:pPr>
        <w:tabs>
          <w:tab w:val="left" w:pos="567"/>
        </w:tabs>
        <w:spacing w:line="360" w:lineRule="auto"/>
        <w:ind w:left="424" w:leftChars="202"/>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应收前五</w:t>
      </w:r>
      <w:r>
        <w:rPr>
          <w:rFonts w:hint="eastAsia" w:asciiTheme="minorEastAsia" w:hAnsiTheme="minorEastAsia"/>
          <w:sz w:val="24"/>
          <w:szCs w:val="24"/>
        </w:rPr>
        <w:t>具体情况如下</w:t>
      </w:r>
      <w:r>
        <w:rPr>
          <w:rFonts w:asciiTheme="minorEastAsia" w:hAnsiTheme="minorEastAsia"/>
          <w:sz w:val="24"/>
          <w:szCs w:val="24"/>
        </w:rPr>
        <w:t>：</w:t>
      </w:r>
    </w:p>
    <w:p>
      <w:pPr>
        <w:tabs>
          <w:tab w:val="left" w:pos="567"/>
        </w:tabs>
        <w:spacing w:line="360" w:lineRule="auto"/>
        <w:ind w:left="424" w:leftChars="202"/>
        <w:jc w:val="right"/>
        <w:rPr>
          <w:rFonts w:asciiTheme="minorEastAsia" w:hAnsiTheme="minorEastAsia"/>
          <w:sz w:val="24"/>
          <w:szCs w:val="24"/>
        </w:rPr>
      </w:pPr>
      <w:r>
        <w:rPr>
          <w:rFonts w:asciiTheme="minorEastAsia" w:hAnsiTheme="minorEastAsia"/>
          <w:sz w:val="24"/>
          <w:szCs w:val="24"/>
        </w:rPr>
        <w:t>单位：万元</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5"/>
        <w:gridCol w:w="1161"/>
        <w:gridCol w:w="1161"/>
        <w:gridCol w:w="756"/>
        <w:gridCol w:w="1161"/>
        <w:gridCol w:w="1056"/>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pPr>
              <w:tabs>
                <w:tab w:val="left" w:pos="567"/>
              </w:tabs>
              <w:jc w:val="center"/>
              <w:rPr>
                <w:rFonts w:asciiTheme="minorEastAsia" w:hAnsiTheme="minorEastAsia"/>
                <w:kern w:val="0"/>
                <w:sz w:val="21"/>
                <w:szCs w:val="21"/>
              </w:rPr>
            </w:pPr>
            <w:r>
              <w:rPr>
                <w:rFonts w:asciiTheme="minorEastAsia" w:hAnsiTheme="minorEastAsia"/>
                <w:kern w:val="0"/>
                <w:sz w:val="21"/>
                <w:szCs w:val="21"/>
              </w:rPr>
              <w:t>单位名称</w:t>
            </w:r>
          </w:p>
        </w:tc>
        <w:tc>
          <w:tcPr>
            <w:tcW w:w="612" w:type="pct"/>
            <w:vAlign w:val="center"/>
          </w:tcPr>
          <w:p>
            <w:pPr>
              <w:tabs>
                <w:tab w:val="left" w:pos="567"/>
              </w:tabs>
              <w:jc w:val="center"/>
              <w:rPr>
                <w:rFonts w:asciiTheme="minorEastAsia" w:hAnsiTheme="minorEastAsia"/>
                <w:kern w:val="0"/>
                <w:sz w:val="21"/>
                <w:szCs w:val="21"/>
              </w:rPr>
            </w:pPr>
            <w:r>
              <w:rPr>
                <w:rFonts w:asciiTheme="minorEastAsia" w:hAnsiTheme="minorEastAsia"/>
                <w:kern w:val="0"/>
                <w:sz w:val="21"/>
                <w:szCs w:val="21"/>
              </w:rPr>
              <w:t>期初余额</w:t>
            </w:r>
          </w:p>
        </w:tc>
        <w:tc>
          <w:tcPr>
            <w:tcW w:w="613" w:type="pct"/>
            <w:vAlign w:val="center"/>
          </w:tcPr>
          <w:p>
            <w:pPr>
              <w:tabs>
                <w:tab w:val="left" w:pos="567"/>
              </w:tabs>
              <w:jc w:val="center"/>
              <w:rPr>
                <w:rFonts w:asciiTheme="minorEastAsia" w:hAnsiTheme="minorEastAsia"/>
                <w:kern w:val="0"/>
                <w:sz w:val="21"/>
                <w:szCs w:val="21"/>
              </w:rPr>
            </w:pPr>
            <w:r>
              <w:rPr>
                <w:rFonts w:asciiTheme="minorEastAsia" w:hAnsiTheme="minorEastAsia"/>
                <w:kern w:val="0"/>
                <w:sz w:val="21"/>
                <w:szCs w:val="21"/>
              </w:rPr>
              <w:t>期末余额</w:t>
            </w:r>
          </w:p>
        </w:tc>
        <w:tc>
          <w:tcPr>
            <w:tcW w:w="525" w:type="pct"/>
            <w:vAlign w:val="center"/>
          </w:tcPr>
          <w:p>
            <w:pPr>
              <w:tabs>
                <w:tab w:val="left" w:pos="567"/>
              </w:tabs>
              <w:jc w:val="center"/>
              <w:rPr>
                <w:rFonts w:asciiTheme="minorEastAsia" w:hAnsiTheme="minorEastAsia"/>
                <w:kern w:val="0"/>
                <w:sz w:val="21"/>
                <w:szCs w:val="21"/>
              </w:rPr>
            </w:pPr>
            <w:r>
              <w:rPr>
                <w:rFonts w:asciiTheme="minorEastAsia" w:hAnsiTheme="minorEastAsia"/>
                <w:kern w:val="0"/>
                <w:sz w:val="21"/>
                <w:szCs w:val="21"/>
              </w:rPr>
              <w:t>交易</w:t>
            </w:r>
          </w:p>
          <w:p>
            <w:pPr>
              <w:tabs>
                <w:tab w:val="left" w:pos="567"/>
              </w:tabs>
              <w:jc w:val="center"/>
              <w:rPr>
                <w:rFonts w:asciiTheme="minorEastAsia" w:hAnsiTheme="minorEastAsia"/>
                <w:kern w:val="0"/>
                <w:sz w:val="21"/>
                <w:szCs w:val="21"/>
              </w:rPr>
            </w:pPr>
            <w:r>
              <w:rPr>
                <w:rFonts w:asciiTheme="minorEastAsia" w:hAnsiTheme="minorEastAsia"/>
                <w:kern w:val="0"/>
                <w:sz w:val="21"/>
                <w:szCs w:val="21"/>
              </w:rPr>
              <w:t>内容</w:t>
            </w:r>
          </w:p>
        </w:tc>
        <w:tc>
          <w:tcPr>
            <w:tcW w:w="700" w:type="pct"/>
            <w:vAlign w:val="center"/>
          </w:tcPr>
          <w:p>
            <w:pPr>
              <w:tabs>
                <w:tab w:val="left" w:pos="567"/>
              </w:tabs>
              <w:jc w:val="center"/>
              <w:rPr>
                <w:rFonts w:asciiTheme="minorEastAsia" w:hAnsiTheme="minorEastAsia"/>
                <w:kern w:val="0"/>
                <w:sz w:val="21"/>
                <w:szCs w:val="21"/>
              </w:rPr>
            </w:pPr>
            <w:r>
              <w:rPr>
                <w:rFonts w:asciiTheme="minorEastAsia" w:hAnsiTheme="minorEastAsia"/>
                <w:kern w:val="0"/>
                <w:sz w:val="21"/>
                <w:szCs w:val="21"/>
              </w:rPr>
              <w:t>信用期内</w:t>
            </w:r>
          </w:p>
        </w:tc>
        <w:tc>
          <w:tcPr>
            <w:tcW w:w="612" w:type="pct"/>
            <w:vAlign w:val="center"/>
          </w:tcPr>
          <w:p>
            <w:pPr>
              <w:tabs>
                <w:tab w:val="left" w:pos="567"/>
              </w:tabs>
              <w:jc w:val="center"/>
              <w:rPr>
                <w:rFonts w:asciiTheme="minorEastAsia" w:hAnsiTheme="minorEastAsia"/>
                <w:kern w:val="0"/>
                <w:sz w:val="21"/>
                <w:szCs w:val="21"/>
              </w:rPr>
            </w:pPr>
            <w:r>
              <w:rPr>
                <w:rFonts w:hint="eastAsia" w:asciiTheme="minorEastAsia" w:hAnsiTheme="minorEastAsia"/>
                <w:kern w:val="0"/>
                <w:sz w:val="21"/>
                <w:szCs w:val="21"/>
              </w:rPr>
              <w:t>2</w:t>
            </w:r>
            <w:r>
              <w:rPr>
                <w:rFonts w:asciiTheme="minorEastAsia" w:hAnsiTheme="minorEastAsia"/>
                <w:kern w:val="0"/>
                <w:sz w:val="21"/>
                <w:szCs w:val="21"/>
              </w:rPr>
              <w:t>-3</w:t>
            </w:r>
            <w:r>
              <w:rPr>
                <w:rFonts w:hint="eastAsia" w:asciiTheme="minorEastAsia" w:hAnsiTheme="minorEastAsia"/>
                <w:kern w:val="0"/>
                <w:sz w:val="21"/>
                <w:szCs w:val="21"/>
              </w:rPr>
              <w:t>年</w:t>
            </w:r>
          </w:p>
        </w:tc>
        <w:tc>
          <w:tcPr>
            <w:tcW w:w="644" w:type="pct"/>
            <w:vAlign w:val="center"/>
          </w:tcPr>
          <w:p>
            <w:pPr>
              <w:tabs>
                <w:tab w:val="left" w:pos="567"/>
              </w:tabs>
              <w:jc w:val="center"/>
              <w:rPr>
                <w:rFonts w:asciiTheme="minorEastAsia" w:hAnsiTheme="minorEastAsia"/>
                <w:kern w:val="0"/>
                <w:sz w:val="21"/>
                <w:szCs w:val="21"/>
              </w:rPr>
            </w:pPr>
            <w:r>
              <w:rPr>
                <w:rFonts w:asciiTheme="minorEastAsia" w:hAnsiTheme="minorEastAsia"/>
                <w:kern w:val="0"/>
                <w:sz w:val="21"/>
                <w:szCs w:val="21"/>
              </w:rPr>
              <w:t>期后回款金额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pPr>
              <w:tabs>
                <w:tab w:val="left" w:pos="567"/>
              </w:tabs>
              <w:jc w:val="left"/>
              <w:rPr>
                <w:rFonts w:asciiTheme="minorEastAsia" w:hAnsiTheme="minorEastAsia"/>
                <w:kern w:val="0"/>
                <w:sz w:val="21"/>
                <w:szCs w:val="21"/>
              </w:rPr>
            </w:pPr>
            <w:r>
              <w:rPr>
                <w:rFonts w:cs="Arial" w:asciiTheme="minorEastAsia" w:hAnsiTheme="minorEastAsia"/>
                <w:color w:val="000000"/>
                <w:kern w:val="0"/>
                <w:sz w:val="21"/>
                <w:szCs w:val="21"/>
              </w:rPr>
              <w:t>浙江九玺实业有限公司</w:t>
            </w:r>
          </w:p>
        </w:tc>
        <w:tc>
          <w:tcPr>
            <w:tcW w:w="612"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12,039.81</w:t>
            </w:r>
          </w:p>
        </w:tc>
        <w:tc>
          <w:tcPr>
            <w:tcW w:w="613"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22,299.21</w:t>
            </w:r>
          </w:p>
        </w:tc>
        <w:tc>
          <w:tcPr>
            <w:tcW w:w="525" w:type="pct"/>
            <w:vAlign w:val="center"/>
          </w:tcPr>
          <w:p>
            <w:pPr>
              <w:tabs>
                <w:tab w:val="left" w:pos="567"/>
              </w:tabs>
              <w:jc w:val="center"/>
              <w:rPr>
                <w:rFonts w:asciiTheme="minorEastAsia" w:hAnsiTheme="minorEastAsia"/>
                <w:kern w:val="0"/>
                <w:sz w:val="21"/>
                <w:szCs w:val="21"/>
              </w:rPr>
            </w:pPr>
            <w:r>
              <w:rPr>
                <w:rFonts w:cs="Arial" w:asciiTheme="minorEastAsia" w:hAnsiTheme="minorEastAsia"/>
                <w:color w:val="000000"/>
                <w:kern w:val="0"/>
                <w:sz w:val="21"/>
                <w:szCs w:val="21"/>
              </w:rPr>
              <w:t>货款</w:t>
            </w:r>
          </w:p>
        </w:tc>
        <w:tc>
          <w:tcPr>
            <w:tcW w:w="700"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22,299.21</w:t>
            </w:r>
          </w:p>
        </w:tc>
        <w:tc>
          <w:tcPr>
            <w:tcW w:w="612"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　</w:t>
            </w:r>
          </w:p>
        </w:tc>
        <w:tc>
          <w:tcPr>
            <w:tcW w:w="644"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22,299.21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pPr>
              <w:tabs>
                <w:tab w:val="left" w:pos="567"/>
              </w:tabs>
              <w:jc w:val="left"/>
              <w:rPr>
                <w:rFonts w:cs="Arial" w:asciiTheme="minorEastAsia" w:hAnsiTheme="minorEastAsia"/>
                <w:color w:val="000000"/>
                <w:kern w:val="0"/>
                <w:sz w:val="21"/>
                <w:szCs w:val="21"/>
              </w:rPr>
            </w:pPr>
            <w:r>
              <w:rPr>
                <w:rFonts w:cs="Arial" w:asciiTheme="minorEastAsia" w:hAnsiTheme="minorEastAsia"/>
                <w:color w:val="000000"/>
                <w:kern w:val="0"/>
                <w:sz w:val="21"/>
                <w:szCs w:val="21"/>
              </w:rPr>
              <w:t>浙江优诺德贸易有限公司</w:t>
            </w:r>
          </w:p>
        </w:tc>
        <w:tc>
          <w:tcPr>
            <w:tcW w:w="612"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10,134.64</w:t>
            </w:r>
          </w:p>
        </w:tc>
        <w:tc>
          <w:tcPr>
            <w:tcW w:w="613"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13,928.35</w:t>
            </w:r>
          </w:p>
        </w:tc>
        <w:tc>
          <w:tcPr>
            <w:tcW w:w="525" w:type="pct"/>
            <w:vAlign w:val="center"/>
          </w:tcPr>
          <w:p>
            <w:pPr>
              <w:tabs>
                <w:tab w:val="left" w:pos="567"/>
              </w:tabs>
              <w:jc w:val="center"/>
              <w:rPr>
                <w:rFonts w:asciiTheme="minorEastAsia" w:hAnsiTheme="minorEastAsia"/>
                <w:kern w:val="0"/>
                <w:sz w:val="21"/>
                <w:szCs w:val="21"/>
              </w:rPr>
            </w:pPr>
            <w:r>
              <w:rPr>
                <w:rFonts w:cs="Arial" w:asciiTheme="minorEastAsia" w:hAnsiTheme="minorEastAsia"/>
                <w:color w:val="000000"/>
                <w:kern w:val="0"/>
                <w:sz w:val="21"/>
                <w:szCs w:val="21"/>
              </w:rPr>
              <w:t>货款</w:t>
            </w:r>
          </w:p>
        </w:tc>
        <w:tc>
          <w:tcPr>
            <w:tcW w:w="700"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13,928.35</w:t>
            </w:r>
          </w:p>
        </w:tc>
        <w:tc>
          <w:tcPr>
            <w:tcW w:w="612"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　</w:t>
            </w:r>
          </w:p>
        </w:tc>
        <w:tc>
          <w:tcPr>
            <w:tcW w:w="644"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13,928.35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pPr>
              <w:tabs>
                <w:tab w:val="left" w:pos="567"/>
              </w:tabs>
              <w:jc w:val="left"/>
              <w:rPr>
                <w:rFonts w:cs="Arial" w:asciiTheme="minorEastAsia" w:hAnsiTheme="minorEastAsia"/>
                <w:color w:val="000000"/>
                <w:kern w:val="0"/>
                <w:sz w:val="21"/>
                <w:szCs w:val="21"/>
              </w:rPr>
            </w:pPr>
            <w:r>
              <w:rPr>
                <w:rFonts w:cs="Arial" w:asciiTheme="minorEastAsia" w:hAnsiTheme="minorEastAsia"/>
                <w:color w:val="000000"/>
                <w:kern w:val="0"/>
                <w:sz w:val="21"/>
                <w:szCs w:val="21"/>
              </w:rPr>
              <w:t>湖南华信稀贵科技股份有限公司</w:t>
            </w:r>
          </w:p>
        </w:tc>
        <w:tc>
          <w:tcPr>
            <w:tcW w:w="612"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3,066.32</w:t>
            </w:r>
          </w:p>
        </w:tc>
        <w:tc>
          <w:tcPr>
            <w:tcW w:w="613"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2,850.89</w:t>
            </w:r>
          </w:p>
        </w:tc>
        <w:tc>
          <w:tcPr>
            <w:tcW w:w="525" w:type="pct"/>
            <w:vAlign w:val="center"/>
          </w:tcPr>
          <w:p>
            <w:pPr>
              <w:tabs>
                <w:tab w:val="left" w:pos="567"/>
              </w:tabs>
              <w:jc w:val="center"/>
              <w:rPr>
                <w:rFonts w:asciiTheme="minorEastAsia" w:hAnsiTheme="minorEastAsia"/>
                <w:kern w:val="0"/>
                <w:sz w:val="21"/>
                <w:szCs w:val="21"/>
              </w:rPr>
            </w:pPr>
            <w:r>
              <w:rPr>
                <w:rFonts w:cs="Arial" w:asciiTheme="minorEastAsia" w:hAnsiTheme="minorEastAsia"/>
                <w:color w:val="000000"/>
                <w:kern w:val="0"/>
                <w:sz w:val="21"/>
                <w:szCs w:val="21"/>
              </w:rPr>
              <w:t>货款</w:t>
            </w:r>
          </w:p>
        </w:tc>
        <w:tc>
          <w:tcPr>
            <w:tcW w:w="700" w:type="pct"/>
            <w:vAlign w:val="center"/>
          </w:tcPr>
          <w:p>
            <w:pPr>
              <w:tabs>
                <w:tab w:val="left" w:pos="567"/>
              </w:tabs>
              <w:jc w:val="right"/>
              <w:rPr>
                <w:rFonts w:asciiTheme="minorEastAsia" w:hAnsiTheme="minorEastAsia"/>
                <w:kern w:val="0"/>
                <w:sz w:val="21"/>
                <w:szCs w:val="21"/>
                <w:highlight w:val="none"/>
              </w:rPr>
            </w:pPr>
            <w:r>
              <w:rPr>
                <w:rFonts w:cs="Arial" w:asciiTheme="minorEastAsia" w:hAnsiTheme="minorEastAsia"/>
                <w:color w:val="000000"/>
                <w:kern w:val="0"/>
                <w:sz w:val="21"/>
                <w:szCs w:val="21"/>
                <w:highlight w:val="none"/>
              </w:rPr>
              <w:t>　</w:t>
            </w:r>
          </w:p>
        </w:tc>
        <w:tc>
          <w:tcPr>
            <w:tcW w:w="612" w:type="pct"/>
            <w:vAlign w:val="center"/>
          </w:tcPr>
          <w:p>
            <w:pPr>
              <w:tabs>
                <w:tab w:val="left" w:pos="567"/>
              </w:tabs>
              <w:jc w:val="right"/>
              <w:rPr>
                <w:rFonts w:asciiTheme="minorEastAsia" w:hAnsiTheme="minorEastAsia"/>
                <w:kern w:val="0"/>
                <w:sz w:val="21"/>
                <w:szCs w:val="21"/>
                <w:highlight w:val="none"/>
              </w:rPr>
            </w:pPr>
            <w:r>
              <w:rPr>
                <w:rFonts w:cs="Arial" w:asciiTheme="minorEastAsia" w:hAnsiTheme="minorEastAsia"/>
                <w:color w:val="000000"/>
                <w:kern w:val="0"/>
                <w:sz w:val="21"/>
                <w:szCs w:val="21"/>
                <w:highlight w:val="none"/>
              </w:rPr>
              <w:t>2,850.89</w:t>
            </w:r>
          </w:p>
        </w:tc>
        <w:tc>
          <w:tcPr>
            <w:tcW w:w="644"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pPr>
              <w:tabs>
                <w:tab w:val="left" w:pos="567"/>
              </w:tabs>
              <w:jc w:val="left"/>
              <w:rPr>
                <w:rFonts w:cs="Arial" w:asciiTheme="minorEastAsia" w:hAnsiTheme="minorEastAsia"/>
                <w:color w:val="000000"/>
                <w:kern w:val="0"/>
                <w:sz w:val="21"/>
                <w:szCs w:val="21"/>
              </w:rPr>
            </w:pPr>
            <w:r>
              <w:rPr>
                <w:rFonts w:cs="Arial" w:asciiTheme="minorEastAsia" w:hAnsiTheme="minorEastAsia"/>
                <w:color w:val="000000"/>
                <w:kern w:val="0"/>
                <w:sz w:val="21"/>
                <w:szCs w:val="21"/>
              </w:rPr>
              <w:t>杭州昕同国际贸易有限公司</w:t>
            </w:r>
          </w:p>
        </w:tc>
        <w:tc>
          <w:tcPr>
            <w:tcW w:w="612"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1,200.70</w:t>
            </w:r>
          </w:p>
        </w:tc>
        <w:tc>
          <w:tcPr>
            <w:tcW w:w="613"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2,150.88</w:t>
            </w:r>
          </w:p>
        </w:tc>
        <w:tc>
          <w:tcPr>
            <w:tcW w:w="525" w:type="pct"/>
            <w:vAlign w:val="center"/>
          </w:tcPr>
          <w:p>
            <w:pPr>
              <w:tabs>
                <w:tab w:val="left" w:pos="567"/>
              </w:tabs>
              <w:jc w:val="center"/>
              <w:rPr>
                <w:rFonts w:asciiTheme="minorEastAsia" w:hAnsiTheme="minorEastAsia"/>
                <w:kern w:val="0"/>
                <w:sz w:val="21"/>
                <w:szCs w:val="21"/>
              </w:rPr>
            </w:pPr>
            <w:r>
              <w:rPr>
                <w:rFonts w:cs="Arial" w:asciiTheme="minorEastAsia" w:hAnsiTheme="minorEastAsia"/>
                <w:color w:val="000000"/>
                <w:kern w:val="0"/>
                <w:sz w:val="21"/>
                <w:szCs w:val="21"/>
              </w:rPr>
              <w:t>货款</w:t>
            </w:r>
          </w:p>
        </w:tc>
        <w:tc>
          <w:tcPr>
            <w:tcW w:w="700"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2,150.88</w:t>
            </w:r>
          </w:p>
        </w:tc>
        <w:tc>
          <w:tcPr>
            <w:tcW w:w="612"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　</w:t>
            </w:r>
          </w:p>
        </w:tc>
        <w:tc>
          <w:tcPr>
            <w:tcW w:w="644"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2,150.88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3" w:type="pct"/>
            <w:vAlign w:val="center"/>
          </w:tcPr>
          <w:p>
            <w:pPr>
              <w:tabs>
                <w:tab w:val="left" w:pos="567"/>
              </w:tabs>
              <w:jc w:val="left"/>
              <w:rPr>
                <w:rFonts w:cs="Arial" w:asciiTheme="minorEastAsia" w:hAnsiTheme="minorEastAsia"/>
                <w:color w:val="000000"/>
                <w:kern w:val="0"/>
                <w:sz w:val="21"/>
                <w:szCs w:val="21"/>
              </w:rPr>
            </w:pPr>
            <w:r>
              <w:rPr>
                <w:rFonts w:cs="Arial" w:asciiTheme="minorEastAsia" w:hAnsiTheme="minorEastAsia"/>
                <w:color w:val="000000"/>
                <w:kern w:val="0"/>
                <w:sz w:val="21"/>
                <w:szCs w:val="21"/>
              </w:rPr>
              <w:t>浙江协创贸易有限公司</w:t>
            </w:r>
          </w:p>
        </w:tc>
        <w:tc>
          <w:tcPr>
            <w:tcW w:w="612"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17,971.33</w:t>
            </w:r>
          </w:p>
        </w:tc>
        <w:tc>
          <w:tcPr>
            <w:tcW w:w="613"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877.06</w:t>
            </w:r>
          </w:p>
        </w:tc>
        <w:tc>
          <w:tcPr>
            <w:tcW w:w="525" w:type="pct"/>
            <w:vAlign w:val="center"/>
          </w:tcPr>
          <w:p>
            <w:pPr>
              <w:tabs>
                <w:tab w:val="left" w:pos="567"/>
              </w:tabs>
              <w:jc w:val="center"/>
              <w:rPr>
                <w:rFonts w:asciiTheme="minorEastAsia" w:hAnsiTheme="minorEastAsia"/>
                <w:kern w:val="0"/>
                <w:sz w:val="21"/>
                <w:szCs w:val="21"/>
              </w:rPr>
            </w:pPr>
            <w:r>
              <w:rPr>
                <w:rFonts w:cs="Arial" w:asciiTheme="minorEastAsia" w:hAnsiTheme="minorEastAsia"/>
                <w:color w:val="000000"/>
                <w:kern w:val="0"/>
                <w:sz w:val="21"/>
                <w:szCs w:val="21"/>
              </w:rPr>
              <w:t>货款</w:t>
            </w:r>
          </w:p>
        </w:tc>
        <w:tc>
          <w:tcPr>
            <w:tcW w:w="700"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877.06</w:t>
            </w:r>
          </w:p>
        </w:tc>
        <w:tc>
          <w:tcPr>
            <w:tcW w:w="612"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　</w:t>
            </w:r>
          </w:p>
        </w:tc>
        <w:tc>
          <w:tcPr>
            <w:tcW w:w="644" w:type="pct"/>
            <w:vAlign w:val="center"/>
          </w:tcPr>
          <w:p>
            <w:pPr>
              <w:tabs>
                <w:tab w:val="left" w:pos="567"/>
              </w:tabs>
              <w:jc w:val="right"/>
              <w:rPr>
                <w:rFonts w:asciiTheme="minorEastAsia" w:hAnsiTheme="minorEastAsia"/>
                <w:kern w:val="0"/>
                <w:sz w:val="21"/>
                <w:szCs w:val="21"/>
              </w:rPr>
            </w:pPr>
            <w:r>
              <w:rPr>
                <w:rFonts w:cs="Arial" w:asciiTheme="minorEastAsia" w:hAnsiTheme="minorEastAsia"/>
                <w:color w:val="000000"/>
                <w:kern w:val="0"/>
                <w:sz w:val="21"/>
                <w:szCs w:val="21"/>
              </w:rPr>
              <w:t>877.06　</w:t>
            </w:r>
          </w:p>
        </w:tc>
      </w:tr>
    </w:tbl>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022</w:t>
      </w:r>
      <w:r>
        <w:rPr>
          <w:rFonts w:hint="eastAsia" w:asciiTheme="minorEastAsia" w:hAnsiTheme="minorEastAsia"/>
          <w:sz w:val="24"/>
          <w:szCs w:val="24"/>
        </w:rPr>
        <w:t>年较2</w:t>
      </w:r>
      <w:r>
        <w:rPr>
          <w:rFonts w:asciiTheme="minorEastAsia" w:hAnsiTheme="minorEastAsia"/>
          <w:sz w:val="24"/>
          <w:szCs w:val="24"/>
        </w:rPr>
        <w:t>021</w:t>
      </w:r>
      <w:r>
        <w:rPr>
          <w:rFonts w:hint="eastAsia" w:asciiTheme="minorEastAsia" w:hAnsiTheme="minorEastAsia"/>
          <w:sz w:val="24"/>
          <w:szCs w:val="24"/>
        </w:rPr>
        <w:t>年相比前五未见新增客户，截至</w:t>
      </w:r>
      <w:r>
        <w:rPr>
          <w:rFonts w:asciiTheme="minorEastAsia" w:hAnsiTheme="minorEastAsia"/>
          <w:sz w:val="24"/>
          <w:szCs w:val="24"/>
        </w:rPr>
        <w:t>2022</w:t>
      </w:r>
      <w:r>
        <w:rPr>
          <w:rFonts w:hint="eastAsia" w:asciiTheme="minorEastAsia" w:hAnsiTheme="minorEastAsia"/>
          <w:sz w:val="24"/>
          <w:szCs w:val="24"/>
        </w:rPr>
        <w:t>年报审计报告日，除湖南华信稀贵科技股份有限公司（该公司目前处于重整执行阶段，公司已于2</w:t>
      </w:r>
      <w:r>
        <w:rPr>
          <w:rFonts w:asciiTheme="minorEastAsia" w:hAnsiTheme="minorEastAsia"/>
          <w:sz w:val="24"/>
          <w:szCs w:val="24"/>
        </w:rPr>
        <w:t>020</w:t>
      </w:r>
      <w:r>
        <w:rPr>
          <w:rFonts w:hint="eastAsia" w:asciiTheme="minorEastAsia" w:hAnsiTheme="minorEastAsia"/>
          <w:sz w:val="24"/>
          <w:szCs w:val="24"/>
        </w:rPr>
        <w:t>年度单项全额计提坏账准备）外，其余前五客户均在信用期内回款，不存在重大回收风险。</w:t>
      </w:r>
    </w:p>
    <w:p>
      <w:pPr>
        <w:tabs>
          <w:tab w:val="left" w:pos="567"/>
        </w:tabs>
        <w:spacing w:line="360" w:lineRule="auto"/>
        <w:ind w:left="424" w:leftChars="202"/>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预付前五</w:t>
      </w:r>
      <w:r>
        <w:rPr>
          <w:rFonts w:hint="eastAsia" w:asciiTheme="minorEastAsia" w:hAnsiTheme="minorEastAsia"/>
          <w:sz w:val="24"/>
          <w:szCs w:val="24"/>
        </w:rPr>
        <w:t>具体情况如下</w:t>
      </w:r>
      <w:r>
        <w:rPr>
          <w:rFonts w:asciiTheme="minorEastAsia" w:hAnsiTheme="minorEastAsia"/>
          <w:sz w:val="24"/>
          <w:szCs w:val="24"/>
        </w:rPr>
        <w:t>：</w:t>
      </w:r>
    </w:p>
    <w:p>
      <w:pPr>
        <w:tabs>
          <w:tab w:val="left" w:pos="567"/>
        </w:tabs>
        <w:spacing w:line="360" w:lineRule="auto"/>
        <w:ind w:left="424" w:leftChars="202"/>
        <w:jc w:val="right"/>
        <w:rPr>
          <w:rFonts w:asciiTheme="minorEastAsia" w:hAnsiTheme="minorEastAsia"/>
          <w:szCs w:val="21"/>
        </w:rPr>
      </w:pPr>
      <w:r>
        <w:rPr>
          <w:rFonts w:asciiTheme="minorEastAsia" w:hAnsiTheme="minorEastAsia"/>
          <w:szCs w:val="21"/>
        </w:rPr>
        <w:t>单位：万元</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3"/>
        <w:gridCol w:w="706"/>
        <w:gridCol w:w="1260"/>
        <w:gridCol w:w="1136"/>
        <w:gridCol w:w="844"/>
        <w:gridCol w:w="690"/>
        <w:gridCol w:w="1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trPr>
        <w:tc>
          <w:tcPr>
            <w:tcW w:w="251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单位名称</w:t>
            </w:r>
          </w:p>
        </w:tc>
        <w:tc>
          <w:tcPr>
            <w:tcW w:w="706"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期初余额</w:t>
            </w:r>
          </w:p>
        </w:tc>
        <w:tc>
          <w:tcPr>
            <w:tcW w:w="1260"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期末余额</w:t>
            </w:r>
          </w:p>
        </w:tc>
        <w:tc>
          <w:tcPr>
            <w:tcW w:w="1136"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交易内容</w:t>
            </w:r>
          </w:p>
        </w:tc>
        <w:tc>
          <w:tcPr>
            <w:tcW w:w="844"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1年内</w:t>
            </w:r>
          </w:p>
        </w:tc>
        <w:tc>
          <w:tcPr>
            <w:tcW w:w="690"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3年以上</w:t>
            </w:r>
          </w:p>
        </w:tc>
        <w:tc>
          <w:tcPr>
            <w:tcW w:w="137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cs="Arial" w:asciiTheme="minorEastAsia" w:hAnsiTheme="minorEastAsia"/>
                <w:color w:val="000000"/>
                <w:kern w:val="0"/>
                <w:szCs w:val="21"/>
              </w:rPr>
              <w:t>期后</w:t>
            </w:r>
            <w:r>
              <w:rPr>
                <w:rFonts w:hint="eastAsia" w:cs="Arial" w:asciiTheme="minorEastAsia" w:hAnsiTheme="minorEastAsia"/>
                <w:color w:val="000000"/>
                <w:kern w:val="0"/>
                <w:szCs w:val="21"/>
              </w:rPr>
              <w:t>收货或结转情况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2513"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asciiTheme="minorEastAsia" w:hAnsiTheme="minorEastAsia"/>
                <w:szCs w:val="21"/>
              </w:rPr>
              <w:t>福建伍郡供应链管理有限公司</w:t>
            </w:r>
          </w:p>
        </w:tc>
        <w:tc>
          <w:tcPr>
            <w:tcW w:w="706" w:type="dxa"/>
            <w:shd w:val="clear" w:color="auto" w:fill="auto"/>
            <w:noWrap/>
            <w:vAlign w:val="center"/>
          </w:tcPr>
          <w:p>
            <w:pPr>
              <w:widowControl/>
              <w:tabs>
                <w:tab w:val="left" w:pos="567"/>
              </w:tabs>
              <w:jc w:val="center"/>
              <w:rPr>
                <w:rFonts w:cs="Arial" w:asciiTheme="minorEastAsia" w:hAnsiTheme="minorEastAsia"/>
                <w:color w:val="000000"/>
                <w:kern w:val="0"/>
                <w:szCs w:val="21"/>
              </w:rPr>
            </w:pPr>
          </w:p>
        </w:tc>
        <w:tc>
          <w:tcPr>
            <w:tcW w:w="126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14.36</w:t>
            </w:r>
          </w:p>
        </w:tc>
        <w:tc>
          <w:tcPr>
            <w:tcW w:w="1136"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预付货款</w:t>
            </w:r>
          </w:p>
        </w:tc>
        <w:tc>
          <w:tcPr>
            <w:tcW w:w="844"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14.36</w:t>
            </w:r>
          </w:p>
        </w:tc>
        <w:tc>
          <w:tcPr>
            <w:tcW w:w="690" w:type="dxa"/>
            <w:shd w:val="clear" w:color="auto" w:fill="auto"/>
            <w:noWrap/>
            <w:vAlign w:val="center"/>
          </w:tcPr>
          <w:p>
            <w:pPr>
              <w:widowControl/>
              <w:tabs>
                <w:tab w:val="left" w:pos="567"/>
              </w:tabs>
              <w:jc w:val="center"/>
              <w:rPr>
                <w:rFonts w:cs="Arial" w:asciiTheme="minorEastAsia" w:hAnsiTheme="minorEastAsia"/>
                <w:color w:val="000000"/>
                <w:kern w:val="0"/>
                <w:szCs w:val="21"/>
              </w:rPr>
            </w:pPr>
          </w:p>
        </w:tc>
        <w:tc>
          <w:tcPr>
            <w:tcW w:w="137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14.36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rPr>
        <w:tc>
          <w:tcPr>
            <w:tcW w:w="2513"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asciiTheme="minorEastAsia" w:hAnsiTheme="minorEastAsia"/>
                <w:szCs w:val="21"/>
              </w:rPr>
              <w:t>富阳康博电子有限公司</w:t>
            </w:r>
          </w:p>
        </w:tc>
        <w:tc>
          <w:tcPr>
            <w:tcW w:w="706"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4.74</w:t>
            </w:r>
          </w:p>
        </w:tc>
        <w:tc>
          <w:tcPr>
            <w:tcW w:w="126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4.74</w:t>
            </w:r>
          </w:p>
        </w:tc>
        <w:tc>
          <w:tcPr>
            <w:tcW w:w="1136"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预付货款</w:t>
            </w:r>
          </w:p>
        </w:tc>
        <w:tc>
          <w:tcPr>
            <w:tcW w:w="844" w:type="dxa"/>
            <w:shd w:val="clear" w:color="auto" w:fill="auto"/>
            <w:vAlign w:val="center"/>
          </w:tcPr>
          <w:p>
            <w:pPr>
              <w:widowControl/>
              <w:tabs>
                <w:tab w:val="left" w:pos="567"/>
              </w:tabs>
              <w:jc w:val="center"/>
              <w:rPr>
                <w:rFonts w:cs="Arial" w:asciiTheme="minorEastAsia" w:hAnsiTheme="minorEastAsia"/>
                <w:color w:val="000000"/>
                <w:kern w:val="0"/>
                <w:szCs w:val="21"/>
              </w:rPr>
            </w:pPr>
          </w:p>
        </w:tc>
        <w:tc>
          <w:tcPr>
            <w:tcW w:w="69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4.74</w:t>
            </w:r>
          </w:p>
        </w:tc>
        <w:tc>
          <w:tcPr>
            <w:tcW w:w="137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hint="eastAsia" w:cs="Arial" w:asciiTheme="minorEastAsia" w:hAnsiTheme="minorEastAsia"/>
                <w:color w:val="000000"/>
                <w:kern w:val="0"/>
                <w:szCs w:val="21"/>
              </w:rPr>
              <w:t>4.</w:t>
            </w:r>
            <w:r>
              <w:rPr>
                <w:rFonts w:cs="Arial" w:asciiTheme="minorEastAsia" w:hAnsiTheme="minorEastAsia"/>
                <w:color w:val="000000"/>
                <w:kern w:val="0"/>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exact"/>
        </w:trPr>
        <w:tc>
          <w:tcPr>
            <w:tcW w:w="2513"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asciiTheme="minorEastAsia" w:hAnsiTheme="minorEastAsia"/>
                <w:szCs w:val="21"/>
              </w:rPr>
              <w:t>张家港保税区长江国际港务有限公司</w:t>
            </w:r>
          </w:p>
        </w:tc>
        <w:tc>
          <w:tcPr>
            <w:tcW w:w="706"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1.34</w:t>
            </w:r>
          </w:p>
        </w:tc>
        <w:tc>
          <w:tcPr>
            <w:tcW w:w="126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0.96</w:t>
            </w:r>
          </w:p>
        </w:tc>
        <w:tc>
          <w:tcPr>
            <w:tcW w:w="1136"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预付货款</w:t>
            </w:r>
          </w:p>
        </w:tc>
        <w:tc>
          <w:tcPr>
            <w:tcW w:w="844"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0.96</w:t>
            </w:r>
          </w:p>
        </w:tc>
        <w:tc>
          <w:tcPr>
            <w:tcW w:w="690" w:type="dxa"/>
            <w:shd w:val="clear" w:color="auto" w:fill="auto"/>
            <w:noWrap/>
            <w:vAlign w:val="center"/>
          </w:tcPr>
          <w:p>
            <w:pPr>
              <w:widowControl/>
              <w:tabs>
                <w:tab w:val="left" w:pos="567"/>
              </w:tabs>
              <w:jc w:val="center"/>
              <w:rPr>
                <w:rFonts w:cs="Arial" w:asciiTheme="minorEastAsia" w:hAnsiTheme="minorEastAsia"/>
                <w:color w:val="000000"/>
                <w:kern w:val="0"/>
                <w:szCs w:val="21"/>
              </w:rPr>
            </w:pPr>
          </w:p>
        </w:tc>
        <w:tc>
          <w:tcPr>
            <w:tcW w:w="137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2513"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asciiTheme="minorEastAsia" w:hAnsiTheme="minorEastAsia"/>
                <w:szCs w:val="21"/>
              </w:rPr>
              <w:t>上海诚骋物流有限公司</w:t>
            </w:r>
          </w:p>
        </w:tc>
        <w:tc>
          <w:tcPr>
            <w:tcW w:w="706"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0.47</w:t>
            </w:r>
          </w:p>
        </w:tc>
        <w:tc>
          <w:tcPr>
            <w:tcW w:w="126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0.47</w:t>
            </w:r>
          </w:p>
        </w:tc>
        <w:tc>
          <w:tcPr>
            <w:tcW w:w="1136"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预付货款</w:t>
            </w:r>
          </w:p>
        </w:tc>
        <w:tc>
          <w:tcPr>
            <w:tcW w:w="844" w:type="dxa"/>
            <w:shd w:val="clear" w:color="auto" w:fill="auto"/>
            <w:vAlign w:val="center"/>
          </w:tcPr>
          <w:p>
            <w:pPr>
              <w:widowControl/>
              <w:tabs>
                <w:tab w:val="left" w:pos="567"/>
              </w:tabs>
              <w:jc w:val="center"/>
              <w:rPr>
                <w:rFonts w:cs="Arial" w:asciiTheme="minorEastAsia" w:hAnsiTheme="minorEastAsia"/>
                <w:color w:val="000000"/>
                <w:kern w:val="0"/>
                <w:szCs w:val="21"/>
              </w:rPr>
            </w:pPr>
          </w:p>
        </w:tc>
        <w:tc>
          <w:tcPr>
            <w:tcW w:w="69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0.47</w:t>
            </w:r>
          </w:p>
        </w:tc>
        <w:tc>
          <w:tcPr>
            <w:tcW w:w="1373" w:type="dxa"/>
            <w:shd w:val="clear" w:color="auto" w:fill="auto"/>
            <w:vAlign w:val="center"/>
          </w:tcPr>
          <w:p>
            <w:pPr>
              <w:widowControl/>
              <w:tabs>
                <w:tab w:val="left" w:pos="567"/>
              </w:tabs>
              <w:jc w:val="center"/>
              <w:rPr>
                <w:rFonts w:cs="Arial" w:asciiTheme="minorEastAsia" w:hAnsiTheme="minorEastAsia"/>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2513" w:type="dxa"/>
            <w:shd w:val="clear" w:color="auto" w:fill="auto"/>
            <w:vAlign w:val="center"/>
          </w:tcPr>
          <w:p>
            <w:pPr>
              <w:widowControl/>
              <w:tabs>
                <w:tab w:val="left" w:pos="567"/>
              </w:tabs>
              <w:jc w:val="left"/>
              <w:rPr>
                <w:rFonts w:cs="Arial" w:asciiTheme="minorEastAsia" w:hAnsiTheme="minorEastAsia"/>
                <w:color w:val="000000"/>
                <w:kern w:val="0"/>
                <w:szCs w:val="21"/>
              </w:rPr>
            </w:pPr>
            <w:r>
              <w:rPr>
                <w:rFonts w:asciiTheme="minorEastAsia" w:hAnsiTheme="minorEastAsia"/>
                <w:szCs w:val="21"/>
              </w:rPr>
              <w:t>张家港保税区外商投资服务有限公司</w:t>
            </w:r>
          </w:p>
        </w:tc>
        <w:tc>
          <w:tcPr>
            <w:tcW w:w="706" w:type="dxa"/>
            <w:shd w:val="clear" w:color="auto" w:fill="auto"/>
            <w:noWrap/>
            <w:vAlign w:val="center"/>
          </w:tcPr>
          <w:p>
            <w:pPr>
              <w:widowControl/>
              <w:tabs>
                <w:tab w:val="left" w:pos="567"/>
              </w:tabs>
              <w:jc w:val="center"/>
              <w:rPr>
                <w:rFonts w:cs="Arial" w:asciiTheme="minorEastAsia" w:hAnsiTheme="minorEastAsia"/>
                <w:color w:val="000000"/>
                <w:kern w:val="0"/>
                <w:szCs w:val="21"/>
              </w:rPr>
            </w:pPr>
          </w:p>
        </w:tc>
        <w:tc>
          <w:tcPr>
            <w:tcW w:w="1260" w:type="dxa"/>
            <w:shd w:val="clear" w:color="auto" w:fill="auto"/>
            <w:noWrap/>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0.39</w:t>
            </w:r>
          </w:p>
        </w:tc>
        <w:tc>
          <w:tcPr>
            <w:tcW w:w="1136"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预付货款</w:t>
            </w:r>
          </w:p>
        </w:tc>
        <w:tc>
          <w:tcPr>
            <w:tcW w:w="844"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0.39</w:t>
            </w:r>
          </w:p>
        </w:tc>
        <w:tc>
          <w:tcPr>
            <w:tcW w:w="690" w:type="dxa"/>
            <w:shd w:val="clear" w:color="auto" w:fill="auto"/>
            <w:vAlign w:val="center"/>
          </w:tcPr>
          <w:p>
            <w:pPr>
              <w:widowControl/>
              <w:tabs>
                <w:tab w:val="left" w:pos="567"/>
              </w:tabs>
              <w:jc w:val="center"/>
              <w:rPr>
                <w:rFonts w:cs="Arial" w:asciiTheme="minorEastAsia" w:hAnsiTheme="minorEastAsia"/>
                <w:color w:val="000000"/>
                <w:kern w:val="0"/>
                <w:szCs w:val="21"/>
              </w:rPr>
            </w:pPr>
          </w:p>
        </w:tc>
        <w:tc>
          <w:tcPr>
            <w:tcW w:w="1373" w:type="dxa"/>
            <w:shd w:val="clear" w:color="auto" w:fill="auto"/>
            <w:vAlign w:val="center"/>
          </w:tcPr>
          <w:p>
            <w:pPr>
              <w:widowControl/>
              <w:tabs>
                <w:tab w:val="left" w:pos="567"/>
              </w:tabs>
              <w:jc w:val="center"/>
              <w:rPr>
                <w:rFonts w:cs="Arial" w:asciiTheme="minorEastAsia" w:hAnsiTheme="minorEastAsia"/>
                <w:color w:val="000000"/>
                <w:kern w:val="0"/>
                <w:szCs w:val="21"/>
              </w:rPr>
            </w:pPr>
            <w:r>
              <w:rPr>
                <w:rFonts w:asciiTheme="minorEastAsia" w:hAnsiTheme="minorEastAsia"/>
                <w:szCs w:val="21"/>
              </w:rPr>
              <w:t>0.21</w:t>
            </w:r>
          </w:p>
        </w:tc>
      </w:tr>
    </w:tbl>
    <w:p>
      <w:pPr>
        <w:tabs>
          <w:tab w:val="left" w:pos="426"/>
        </w:tabs>
        <w:spacing w:line="360" w:lineRule="auto"/>
        <w:ind w:left="424" w:leftChars="202"/>
        <w:rPr>
          <w:rFonts w:asciiTheme="minorEastAsia" w:hAnsiTheme="minorEastAsia"/>
          <w:szCs w:val="21"/>
        </w:rPr>
      </w:pPr>
      <w:r>
        <w:rPr>
          <w:rFonts w:hint="eastAsia" w:asciiTheme="minorEastAsia" w:hAnsiTheme="minorEastAsia"/>
          <w:szCs w:val="21"/>
        </w:rPr>
        <w:t>注：上表中</w:t>
      </w:r>
      <w:r>
        <w:rPr>
          <w:rFonts w:asciiTheme="minorEastAsia" w:hAnsiTheme="minorEastAsia"/>
          <w:szCs w:val="21"/>
        </w:rPr>
        <w:t>富阳康博电子有限公司</w:t>
      </w:r>
      <w:r>
        <w:rPr>
          <w:rFonts w:hint="eastAsia" w:asciiTheme="minorEastAsia" w:hAnsiTheme="minorEastAsia"/>
          <w:szCs w:val="21"/>
        </w:rPr>
        <w:t>预付账款余额产生原因为与该公司开展国际贸易业务过程中累计发生的产品打样费，因未及时结算而未做账务处理，</w:t>
      </w:r>
      <w:r>
        <w:rPr>
          <w:rFonts w:asciiTheme="minorEastAsia" w:hAnsiTheme="minorEastAsia"/>
          <w:szCs w:val="21"/>
        </w:rPr>
        <w:t>2023</w:t>
      </w:r>
      <w:r>
        <w:rPr>
          <w:rFonts w:hint="eastAsia" w:asciiTheme="minorEastAsia" w:hAnsiTheme="minorEastAsia"/>
          <w:szCs w:val="21"/>
        </w:rPr>
        <w:t>年半年度报告中将其结转费用。</w:t>
      </w:r>
    </w:p>
    <w:p>
      <w:pPr>
        <w:tabs>
          <w:tab w:val="left" w:pos="426"/>
        </w:tabs>
        <w:spacing w:line="360" w:lineRule="auto"/>
        <w:ind w:left="424" w:leftChars="202" w:firstLine="420" w:firstLineChars="200"/>
        <w:rPr>
          <w:rFonts w:asciiTheme="minorEastAsia" w:hAnsiTheme="minorEastAsia"/>
          <w:szCs w:val="21"/>
        </w:rPr>
      </w:pPr>
      <w:r>
        <w:rPr>
          <w:rFonts w:asciiTheme="minorEastAsia" w:hAnsiTheme="minorEastAsia"/>
          <w:szCs w:val="21"/>
        </w:rPr>
        <w:t>上海诚骋物流有限公司</w:t>
      </w:r>
      <w:r>
        <w:rPr>
          <w:rFonts w:hint="eastAsia" w:asciiTheme="minorEastAsia" w:hAnsiTheme="minorEastAsia"/>
          <w:szCs w:val="21"/>
        </w:rPr>
        <w:t>预付余额为该公司要求的仓库预存费用，发生业务时按实提数扣费，目前还有余额</w:t>
      </w:r>
      <w:r>
        <w:rPr>
          <w:rFonts w:asciiTheme="minorEastAsia" w:hAnsiTheme="minorEastAsia"/>
          <w:szCs w:val="21"/>
        </w:rPr>
        <w:t>0.47</w:t>
      </w:r>
      <w:r>
        <w:rPr>
          <w:rFonts w:hint="eastAsia" w:asciiTheme="minorEastAsia" w:hAnsiTheme="minorEastAsia"/>
          <w:szCs w:val="21"/>
        </w:rPr>
        <w:t>万元。</w:t>
      </w:r>
    </w:p>
    <w:p>
      <w:pPr>
        <w:tabs>
          <w:tab w:val="left" w:pos="567"/>
        </w:tabs>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会计师核查意见：</w:t>
      </w:r>
    </w:p>
    <w:p>
      <w:pPr>
        <w:tabs>
          <w:tab w:val="left" w:pos="0"/>
        </w:tabs>
        <w:spacing w:line="360" w:lineRule="auto"/>
        <w:ind w:left="424" w:leftChars="202" w:firstLine="480" w:firstLineChars="200"/>
        <w:rPr>
          <w:rFonts w:ascii="宋体" w:hAnsi="宋体" w:eastAsia="宋体"/>
          <w:sz w:val="24"/>
          <w:szCs w:val="24"/>
        </w:rPr>
      </w:pPr>
      <w:r>
        <w:rPr>
          <w:rFonts w:hint="eastAsia" w:ascii="宋体" w:hAnsi="宋体" w:eastAsia="宋体"/>
          <w:sz w:val="24"/>
          <w:szCs w:val="24"/>
        </w:rPr>
        <w:t>会计师在对江苏吴中2022年度财务报表的审计过程中针对上述事项，执行了以下审计程序：</w:t>
      </w:r>
    </w:p>
    <w:p>
      <w:pPr>
        <w:tabs>
          <w:tab w:val="left" w:pos="0"/>
        </w:tabs>
        <w:spacing w:line="360" w:lineRule="auto"/>
        <w:ind w:left="424" w:leftChars="202" w:firstLine="424" w:firstLineChars="177"/>
        <w:rPr>
          <w:rFonts w:ascii="宋体" w:hAnsi="宋体" w:eastAsia="宋体"/>
          <w:sz w:val="24"/>
          <w:szCs w:val="24"/>
        </w:rPr>
      </w:pPr>
      <w:r>
        <w:rPr>
          <w:rFonts w:hint="eastAsia" w:ascii="宋体" w:hAnsi="宋体" w:eastAsia="宋体"/>
          <w:sz w:val="24"/>
          <w:szCs w:val="24"/>
        </w:rPr>
        <w:t>（1）获取公司关联方单位清单并进行核对，对不在关联方单位清单的客户和供应商名称执行工商查询，结合访谈程序，综合判断是否属于关联方；</w:t>
      </w:r>
    </w:p>
    <w:p>
      <w:pPr>
        <w:tabs>
          <w:tab w:val="left" w:pos="0"/>
        </w:tabs>
        <w:spacing w:line="360" w:lineRule="auto"/>
        <w:ind w:left="424" w:leftChars="202" w:firstLine="424" w:firstLineChars="177"/>
        <w:rPr>
          <w:rFonts w:ascii="宋体" w:hAnsi="宋体" w:eastAsia="宋体"/>
          <w:sz w:val="24"/>
          <w:szCs w:val="24"/>
        </w:rPr>
      </w:pPr>
      <w:r>
        <w:rPr>
          <w:rFonts w:hint="eastAsia" w:ascii="宋体" w:hAnsi="宋体" w:eastAsia="宋体"/>
          <w:sz w:val="24"/>
          <w:szCs w:val="24"/>
        </w:rPr>
        <w:t>（2）获取上述客户及供应商与公司无关联关系的承诺；</w:t>
      </w:r>
    </w:p>
    <w:p>
      <w:pPr>
        <w:tabs>
          <w:tab w:val="left" w:pos="0"/>
        </w:tabs>
        <w:spacing w:line="360" w:lineRule="auto"/>
        <w:ind w:left="424" w:leftChars="202" w:firstLine="424" w:firstLineChars="177"/>
        <w:rPr>
          <w:rFonts w:ascii="宋体" w:hAnsi="宋体" w:eastAsia="宋体"/>
          <w:sz w:val="24"/>
          <w:szCs w:val="24"/>
        </w:rPr>
      </w:pPr>
      <w:r>
        <w:rPr>
          <w:rFonts w:hint="eastAsia" w:ascii="宋体" w:hAnsi="宋体" w:eastAsia="宋体"/>
          <w:sz w:val="24"/>
          <w:szCs w:val="24"/>
        </w:rPr>
        <w:t>（3）了解公司收入确认具体会计政策，结合检查相关业务资料，包括采购合同、销售合同、采购及销售发票、客户签收单据、货权转移单据以及物流单据等资料，公司会计处理是否符合会计准则的相关规定；</w:t>
      </w:r>
    </w:p>
    <w:p>
      <w:pPr>
        <w:tabs>
          <w:tab w:val="left" w:pos="0"/>
        </w:tabs>
        <w:spacing w:line="360" w:lineRule="auto"/>
        <w:ind w:left="424" w:leftChars="202" w:firstLine="424" w:firstLineChars="177"/>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4</w:t>
      </w:r>
      <w:r>
        <w:rPr>
          <w:rFonts w:hint="eastAsia" w:ascii="宋体" w:hAnsi="宋体" w:eastAsia="宋体"/>
          <w:sz w:val="24"/>
          <w:szCs w:val="24"/>
        </w:rPr>
        <w:t>）将采购合同、采购发票与成本进行匹配，将销售合同、销售发票与收入进行匹配，以确定收入成本的发生性、完整性及准确性。确保利润表中记录的营业收入、营业成本已发生，且与公司有关；确保与营业收入、营业成本有关的金额及其他数据已恰当记录；确保营业收入、营业成本已记录于正确的会计期间；</w:t>
      </w:r>
    </w:p>
    <w:p>
      <w:pPr>
        <w:tabs>
          <w:tab w:val="left" w:pos="0"/>
        </w:tabs>
        <w:spacing w:line="360" w:lineRule="auto"/>
        <w:ind w:left="424" w:leftChars="202" w:firstLine="424" w:firstLineChars="177"/>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5</w:t>
      </w:r>
      <w:r>
        <w:rPr>
          <w:rFonts w:hint="eastAsia" w:ascii="宋体" w:hAnsi="宋体" w:eastAsia="宋体"/>
          <w:sz w:val="24"/>
          <w:szCs w:val="24"/>
        </w:rPr>
        <w:t>）对供应商及客户进行函证，并对重要的供应商及客户进行实地访谈或电话访谈，以进一步确认收入、成本的真实性，确认商品贸易业务模式、合同主要约定条款、信用政策以及2022年度交易概况等。</w:t>
      </w:r>
    </w:p>
    <w:p>
      <w:pPr>
        <w:tabs>
          <w:tab w:val="left" w:pos="0"/>
        </w:tabs>
        <w:spacing w:line="360" w:lineRule="auto"/>
        <w:ind w:left="424" w:leftChars="202" w:firstLine="424" w:firstLineChars="177"/>
        <w:rPr>
          <w:rFonts w:hint="eastAsia" w:ascii="宋体" w:hAnsi="宋体" w:eastAsia="宋体"/>
          <w:sz w:val="24"/>
          <w:szCs w:val="24"/>
        </w:rPr>
      </w:pPr>
      <w:r>
        <w:rPr>
          <w:rFonts w:hint="eastAsia" w:ascii="宋体" w:hAnsi="宋体" w:eastAsia="宋体"/>
          <w:sz w:val="24"/>
          <w:szCs w:val="24"/>
        </w:rPr>
        <w:t>供应商函证执行情况如下：</w:t>
      </w:r>
    </w:p>
    <w:p>
      <w:pPr>
        <w:tabs>
          <w:tab w:val="left" w:pos="0"/>
        </w:tabs>
        <w:spacing w:line="360" w:lineRule="auto"/>
        <w:ind w:left="424" w:leftChars="202" w:firstLine="424" w:firstLineChars="177"/>
        <w:jc w:val="right"/>
        <w:rPr>
          <w:rFonts w:hint="default" w:ascii="宋体" w:hAnsi="宋体" w:eastAsia="宋体"/>
          <w:sz w:val="24"/>
          <w:szCs w:val="24"/>
          <w:lang w:val="en-US" w:eastAsia="zh-CN"/>
        </w:rPr>
      </w:pPr>
      <w:r>
        <w:rPr>
          <w:rFonts w:hint="eastAsia" w:ascii="宋体" w:hAnsi="宋体" w:eastAsia="宋体"/>
          <w:sz w:val="24"/>
          <w:szCs w:val="24"/>
          <w:lang w:val="en-US" w:eastAsia="zh-CN"/>
        </w:rPr>
        <w:t>单位：元</w:t>
      </w:r>
    </w:p>
    <w:tbl>
      <w:tblPr>
        <w:tblStyle w:val="9"/>
        <w:tblW w:w="0" w:type="auto"/>
        <w:tblInd w:w="4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0"/>
        <w:gridCol w:w="3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0" w:type="dxa"/>
          </w:tcPr>
          <w:p>
            <w:pPr>
              <w:tabs>
                <w:tab w:val="left" w:pos="0"/>
              </w:tabs>
              <w:spacing w:line="360" w:lineRule="auto"/>
              <w:jc w:val="center"/>
              <w:rPr>
                <w:rFonts w:ascii="宋体" w:hAnsi="宋体" w:eastAsia="宋体"/>
                <w:kern w:val="0"/>
                <w:sz w:val="24"/>
                <w:szCs w:val="24"/>
              </w:rPr>
            </w:pPr>
            <w:r>
              <w:rPr>
                <w:rFonts w:hint="eastAsia" w:ascii="宋体" w:hAnsi="宋体" w:eastAsia="宋体"/>
                <w:kern w:val="0"/>
                <w:sz w:val="24"/>
                <w:szCs w:val="24"/>
              </w:rPr>
              <w:t>项目</w:t>
            </w:r>
          </w:p>
        </w:tc>
        <w:tc>
          <w:tcPr>
            <w:tcW w:w="3690" w:type="dxa"/>
          </w:tcPr>
          <w:p>
            <w:pPr>
              <w:tabs>
                <w:tab w:val="left" w:pos="0"/>
              </w:tabs>
              <w:spacing w:line="360" w:lineRule="auto"/>
              <w:jc w:val="center"/>
              <w:rPr>
                <w:rFonts w:ascii="宋体" w:hAnsi="宋体" w:eastAsia="宋体"/>
                <w:kern w:val="0"/>
                <w:sz w:val="24"/>
                <w:szCs w:val="24"/>
              </w:rPr>
            </w:pPr>
            <w:r>
              <w:rPr>
                <w:rFonts w:ascii="宋体" w:hAnsi="宋体" w:eastAsia="宋体"/>
                <w:kern w:val="0"/>
                <w:sz w:val="24"/>
                <w:szCs w:val="24"/>
              </w:rPr>
              <w:t>2022</w:t>
            </w:r>
            <w:r>
              <w:rPr>
                <w:rFonts w:hint="eastAsia" w:ascii="宋体" w:hAnsi="宋体" w:eastAsia="宋体"/>
                <w:kern w:val="0"/>
                <w:sz w:val="24"/>
                <w:szCs w:val="24"/>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0" w:type="dxa"/>
          </w:tcPr>
          <w:p>
            <w:pPr>
              <w:tabs>
                <w:tab w:val="left" w:pos="0"/>
              </w:tabs>
              <w:spacing w:line="360" w:lineRule="auto"/>
              <w:rPr>
                <w:rFonts w:ascii="宋体" w:hAnsi="宋体" w:eastAsia="宋体"/>
                <w:kern w:val="0"/>
                <w:sz w:val="24"/>
                <w:szCs w:val="24"/>
              </w:rPr>
            </w:pPr>
            <w:r>
              <w:rPr>
                <w:rFonts w:hint="eastAsia" w:ascii="宋体" w:hAnsi="宋体" w:eastAsia="宋体"/>
                <w:kern w:val="0"/>
                <w:sz w:val="24"/>
                <w:szCs w:val="24"/>
              </w:rPr>
              <w:t>发函金额占当期成本比例</w:t>
            </w:r>
          </w:p>
        </w:tc>
        <w:tc>
          <w:tcPr>
            <w:tcW w:w="3690" w:type="dxa"/>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90.38%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0" w:type="dxa"/>
          </w:tcPr>
          <w:p>
            <w:pPr>
              <w:tabs>
                <w:tab w:val="left" w:pos="0"/>
              </w:tabs>
              <w:spacing w:line="360" w:lineRule="auto"/>
              <w:rPr>
                <w:rFonts w:ascii="宋体" w:hAnsi="宋体" w:eastAsia="宋体"/>
                <w:kern w:val="0"/>
                <w:sz w:val="24"/>
                <w:szCs w:val="24"/>
              </w:rPr>
            </w:pPr>
            <w:r>
              <w:rPr>
                <w:rFonts w:hint="eastAsia" w:ascii="宋体" w:hAnsi="宋体" w:eastAsia="宋体"/>
                <w:kern w:val="0"/>
                <w:sz w:val="24"/>
                <w:szCs w:val="24"/>
              </w:rPr>
              <w:t>发函金额</w:t>
            </w:r>
          </w:p>
        </w:tc>
        <w:tc>
          <w:tcPr>
            <w:tcW w:w="3690" w:type="dxa"/>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505,569,370.07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0" w:type="dxa"/>
          </w:tcPr>
          <w:p>
            <w:pPr>
              <w:tabs>
                <w:tab w:val="left" w:pos="0"/>
              </w:tabs>
              <w:spacing w:line="360" w:lineRule="auto"/>
              <w:rPr>
                <w:rFonts w:ascii="宋体" w:hAnsi="宋体" w:eastAsia="宋体"/>
                <w:kern w:val="0"/>
                <w:sz w:val="24"/>
                <w:szCs w:val="24"/>
              </w:rPr>
            </w:pPr>
            <w:r>
              <w:rPr>
                <w:rFonts w:hint="eastAsia" w:ascii="宋体" w:hAnsi="宋体" w:eastAsia="宋体"/>
                <w:kern w:val="0"/>
                <w:sz w:val="24"/>
                <w:szCs w:val="24"/>
              </w:rPr>
              <w:t>回函确认金额</w:t>
            </w:r>
          </w:p>
        </w:tc>
        <w:tc>
          <w:tcPr>
            <w:tcW w:w="3690" w:type="dxa"/>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478,547,836.23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0" w:type="dxa"/>
          </w:tcPr>
          <w:p>
            <w:pPr>
              <w:tabs>
                <w:tab w:val="left" w:pos="0"/>
              </w:tabs>
              <w:spacing w:line="360" w:lineRule="auto"/>
              <w:rPr>
                <w:rFonts w:ascii="宋体" w:hAnsi="宋体" w:eastAsia="宋体"/>
                <w:kern w:val="0"/>
                <w:sz w:val="24"/>
                <w:szCs w:val="24"/>
              </w:rPr>
            </w:pPr>
            <w:r>
              <w:rPr>
                <w:rFonts w:hint="eastAsia" w:ascii="宋体" w:hAnsi="宋体" w:eastAsia="宋体"/>
                <w:kern w:val="0"/>
                <w:sz w:val="24"/>
                <w:szCs w:val="24"/>
              </w:rPr>
              <w:t>回函确认金额占发函比例</w:t>
            </w:r>
          </w:p>
        </w:tc>
        <w:tc>
          <w:tcPr>
            <w:tcW w:w="3690" w:type="dxa"/>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94.66%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0" w:type="dxa"/>
          </w:tcPr>
          <w:p>
            <w:pPr>
              <w:tabs>
                <w:tab w:val="left" w:pos="0"/>
              </w:tabs>
              <w:spacing w:line="360" w:lineRule="auto"/>
              <w:rPr>
                <w:rFonts w:ascii="宋体" w:hAnsi="宋体" w:eastAsia="宋体"/>
                <w:kern w:val="0"/>
                <w:sz w:val="24"/>
                <w:szCs w:val="24"/>
              </w:rPr>
            </w:pPr>
            <w:r>
              <w:rPr>
                <w:rFonts w:hint="eastAsia" w:ascii="宋体" w:hAnsi="宋体" w:eastAsia="宋体"/>
                <w:kern w:val="0"/>
                <w:sz w:val="24"/>
                <w:szCs w:val="24"/>
              </w:rPr>
              <w:t>替代测试确认金额</w:t>
            </w:r>
          </w:p>
        </w:tc>
        <w:tc>
          <w:tcPr>
            <w:tcW w:w="3690" w:type="dxa"/>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27,021,533.84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0" w:type="dxa"/>
          </w:tcPr>
          <w:p>
            <w:pPr>
              <w:tabs>
                <w:tab w:val="left" w:pos="0"/>
              </w:tabs>
              <w:spacing w:line="360" w:lineRule="auto"/>
              <w:rPr>
                <w:rFonts w:ascii="宋体" w:hAnsi="宋体" w:eastAsia="宋体"/>
                <w:kern w:val="0"/>
                <w:sz w:val="24"/>
                <w:szCs w:val="24"/>
              </w:rPr>
            </w:pPr>
            <w:r>
              <w:rPr>
                <w:rFonts w:hint="eastAsia" w:ascii="宋体" w:hAnsi="宋体" w:eastAsia="宋体"/>
                <w:kern w:val="0"/>
                <w:sz w:val="24"/>
                <w:szCs w:val="24"/>
              </w:rPr>
              <w:t>替代测试确认金额占比</w:t>
            </w:r>
          </w:p>
        </w:tc>
        <w:tc>
          <w:tcPr>
            <w:tcW w:w="3690" w:type="dxa"/>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5.34%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0" w:type="dxa"/>
          </w:tcPr>
          <w:p>
            <w:pPr>
              <w:tabs>
                <w:tab w:val="left" w:pos="0"/>
              </w:tabs>
              <w:spacing w:line="360" w:lineRule="auto"/>
              <w:rPr>
                <w:rFonts w:ascii="宋体" w:hAnsi="宋体" w:eastAsia="宋体"/>
                <w:kern w:val="0"/>
                <w:sz w:val="24"/>
                <w:szCs w:val="24"/>
              </w:rPr>
            </w:pPr>
            <w:r>
              <w:rPr>
                <w:rFonts w:hint="eastAsia" w:ascii="宋体" w:hAnsi="宋体" w:eastAsia="宋体"/>
                <w:kern w:val="0"/>
                <w:sz w:val="24"/>
                <w:szCs w:val="24"/>
              </w:rPr>
              <w:t>回函及替代测试确认金额占比</w:t>
            </w:r>
          </w:p>
        </w:tc>
        <w:tc>
          <w:tcPr>
            <w:tcW w:w="3690" w:type="dxa"/>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90.38%</w:t>
            </w:r>
          </w:p>
        </w:tc>
      </w:tr>
    </w:tbl>
    <w:p>
      <w:pPr>
        <w:spacing w:line="360" w:lineRule="auto"/>
        <w:ind w:left="424" w:leftChars="202"/>
        <w:rPr>
          <w:rFonts w:hint="eastAsia" w:ascii="宋体" w:hAnsi="宋体" w:eastAsia="宋体"/>
          <w:sz w:val="24"/>
          <w:szCs w:val="24"/>
        </w:rPr>
      </w:pPr>
      <w:r>
        <w:rPr>
          <w:rFonts w:hint="eastAsia" w:ascii="宋体" w:hAnsi="宋体" w:eastAsia="宋体"/>
          <w:sz w:val="24"/>
          <w:szCs w:val="24"/>
        </w:rPr>
        <w:t>客户函证执行情况如下：</w:t>
      </w:r>
    </w:p>
    <w:p>
      <w:pPr>
        <w:tabs>
          <w:tab w:val="left" w:pos="0"/>
        </w:tabs>
        <w:spacing w:line="360" w:lineRule="auto"/>
        <w:ind w:left="424" w:leftChars="202" w:firstLine="424" w:firstLineChars="177"/>
        <w:jc w:val="right"/>
        <w:rPr>
          <w:rFonts w:hint="eastAsia" w:ascii="宋体" w:hAnsi="宋体" w:eastAsia="宋体"/>
          <w:sz w:val="24"/>
          <w:szCs w:val="24"/>
        </w:rPr>
      </w:pPr>
      <w:r>
        <w:rPr>
          <w:rFonts w:hint="eastAsia" w:ascii="宋体" w:hAnsi="宋体" w:eastAsia="宋体"/>
          <w:sz w:val="24"/>
          <w:szCs w:val="24"/>
          <w:lang w:val="en-US" w:eastAsia="zh-CN"/>
        </w:rPr>
        <w:t>单位：元</w:t>
      </w:r>
    </w:p>
    <w:tbl>
      <w:tblPr>
        <w:tblStyle w:val="8"/>
        <w:tblW w:w="8079" w:type="dxa"/>
        <w:tblInd w:w="4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4"/>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94" w:type="dxa"/>
            <w:shd w:val="clear" w:color="auto" w:fill="auto"/>
            <w:noWrap/>
            <w:vAlign w:val="bottom"/>
          </w:tcPr>
          <w:p>
            <w:pPr>
              <w:tabs>
                <w:tab w:val="left" w:pos="0"/>
              </w:tabs>
              <w:spacing w:line="360" w:lineRule="auto"/>
              <w:jc w:val="center"/>
              <w:rPr>
                <w:rFonts w:ascii="宋体" w:hAnsi="宋体" w:eastAsia="宋体"/>
                <w:kern w:val="0"/>
                <w:sz w:val="24"/>
                <w:szCs w:val="24"/>
              </w:rPr>
            </w:pPr>
            <w:r>
              <w:rPr>
                <w:rFonts w:hint="eastAsia" w:ascii="宋体" w:hAnsi="宋体" w:eastAsia="宋体"/>
                <w:kern w:val="0"/>
                <w:sz w:val="24"/>
                <w:szCs w:val="24"/>
              </w:rPr>
              <w:t>项目</w:t>
            </w:r>
          </w:p>
        </w:tc>
        <w:tc>
          <w:tcPr>
            <w:tcW w:w="3685" w:type="dxa"/>
            <w:shd w:val="clear" w:color="auto" w:fill="auto"/>
            <w:noWrap/>
            <w:vAlign w:val="center"/>
          </w:tcPr>
          <w:p>
            <w:pPr>
              <w:tabs>
                <w:tab w:val="left" w:pos="0"/>
              </w:tabs>
              <w:spacing w:line="360" w:lineRule="auto"/>
              <w:jc w:val="center"/>
              <w:rPr>
                <w:rFonts w:ascii="宋体" w:hAnsi="宋体" w:eastAsia="宋体"/>
                <w:kern w:val="0"/>
                <w:sz w:val="24"/>
                <w:szCs w:val="24"/>
              </w:rPr>
            </w:pPr>
            <w:r>
              <w:rPr>
                <w:rFonts w:hint="eastAsia" w:ascii="宋体" w:hAnsi="宋体" w:eastAsia="宋体"/>
                <w:kern w:val="0"/>
                <w:sz w:val="24"/>
                <w:szCs w:val="24"/>
              </w:rPr>
              <w:t>2022年度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94" w:type="dxa"/>
            <w:shd w:val="clear" w:color="auto" w:fill="auto"/>
            <w:noWrap/>
            <w:vAlign w:val="bottom"/>
          </w:tcPr>
          <w:p>
            <w:pPr>
              <w:tabs>
                <w:tab w:val="left" w:pos="0"/>
              </w:tabs>
              <w:spacing w:line="360" w:lineRule="auto"/>
              <w:rPr>
                <w:rFonts w:ascii="宋体" w:hAnsi="宋体" w:eastAsia="宋体"/>
                <w:kern w:val="0"/>
                <w:sz w:val="24"/>
                <w:szCs w:val="24"/>
              </w:rPr>
            </w:pPr>
            <w:r>
              <w:rPr>
                <w:rFonts w:hint="eastAsia" w:ascii="宋体" w:hAnsi="宋体" w:eastAsia="宋体"/>
                <w:kern w:val="0"/>
                <w:sz w:val="24"/>
                <w:szCs w:val="24"/>
              </w:rPr>
              <w:t>发函金额占当期收入比例</w:t>
            </w:r>
          </w:p>
        </w:tc>
        <w:tc>
          <w:tcPr>
            <w:tcW w:w="3685" w:type="dxa"/>
            <w:shd w:val="clear" w:color="auto" w:fill="auto"/>
            <w:noWrap/>
            <w:vAlign w:val="center"/>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94" w:type="dxa"/>
            <w:shd w:val="clear" w:color="auto" w:fill="auto"/>
            <w:noWrap/>
            <w:vAlign w:val="bottom"/>
          </w:tcPr>
          <w:p>
            <w:pPr>
              <w:tabs>
                <w:tab w:val="left" w:pos="0"/>
              </w:tabs>
              <w:spacing w:line="360" w:lineRule="auto"/>
              <w:rPr>
                <w:rFonts w:ascii="宋体" w:hAnsi="宋体" w:eastAsia="宋体"/>
                <w:kern w:val="0"/>
                <w:sz w:val="24"/>
                <w:szCs w:val="24"/>
              </w:rPr>
            </w:pPr>
            <w:r>
              <w:rPr>
                <w:rFonts w:hint="eastAsia" w:ascii="宋体" w:hAnsi="宋体" w:eastAsia="宋体"/>
                <w:kern w:val="0"/>
                <w:sz w:val="24"/>
                <w:szCs w:val="24"/>
              </w:rPr>
              <w:t>发函金额</w:t>
            </w:r>
          </w:p>
        </w:tc>
        <w:tc>
          <w:tcPr>
            <w:tcW w:w="3685" w:type="dxa"/>
            <w:shd w:val="clear" w:color="auto" w:fill="auto"/>
            <w:noWrap/>
            <w:vAlign w:val="center"/>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585,570,639.47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94" w:type="dxa"/>
            <w:shd w:val="clear" w:color="auto" w:fill="auto"/>
            <w:noWrap/>
            <w:vAlign w:val="bottom"/>
          </w:tcPr>
          <w:p>
            <w:pPr>
              <w:tabs>
                <w:tab w:val="left" w:pos="0"/>
              </w:tabs>
              <w:spacing w:line="360" w:lineRule="auto"/>
              <w:rPr>
                <w:rFonts w:ascii="宋体" w:hAnsi="宋体" w:eastAsia="宋体"/>
                <w:kern w:val="0"/>
                <w:sz w:val="24"/>
                <w:szCs w:val="24"/>
              </w:rPr>
            </w:pPr>
            <w:r>
              <w:rPr>
                <w:rFonts w:hint="eastAsia" w:ascii="宋体" w:hAnsi="宋体" w:eastAsia="宋体"/>
                <w:kern w:val="0"/>
                <w:sz w:val="24"/>
                <w:szCs w:val="24"/>
              </w:rPr>
              <w:t>回函确认金额</w:t>
            </w:r>
          </w:p>
        </w:tc>
        <w:tc>
          <w:tcPr>
            <w:tcW w:w="3685" w:type="dxa"/>
            <w:shd w:val="clear" w:color="auto" w:fill="auto"/>
            <w:noWrap/>
            <w:vAlign w:val="center"/>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579,619,355.54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94" w:type="dxa"/>
            <w:shd w:val="clear" w:color="auto" w:fill="auto"/>
            <w:noWrap/>
            <w:vAlign w:val="bottom"/>
          </w:tcPr>
          <w:p>
            <w:pPr>
              <w:tabs>
                <w:tab w:val="left" w:pos="0"/>
              </w:tabs>
              <w:spacing w:line="360" w:lineRule="auto"/>
              <w:rPr>
                <w:rFonts w:ascii="宋体" w:hAnsi="宋体" w:eastAsia="宋体"/>
                <w:kern w:val="0"/>
                <w:sz w:val="24"/>
                <w:szCs w:val="24"/>
              </w:rPr>
            </w:pPr>
            <w:r>
              <w:rPr>
                <w:rFonts w:hint="eastAsia" w:ascii="宋体" w:hAnsi="宋体" w:eastAsia="宋体"/>
                <w:kern w:val="0"/>
                <w:sz w:val="24"/>
                <w:szCs w:val="24"/>
              </w:rPr>
              <w:t>回函确认金额占发函比例</w:t>
            </w:r>
          </w:p>
        </w:tc>
        <w:tc>
          <w:tcPr>
            <w:tcW w:w="3685" w:type="dxa"/>
            <w:shd w:val="clear" w:color="auto" w:fill="auto"/>
            <w:noWrap/>
            <w:vAlign w:val="center"/>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98.98%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94" w:type="dxa"/>
            <w:shd w:val="clear" w:color="auto" w:fill="auto"/>
            <w:noWrap/>
            <w:vAlign w:val="bottom"/>
          </w:tcPr>
          <w:p>
            <w:pPr>
              <w:tabs>
                <w:tab w:val="left" w:pos="0"/>
              </w:tabs>
              <w:spacing w:line="360" w:lineRule="auto"/>
              <w:rPr>
                <w:rFonts w:ascii="宋体" w:hAnsi="宋体" w:eastAsia="宋体"/>
                <w:sz w:val="24"/>
                <w:szCs w:val="24"/>
              </w:rPr>
            </w:pPr>
            <w:r>
              <w:rPr>
                <w:rFonts w:hint="eastAsia" w:ascii="宋体" w:hAnsi="宋体" w:eastAsia="宋体"/>
                <w:sz w:val="24"/>
                <w:szCs w:val="24"/>
              </w:rPr>
              <w:t>替代测试确认金额</w:t>
            </w:r>
          </w:p>
        </w:tc>
        <w:tc>
          <w:tcPr>
            <w:tcW w:w="3685" w:type="dxa"/>
            <w:shd w:val="clear" w:color="auto" w:fill="auto"/>
            <w:noWrap/>
            <w:vAlign w:val="center"/>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5,951,283.93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94" w:type="dxa"/>
            <w:shd w:val="clear" w:color="auto" w:fill="auto"/>
            <w:noWrap/>
            <w:vAlign w:val="bottom"/>
          </w:tcPr>
          <w:p>
            <w:pPr>
              <w:tabs>
                <w:tab w:val="left" w:pos="0"/>
              </w:tabs>
              <w:spacing w:line="360" w:lineRule="auto"/>
              <w:rPr>
                <w:rFonts w:ascii="宋体" w:hAnsi="宋体" w:eastAsia="宋体"/>
                <w:sz w:val="24"/>
                <w:szCs w:val="24"/>
              </w:rPr>
            </w:pPr>
            <w:r>
              <w:rPr>
                <w:rFonts w:hint="eastAsia" w:ascii="宋体" w:hAnsi="宋体" w:eastAsia="宋体"/>
                <w:sz w:val="24"/>
                <w:szCs w:val="24"/>
              </w:rPr>
              <w:t>替代测试确认金额占比</w:t>
            </w:r>
          </w:p>
        </w:tc>
        <w:tc>
          <w:tcPr>
            <w:tcW w:w="3685" w:type="dxa"/>
            <w:shd w:val="clear" w:color="auto" w:fill="auto"/>
            <w:noWrap/>
            <w:vAlign w:val="center"/>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4394" w:type="dxa"/>
            <w:shd w:val="clear" w:color="auto" w:fill="auto"/>
            <w:noWrap/>
            <w:vAlign w:val="bottom"/>
          </w:tcPr>
          <w:p>
            <w:pPr>
              <w:tabs>
                <w:tab w:val="left" w:pos="0"/>
              </w:tabs>
              <w:spacing w:line="360" w:lineRule="auto"/>
              <w:rPr>
                <w:rFonts w:ascii="宋体" w:hAnsi="宋体" w:eastAsia="宋体"/>
                <w:sz w:val="24"/>
                <w:szCs w:val="24"/>
              </w:rPr>
            </w:pPr>
            <w:r>
              <w:rPr>
                <w:rFonts w:hint="eastAsia" w:ascii="宋体" w:hAnsi="宋体" w:eastAsia="宋体"/>
                <w:sz w:val="24"/>
                <w:szCs w:val="24"/>
              </w:rPr>
              <w:t>回函及替代测试确认金额占比</w:t>
            </w:r>
          </w:p>
        </w:tc>
        <w:tc>
          <w:tcPr>
            <w:tcW w:w="3685" w:type="dxa"/>
            <w:shd w:val="clear" w:color="auto" w:fill="auto"/>
            <w:noWrap/>
            <w:vAlign w:val="center"/>
          </w:tcPr>
          <w:p>
            <w:pPr>
              <w:tabs>
                <w:tab w:val="left" w:pos="0"/>
              </w:tabs>
              <w:spacing w:line="360" w:lineRule="auto"/>
              <w:jc w:val="right"/>
              <w:rPr>
                <w:rFonts w:ascii="宋体" w:hAnsi="宋体" w:eastAsia="宋体"/>
                <w:kern w:val="0"/>
                <w:sz w:val="24"/>
                <w:szCs w:val="24"/>
              </w:rPr>
            </w:pPr>
            <w:r>
              <w:rPr>
                <w:rFonts w:ascii="宋体" w:hAnsi="宋体" w:eastAsia="宋体"/>
                <w:kern w:val="0"/>
                <w:sz w:val="24"/>
                <w:szCs w:val="24"/>
              </w:rPr>
              <w:t>100.00%</w:t>
            </w:r>
          </w:p>
        </w:tc>
      </w:tr>
    </w:tbl>
    <w:p>
      <w:pPr>
        <w:tabs>
          <w:tab w:val="left" w:pos="0"/>
        </w:tabs>
        <w:spacing w:line="360" w:lineRule="auto"/>
        <w:ind w:left="424" w:leftChars="202" w:firstLine="480" w:firstLineChars="200"/>
        <w:rPr>
          <w:rFonts w:ascii="宋体" w:hAnsi="宋体" w:eastAsia="宋体"/>
          <w:sz w:val="24"/>
          <w:szCs w:val="24"/>
        </w:rPr>
      </w:pPr>
      <w:r>
        <w:rPr>
          <w:rFonts w:hint="eastAsia" w:ascii="宋体" w:hAnsi="宋体" w:eastAsia="宋体"/>
          <w:sz w:val="24"/>
          <w:szCs w:val="24"/>
        </w:rPr>
        <w:t>经核查，会计师认为：</w:t>
      </w:r>
    </w:p>
    <w:p>
      <w:pPr>
        <w:tabs>
          <w:tab w:val="left" w:pos="0"/>
        </w:tabs>
        <w:spacing w:line="360" w:lineRule="auto"/>
        <w:ind w:left="424" w:leftChars="202" w:firstLine="480" w:firstLineChars="200"/>
        <w:rPr>
          <w:rFonts w:ascii="宋体" w:hAnsi="宋体" w:eastAsia="宋体"/>
          <w:sz w:val="24"/>
          <w:szCs w:val="24"/>
        </w:rPr>
      </w:pPr>
      <w:r>
        <w:rPr>
          <w:rFonts w:hint="eastAsia" w:ascii="宋体" w:hAnsi="宋体" w:eastAsia="宋体"/>
          <w:sz w:val="24"/>
          <w:szCs w:val="24"/>
        </w:rPr>
        <w:t>（1）公司贸易业务的会计处理在重大方面符合企业会计准则的规定；</w:t>
      </w:r>
    </w:p>
    <w:p>
      <w:pPr>
        <w:tabs>
          <w:tab w:val="left" w:pos="0"/>
        </w:tabs>
        <w:spacing w:line="360" w:lineRule="auto"/>
        <w:ind w:left="424" w:leftChars="202" w:firstLine="480" w:firstLineChars="200"/>
        <w:rPr>
          <w:rFonts w:ascii="宋体" w:hAnsi="宋体" w:eastAsia="宋体"/>
          <w:sz w:val="24"/>
          <w:szCs w:val="24"/>
        </w:rPr>
      </w:pPr>
      <w:r>
        <w:rPr>
          <w:rFonts w:hint="eastAsia" w:ascii="宋体" w:hAnsi="宋体" w:eastAsia="宋体"/>
          <w:sz w:val="24"/>
          <w:szCs w:val="24"/>
        </w:rPr>
        <w:t>（2）公司贸易业务的主要供应商和客户之间不存在关联方关系；</w:t>
      </w:r>
    </w:p>
    <w:p>
      <w:pPr>
        <w:tabs>
          <w:tab w:val="left" w:pos="0"/>
        </w:tabs>
        <w:spacing w:line="360" w:lineRule="auto"/>
        <w:ind w:left="424" w:leftChars="202" w:firstLine="480" w:firstLineChars="200"/>
        <w:rPr>
          <w:rFonts w:ascii="宋体" w:hAnsi="宋体" w:eastAsia="宋体"/>
          <w:sz w:val="24"/>
          <w:szCs w:val="24"/>
        </w:rPr>
      </w:pPr>
      <w:r>
        <w:rPr>
          <w:rFonts w:hint="eastAsia" w:ascii="宋体" w:hAnsi="宋体" w:eastAsia="宋体"/>
          <w:sz w:val="24"/>
          <w:szCs w:val="24"/>
        </w:rPr>
        <w:t>（3）公司贸易业务资金周转均在信用期内，未见重大逾期风险，不能回收的风险较小。</w:t>
      </w:r>
    </w:p>
    <w:p>
      <w:pPr>
        <w:tabs>
          <w:tab w:val="left" w:pos="567"/>
        </w:tabs>
        <w:spacing w:line="360" w:lineRule="auto"/>
        <w:ind w:left="424" w:leftChars="202" w:firstLine="480" w:firstLineChars="200"/>
        <w:rPr>
          <w:rFonts w:asciiTheme="minorEastAsia" w:hAnsiTheme="minorEastAsia"/>
          <w:sz w:val="24"/>
          <w:szCs w:val="24"/>
        </w:rPr>
      </w:pPr>
    </w:p>
    <w:p>
      <w:pPr>
        <w:tabs>
          <w:tab w:val="left" w:pos="567"/>
        </w:tabs>
        <w:spacing w:line="360" w:lineRule="auto"/>
        <w:ind w:firstLine="482" w:firstLineChars="200"/>
        <w:outlineLvl w:val="0"/>
        <w:rPr>
          <w:rFonts w:asciiTheme="minorEastAsia" w:hAnsiTheme="minorEastAsia"/>
          <w:b/>
          <w:sz w:val="24"/>
          <w:szCs w:val="24"/>
        </w:rPr>
      </w:pPr>
      <w:r>
        <w:rPr>
          <w:rFonts w:asciiTheme="minorEastAsia" w:hAnsiTheme="minorEastAsia"/>
          <w:b/>
          <w:sz w:val="24"/>
          <w:szCs w:val="24"/>
        </w:rPr>
        <w:t>四、根据年度报告及前期公告，公司于2021年设立全资子公司江苏吴中美学生物科技有限公司(以下简称吴中美学)，并收购成都尚礼汇美生物科技有限公司(以下简称尚礼汇美)、达透医疗器械(深圳)有限公司(以下简称达透医疗)，开始涉及医美业务。其中，尚礼汇美为公司持股60%的控股子公司，达透医疗为公司持股51%的联营企业。目前公司医美类产品管线的5个产品均处于研究或临床阶段，吴中美学、尚礼汇美和达透医疗合计员工人数超过30人。报告期内医美业务产生营业收入27.25万元，毛利率48.16%；尚礼汇美、吴中美学分别实现净利润-556.62万元、-297.78万元，公司对达透医疗投资损益为-22.08万元，未计提长期股权投资减值准备。在前期对外投资设立全资子公司等公告中，公司称以医美为两大核心产业之一、推进医美产业战略落地和规模化运营布局等。</w:t>
      </w:r>
    </w:p>
    <w:p>
      <w:pPr>
        <w:tabs>
          <w:tab w:val="left" w:pos="567"/>
        </w:tabs>
        <w:spacing w:line="360" w:lineRule="auto"/>
        <w:ind w:firstLine="482" w:firstLineChars="200"/>
        <w:rPr>
          <w:rFonts w:asciiTheme="minorEastAsia" w:hAnsiTheme="minorEastAsia"/>
          <w:b/>
          <w:sz w:val="24"/>
          <w:szCs w:val="24"/>
        </w:rPr>
      </w:pPr>
      <w:r>
        <w:rPr>
          <w:rFonts w:asciiTheme="minorEastAsia" w:hAnsiTheme="minorEastAsia"/>
          <w:b/>
          <w:sz w:val="24"/>
          <w:szCs w:val="24"/>
        </w:rPr>
        <w:t>请公司：(</w:t>
      </w:r>
      <w:r>
        <w:rPr>
          <w:rFonts w:hint="eastAsia" w:asciiTheme="minorEastAsia" w:hAnsiTheme="minorEastAsia"/>
          <w:b/>
          <w:sz w:val="24"/>
          <w:szCs w:val="24"/>
        </w:rPr>
        <w:t>一</w:t>
      </w:r>
      <w:r>
        <w:rPr>
          <w:rFonts w:asciiTheme="minorEastAsia" w:hAnsiTheme="minorEastAsia"/>
          <w:b/>
          <w:sz w:val="24"/>
          <w:szCs w:val="24"/>
        </w:rPr>
        <w:t>)结合医美业务的员工人数、员工资质、研发投入金额及占比、研发进展情况、市场前景等，说明公司开展相关业务的优势以及后续经营安排；(</w:t>
      </w:r>
      <w:r>
        <w:rPr>
          <w:rFonts w:hint="eastAsia" w:asciiTheme="minorEastAsia" w:hAnsiTheme="minorEastAsia"/>
          <w:b/>
          <w:sz w:val="24"/>
          <w:szCs w:val="24"/>
        </w:rPr>
        <w:t>二</w:t>
      </w:r>
      <w:r>
        <w:rPr>
          <w:rFonts w:asciiTheme="minorEastAsia" w:hAnsiTheme="minorEastAsia"/>
          <w:b/>
          <w:sz w:val="24"/>
          <w:szCs w:val="24"/>
        </w:rPr>
        <w:t>)补充披露医美业务营业收入涉及的产品、客户，对应金额，并说明在医美类产品均处于研究或临床阶段的情况下，产生营业收入的原因；(</w:t>
      </w:r>
      <w:r>
        <w:rPr>
          <w:rFonts w:hint="eastAsia" w:asciiTheme="minorEastAsia" w:hAnsiTheme="minorEastAsia"/>
          <w:b/>
          <w:sz w:val="24"/>
          <w:szCs w:val="24"/>
        </w:rPr>
        <w:t>三</w:t>
      </w:r>
      <w:r>
        <w:rPr>
          <w:rFonts w:asciiTheme="minorEastAsia" w:hAnsiTheme="minorEastAsia"/>
          <w:b/>
          <w:sz w:val="24"/>
          <w:szCs w:val="24"/>
        </w:rPr>
        <w:t>)结合达透医疗本期主要财务数据及经营情况，说明未计提长期股权投资减值准备的合理性；(</w:t>
      </w:r>
      <w:r>
        <w:rPr>
          <w:rFonts w:hint="eastAsia" w:asciiTheme="minorEastAsia" w:hAnsiTheme="minorEastAsia"/>
          <w:b/>
          <w:sz w:val="24"/>
          <w:szCs w:val="24"/>
        </w:rPr>
        <w:t>四</w:t>
      </w:r>
      <w:r>
        <w:rPr>
          <w:rFonts w:asciiTheme="minorEastAsia" w:hAnsiTheme="minorEastAsia"/>
          <w:b/>
          <w:sz w:val="24"/>
          <w:szCs w:val="24"/>
        </w:rPr>
        <w:t>)结合第(</w:t>
      </w:r>
      <w:r>
        <w:rPr>
          <w:rFonts w:hint="eastAsia" w:asciiTheme="minorEastAsia" w:hAnsiTheme="minorEastAsia"/>
          <w:b/>
          <w:sz w:val="24"/>
          <w:szCs w:val="24"/>
        </w:rPr>
        <w:t>一</w:t>
      </w:r>
      <w:r>
        <w:rPr>
          <w:rFonts w:asciiTheme="minorEastAsia" w:hAnsiTheme="minorEastAsia"/>
          <w:b/>
          <w:sz w:val="24"/>
          <w:szCs w:val="24"/>
        </w:rPr>
        <w:t>)(</w:t>
      </w:r>
      <w:r>
        <w:rPr>
          <w:rFonts w:hint="eastAsia" w:asciiTheme="minorEastAsia" w:hAnsiTheme="minorEastAsia"/>
          <w:b/>
          <w:sz w:val="24"/>
          <w:szCs w:val="24"/>
        </w:rPr>
        <w:t>二</w:t>
      </w:r>
      <w:r>
        <w:rPr>
          <w:rFonts w:asciiTheme="minorEastAsia" w:hAnsiTheme="minorEastAsia"/>
          <w:b/>
          <w:sz w:val="24"/>
          <w:szCs w:val="24"/>
        </w:rPr>
        <w:t>)问及医美业务本期亏损情况，对照前期公告对医美业务规划等相关表述，说明截至目前尚未达成相关愿景的原因，前期医美相关披露事项是否客观、审慎，风险提示是否到位。请会计师对问题(</w:t>
      </w:r>
      <w:r>
        <w:rPr>
          <w:rFonts w:hint="eastAsia" w:asciiTheme="minorEastAsia" w:hAnsiTheme="minorEastAsia"/>
          <w:b/>
          <w:sz w:val="24"/>
          <w:szCs w:val="24"/>
        </w:rPr>
        <w:t>二</w:t>
      </w:r>
      <w:r>
        <w:rPr>
          <w:rFonts w:asciiTheme="minorEastAsia" w:hAnsiTheme="minorEastAsia"/>
          <w:b/>
          <w:sz w:val="24"/>
          <w:szCs w:val="24"/>
        </w:rPr>
        <w:t>)和(</w:t>
      </w:r>
      <w:r>
        <w:rPr>
          <w:rFonts w:hint="eastAsia" w:asciiTheme="minorEastAsia" w:hAnsiTheme="minorEastAsia"/>
          <w:b/>
          <w:sz w:val="24"/>
          <w:szCs w:val="24"/>
        </w:rPr>
        <w:t>三</w:t>
      </w:r>
      <w:r>
        <w:rPr>
          <w:rFonts w:asciiTheme="minorEastAsia" w:hAnsiTheme="minorEastAsia"/>
          <w:b/>
          <w:sz w:val="24"/>
          <w:szCs w:val="24"/>
        </w:rPr>
        <w:t>)发表意见。请全体董监高对问题(</w:t>
      </w:r>
      <w:r>
        <w:rPr>
          <w:rFonts w:hint="eastAsia" w:asciiTheme="minorEastAsia" w:hAnsiTheme="minorEastAsia"/>
          <w:b/>
          <w:sz w:val="24"/>
          <w:szCs w:val="24"/>
        </w:rPr>
        <w:t>四</w:t>
      </w:r>
      <w:r>
        <w:rPr>
          <w:rFonts w:asciiTheme="minorEastAsia" w:hAnsiTheme="minorEastAsia"/>
          <w:b/>
          <w:sz w:val="24"/>
          <w:szCs w:val="24"/>
        </w:rPr>
        <w:t>)发表意见。</w:t>
      </w:r>
    </w:p>
    <w:p>
      <w:pPr>
        <w:tabs>
          <w:tab w:val="left" w:pos="567"/>
        </w:tabs>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公司回复：</w:t>
      </w: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（一）</w:t>
      </w:r>
      <w:r>
        <w:rPr>
          <w:rFonts w:asciiTheme="minorEastAsia" w:hAnsiTheme="minorEastAsia"/>
          <w:b/>
          <w:sz w:val="24"/>
          <w:szCs w:val="24"/>
        </w:rPr>
        <w:t>结合医美业务的员工人数、员工资质、研发投入金额及占比、研发进展情况、市场前景等，说明公司开展相关业务的优势以及后续经营安排</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1、员工人数和资质:</w:t>
      </w:r>
    </w:p>
    <w:p>
      <w:pPr>
        <w:spacing w:line="360" w:lineRule="auto"/>
        <w:ind w:firstLine="480"/>
        <w:rPr>
          <w:rFonts w:asciiTheme="minorEastAsia" w:hAnsiTheme="minorEastAsia"/>
          <w:sz w:val="24"/>
          <w:szCs w:val="24"/>
        </w:rPr>
      </w:pPr>
      <w:r>
        <w:rPr>
          <w:rFonts w:hint="eastAsia" w:asciiTheme="minorEastAsia" w:hAnsiTheme="minorEastAsia"/>
          <w:sz w:val="24"/>
          <w:szCs w:val="24"/>
        </w:rPr>
        <w:t>截至目前，公司下属涉及医美生科业务的子公司吴中美学</w:t>
      </w:r>
      <w:r>
        <w:rPr>
          <w:rFonts w:asciiTheme="minorEastAsia" w:hAnsiTheme="minorEastAsia"/>
          <w:sz w:val="24"/>
          <w:szCs w:val="24"/>
        </w:rPr>
        <w:t>30</w:t>
      </w:r>
      <w:r>
        <w:rPr>
          <w:rFonts w:hint="eastAsia" w:asciiTheme="minorEastAsia" w:hAnsiTheme="minorEastAsia"/>
          <w:sz w:val="24"/>
          <w:szCs w:val="24"/>
        </w:rPr>
        <w:t>人、尚礼汇美3人和达透医疗4人，合计员工人数为3</w:t>
      </w:r>
      <w:r>
        <w:rPr>
          <w:rFonts w:asciiTheme="minorEastAsia" w:hAnsiTheme="minorEastAsia"/>
          <w:sz w:val="24"/>
          <w:szCs w:val="24"/>
        </w:rPr>
        <w:t>7</w:t>
      </w:r>
      <w:r>
        <w:rPr>
          <w:rFonts w:hint="eastAsia" w:asciiTheme="minorEastAsia" w:hAnsiTheme="minorEastAsia"/>
          <w:sz w:val="24"/>
          <w:szCs w:val="24"/>
        </w:rPr>
        <w:t>人。人数构成如下：</w:t>
      </w:r>
    </w:p>
    <w:tbl>
      <w:tblPr>
        <w:tblStyle w:val="23"/>
        <w:tblW w:w="8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3205"/>
        <w:gridCol w:w="2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979"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公司</w:t>
            </w:r>
          </w:p>
        </w:tc>
        <w:tc>
          <w:tcPr>
            <w:tcW w:w="3205"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人数</w:t>
            </w:r>
          </w:p>
        </w:tc>
        <w:tc>
          <w:tcPr>
            <w:tcW w:w="2360"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979"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吴中美学</w:t>
            </w:r>
          </w:p>
        </w:tc>
        <w:tc>
          <w:tcPr>
            <w:tcW w:w="3205"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30</w:t>
            </w:r>
          </w:p>
        </w:tc>
        <w:tc>
          <w:tcPr>
            <w:tcW w:w="2360"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979"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尚礼汇美</w:t>
            </w:r>
          </w:p>
        </w:tc>
        <w:tc>
          <w:tcPr>
            <w:tcW w:w="3205"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c>
          <w:tcPr>
            <w:tcW w:w="2360"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979"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达透医疗</w:t>
            </w:r>
          </w:p>
        </w:tc>
        <w:tc>
          <w:tcPr>
            <w:tcW w:w="3205"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2360" w:type="dxa"/>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r>
    </w:tbl>
    <w:p>
      <w:pPr>
        <w:spacing w:line="360" w:lineRule="auto"/>
        <w:rPr>
          <w:rFonts w:asciiTheme="minorEastAsia" w:hAnsiTheme="minorEastAsia"/>
          <w:sz w:val="24"/>
          <w:szCs w:val="24"/>
        </w:rPr>
      </w:pPr>
      <w:r>
        <w:rPr>
          <w:rFonts w:hint="eastAsia" w:asciiTheme="minorEastAsia" w:hAnsiTheme="minorEastAsia"/>
          <w:sz w:val="24"/>
          <w:szCs w:val="24"/>
        </w:rPr>
        <w:t>其中</w:t>
      </w:r>
      <w:r>
        <w:rPr>
          <w:rFonts w:asciiTheme="minorEastAsia" w:hAnsiTheme="minorEastAsia"/>
          <w:sz w:val="24"/>
          <w:szCs w:val="24"/>
        </w:rPr>
        <w:t>研发、生产、销售职能分工人数如下：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2"/>
        <w:gridCol w:w="3197"/>
        <w:gridCol w:w="2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55"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专业构成</w:t>
            </w:r>
          </w:p>
        </w:tc>
        <w:tc>
          <w:tcPr>
            <w:tcW w:w="1875"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人数</w:t>
            </w:r>
          </w:p>
        </w:tc>
        <w:tc>
          <w:tcPr>
            <w:tcW w:w="1368"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55"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研发人员</w:t>
            </w:r>
          </w:p>
        </w:tc>
        <w:tc>
          <w:tcPr>
            <w:tcW w:w="1875"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7</w:t>
            </w:r>
          </w:p>
        </w:tc>
        <w:tc>
          <w:tcPr>
            <w:tcW w:w="1368"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55"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生产人员</w:t>
            </w:r>
          </w:p>
        </w:tc>
        <w:tc>
          <w:tcPr>
            <w:tcW w:w="1875"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w:t>
            </w:r>
          </w:p>
        </w:tc>
        <w:tc>
          <w:tcPr>
            <w:tcW w:w="1368"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55"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营销人员</w:t>
            </w:r>
          </w:p>
        </w:tc>
        <w:tc>
          <w:tcPr>
            <w:tcW w:w="1875"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13</w:t>
            </w:r>
          </w:p>
        </w:tc>
        <w:tc>
          <w:tcPr>
            <w:tcW w:w="1368"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46%</w:t>
            </w:r>
          </w:p>
        </w:tc>
      </w:tr>
    </w:tbl>
    <w:p>
      <w:pPr>
        <w:spacing w:line="360" w:lineRule="auto"/>
        <w:rPr>
          <w:rFonts w:asciiTheme="minorEastAsia" w:hAnsiTheme="minorEastAsia"/>
          <w:sz w:val="24"/>
          <w:szCs w:val="24"/>
        </w:rPr>
      </w:pPr>
      <w:r>
        <w:rPr>
          <w:rFonts w:asciiTheme="minorEastAsia" w:hAnsiTheme="minorEastAsia"/>
          <w:sz w:val="24"/>
          <w:szCs w:val="24"/>
        </w:rPr>
        <w:t>人员学历结构如下：</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4"/>
        <w:gridCol w:w="3225"/>
        <w:gridCol w:w="2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56"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学历</w:t>
            </w:r>
          </w:p>
        </w:tc>
        <w:tc>
          <w:tcPr>
            <w:tcW w:w="1892"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人数</w:t>
            </w:r>
          </w:p>
        </w:tc>
        <w:tc>
          <w:tcPr>
            <w:tcW w:w="1351"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56"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博士</w:t>
            </w:r>
          </w:p>
        </w:tc>
        <w:tc>
          <w:tcPr>
            <w:tcW w:w="1892"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1351"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56"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硕士</w:t>
            </w:r>
          </w:p>
        </w:tc>
        <w:tc>
          <w:tcPr>
            <w:tcW w:w="1892"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9</w:t>
            </w:r>
          </w:p>
        </w:tc>
        <w:tc>
          <w:tcPr>
            <w:tcW w:w="1351"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756" w:type="pct"/>
            <w:noWrap/>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本科</w:t>
            </w:r>
          </w:p>
        </w:tc>
        <w:tc>
          <w:tcPr>
            <w:tcW w:w="1892" w:type="pct"/>
            <w:noWrap/>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21</w:t>
            </w:r>
          </w:p>
        </w:tc>
        <w:tc>
          <w:tcPr>
            <w:tcW w:w="1351" w:type="pct"/>
            <w:noWrap/>
          </w:tcPr>
          <w:p>
            <w:pPr>
              <w:widowControl/>
              <w:jc w:val="center"/>
              <w:rPr>
                <w:rFonts w:ascii="宋体" w:hAnsi="宋体" w:eastAsia="宋体" w:cs="宋体"/>
                <w:color w:val="000000"/>
                <w:kern w:val="0"/>
                <w:szCs w:val="21"/>
              </w:rPr>
            </w:pPr>
            <w:r>
              <w:rPr>
                <w:rFonts w:ascii="宋体" w:hAnsi="宋体" w:eastAsia="宋体" w:cs="宋体"/>
                <w:color w:val="000000"/>
                <w:kern w:val="0"/>
                <w:szCs w:val="21"/>
              </w:rPr>
              <w:t>57</w:t>
            </w:r>
            <w:r>
              <w:rPr>
                <w:rFonts w:hint="eastAsia" w:ascii="宋体" w:hAnsi="宋体" w:eastAsia="宋体" w:cs="宋体"/>
                <w:color w:val="000000"/>
                <w:kern w:val="0"/>
                <w:szCs w:val="21"/>
              </w:rPr>
              <w:t>%</w:t>
            </w:r>
          </w:p>
        </w:tc>
      </w:tr>
    </w:tbl>
    <w:p>
      <w:pPr>
        <w:spacing w:line="360" w:lineRule="auto"/>
        <w:rPr>
          <w:rFonts w:asciiTheme="minorEastAsia" w:hAnsiTheme="minorEastAsia"/>
          <w:sz w:val="24"/>
          <w:szCs w:val="24"/>
        </w:rPr>
      </w:pPr>
      <w:r>
        <w:rPr>
          <w:rFonts w:hint="eastAsia" w:asciiTheme="minorEastAsia" w:hAnsiTheme="minorEastAsia"/>
          <w:sz w:val="24"/>
          <w:szCs w:val="24"/>
        </w:rPr>
        <w:t>人员资质情况如下：</w:t>
      </w:r>
    </w:p>
    <w:tbl>
      <w:tblPr>
        <w:tblStyle w:val="9"/>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2806"/>
        <w:gridCol w:w="2672"/>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noWrap/>
          </w:tcPr>
          <w:p>
            <w:pPr>
              <w:widowControl/>
              <w:jc w:val="center"/>
              <w:rPr>
                <w:rFonts w:cs="宋体" w:asciiTheme="minorEastAsia" w:hAnsiTheme="minorEastAsia"/>
                <w:b/>
                <w:bCs/>
                <w:kern w:val="0"/>
                <w:sz w:val="20"/>
                <w:szCs w:val="21"/>
              </w:rPr>
            </w:pPr>
            <w:r>
              <w:rPr>
                <w:rFonts w:hint="eastAsia" w:cs="宋体" w:asciiTheme="minorEastAsia" w:hAnsiTheme="minorEastAsia"/>
                <w:b/>
                <w:bCs/>
                <w:kern w:val="0"/>
                <w:sz w:val="20"/>
                <w:szCs w:val="21"/>
              </w:rPr>
              <w:t>姓名</w:t>
            </w:r>
          </w:p>
        </w:tc>
        <w:tc>
          <w:tcPr>
            <w:tcW w:w="2806" w:type="dxa"/>
            <w:noWrap/>
          </w:tcPr>
          <w:p>
            <w:pPr>
              <w:widowControl/>
              <w:jc w:val="center"/>
              <w:rPr>
                <w:rFonts w:cs="宋体" w:asciiTheme="minorEastAsia" w:hAnsiTheme="minorEastAsia"/>
                <w:b/>
                <w:bCs/>
                <w:color w:val="000000"/>
                <w:kern w:val="0"/>
                <w:sz w:val="20"/>
                <w:szCs w:val="21"/>
              </w:rPr>
            </w:pPr>
            <w:r>
              <w:rPr>
                <w:rFonts w:hint="eastAsia" w:cs="宋体" w:asciiTheme="minorEastAsia" w:hAnsiTheme="minorEastAsia"/>
                <w:b/>
                <w:bCs/>
                <w:color w:val="000000"/>
                <w:kern w:val="0"/>
                <w:sz w:val="20"/>
                <w:szCs w:val="21"/>
              </w:rPr>
              <w:t>资质</w:t>
            </w:r>
          </w:p>
        </w:tc>
        <w:tc>
          <w:tcPr>
            <w:tcW w:w="2672" w:type="dxa"/>
            <w:noWrap/>
          </w:tcPr>
          <w:p>
            <w:pPr>
              <w:widowControl/>
              <w:jc w:val="center"/>
              <w:rPr>
                <w:rFonts w:cs="宋体" w:asciiTheme="minorEastAsia" w:hAnsiTheme="minorEastAsia"/>
                <w:b/>
                <w:bCs/>
                <w:color w:val="000000"/>
                <w:kern w:val="0"/>
                <w:sz w:val="20"/>
                <w:szCs w:val="21"/>
              </w:rPr>
            </w:pPr>
            <w:r>
              <w:rPr>
                <w:rFonts w:hint="eastAsia" w:cs="宋体" w:asciiTheme="minorEastAsia" w:hAnsiTheme="minorEastAsia"/>
                <w:b/>
                <w:bCs/>
                <w:color w:val="000000"/>
                <w:kern w:val="0"/>
                <w:sz w:val="20"/>
                <w:szCs w:val="21"/>
              </w:rPr>
              <w:t>证书级别</w:t>
            </w:r>
          </w:p>
        </w:tc>
        <w:tc>
          <w:tcPr>
            <w:tcW w:w="2235" w:type="dxa"/>
          </w:tcPr>
          <w:p>
            <w:pPr>
              <w:widowControl/>
              <w:jc w:val="center"/>
              <w:rPr>
                <w:rFonts w:cs="宋体" w:asciiTheme="minorEastAsia" w:hAnsiTheme="minorEastAsia"/>
                <w:b/>
                <w:bCs/>
                <w:color w:val="000000"/>
                <w:kern w:val="0"/>
                <w:sz w:val="20"/>
                <w:szCs w:val="21"/>
              </w:rPr>
            </w:pPr>
            <w:r>
              <w:rPr>
                <w:rFonts w:hint="eastAsia" w:cs="宋体" w:asciiTheme="minorEastAsia" w:hAnsiTheme="minorEastAsia"/>
                <w:b/>
                <w:bCs/>
                <w:color w:val="000000"/>
                <w:kern w:val="0"/>
                <w:sz w:val="20"/>
                <w:szCs w:val="21"/>
              </w:rPr>
              <w:t>业务领域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noWrap/>
            <w:vAlign w:val="center"/>
          </w:tcPr>
          <w:p>
            <w:pPr>
              <w:widowControl/>
              <w:jc w:val="center"/>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荣志刚</w:t>
            </w:r>
          </w:p>
        </w:tc>
        <w:tc>
          <w:tcPr>
            <w:tcW w:w="2806" w:type="dxa"/>
            <w:noWrap/>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江苏省苏州市化工工程高级工程师资格</w:t>
            </w:r>
          </w:p>
        </w:tc>
        <w:tc>
          <w:tcPr>
            <w:tcW w:w="2672" w:type="dxa"/>
            <w:noWrap/>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省级证书</w:t>
            </w:r>
          </w:p>
        </w:tc>
        <w:tc>
          <w:tcPr>
            <w:tcW w:w="2235" w:type="dxa"/>
            <w:vMerge w:val="restart"/>
            <w:vAlign w:val="center"/>
          </w:tcPr>
          <w:p>
            <w:pPr>
              <w:widowControl/>
              <w:jc w:val="left"/>
              <w:rPr>
                <w:rFonts w:cs="宋体" w:asciiTheme="minorEastAsia" w:hAnsiTheme="minorEastAsia"/>
                <w:color w:val="000000"/>
                <w:kern w:val="0"/>
                <w:sz w:val="20"/>
                <w:szCs w:val="21"/>
              </w:rPr>
            </w:pPr>
            <w:r>
              <w:rPr>
                <w:rFonts w:cs="宋体" w:asciiTheme="minorEastAsia" w:hAnsiTheme="minorEastAsia"/>
                <w:color w:val="000000"/>
                <w:kern w:val="0"/>
                <w:sz w:val="20"/>
                <w:szCs w:val="21"/>
              </w:rPr>
              <w:t>荣志刚、徐凌燕、崔志远现担任吴中美学生产中心管理人员，负责重</w:t>
            </w:r>
            <w:r>
              <w:rPr>
                <w:rFonts w:hint="eastAsia" w:cs="宋体" w:asciiTheme="minorEastAsia" w:hAnsiTheme="minorEastAsia"/>
                <w:color w:val="000000"/>
                <w:kern w:val="0"/>
                <w:sz w:val="20"/>
                <w:szCs w:val="21"/>
              </w:rPr>
              <w:t>组胶原蛋白项目的工艺优化和生产管理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noWrap/>
            <w:vAlign w:val="center"/>
          </w:tcPr>
          <w:p>
            <w:pPr>
              <w:widowControl/>
              <w:jc w:val="center"/>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徐凌燕</w:t>
            </w:r>
          </w:p>
        </w:tc>
        <w:tc>
          <w:tcPr>
            <w:tcW w:w="2806" w:type="dxa"/>
            <w:noWrap/>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苏州市医药工程技术中级工程师资格</w:t>
            </w:r>
          </w:p>
        </w:tc>
        <w:tc>
          <w:tcPr>
            <w:tcW w:w="2672" w:type="dxa"/>
            <w:noWrap/>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市级证书</w:t>
            </w:r>
          </w:p>
        </w:tc>
        <w:tc>
          <w:tcPr>
            <w:tcW w:w="2235" w:type="dxa"/>
            <w:vMerge w:val="continue"/>
            <w:vAlign w:val="center"/>
          </w:tcPr>
          <w:p>
            <w:pPr>
              <w:jc w:val="left"/>
              <w:rPr>
                <w:rFonts w:cs="宋体" w:asciiTheme="minorEastAsia" w:hAnsiTheme="minorEastAsia"/>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46" w:type="dxa"/>
            <w:noWrap/>
            <w:vAlign w:val="center"/>
          </w:tcPr>
          <w:p>
            <w:pPr>
              <w:widowControl/>
              <w:jc w:val="center"/>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崔志远</w:t>
            </w:r>
          </w:p>
        </w:tc>
        <w:tc>
          <w:tcPr>
            <w:tcW w:w="2806" w:type="dxa"/>
            <w:noWrap/>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苏州市医药工程技术中级工程师资格</w:t>
            </w:r>
          </w:p>
        </w:tc>
        <w:tc>
          <w:tcPr>
            <w:tcW w:w="2672" w:type="dxa"/>
            <w:noWrap/>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市级证书</w:t>
            </w:r>
          </w:p>
        </w:tc>
        <w:tc>
          <w:tcPr>
            <w:tcW w:w="2235" w:type="dxa"/>
            <w:vMerge w:val="continue"/>
            <w:vAlign w:val="center"/>
          </w:tcPr>
          <w:p>
            <w:pPr>
              <w:widowControl/>
              <w:jc w:val="left"/>
              <w:rPr>
                <w:rFonts w:cs="宋体" w:asciiTheme="minorEastAsia" w:hAnsiTheme="minorEastAsia"/>
                <w:color w:val="000000"/>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noWrap/>
            <w:vAlign w:val="center"/>
          </w:tcPr>
          <w:p>
            <w:pPr>
              <w:widowControl/>
              <w:jc w:val="center"/>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王旌</w:t>
            </w:r>
          </w:p>
        </w:tc>
        <w:tc>
          <w:tcPr>
            <w:tcW w:w="2806" w:type="dxa"/>
            <w:noWrap/>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中国美容整形协会培训证书</w:t>
            </w:r>
          </w:p>
        </w:tc>
        <w:tc>
          <w:tcPr>
            <w:tcW w:w="2672" w:type="dxa"/>
            <w:noWrap/>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中国美容整形协会认证</w:t>
            </w:r>
          </w:p>
        </w:tc>
        <w:tc>
          <w:tcPr>
            <w:tcW w:w="2235" w:type="dxa"/>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负责吴中美学</w:t>
            </w:r>
            <w:r>
              <w:rPr>
                <w:rFonts w:cs="宋体" w:asciiTheme="minorEastAsia" w:hAnsiTheme="minorEastAsia"/>
                <w:color w:val="000000"/>
                <w:kern w:val="0"/>
                <w:sz w:val="20"/>
                <w:szCs w:val="21"/>
              </w:rPr>
              <w:t>产品的营销工作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6" w:type="dxa"/>
            <w:noWrap/>
            <w:vAlign w:val="center"/>
          </w:tcPr>
          <w:p>
            <w:pPr>
              <w:widowControl/>
              <w:jc w:val="center"/>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林川元</w:t>
            </w:r>
          </w:p>
        </w:tc>
        <w:tc>
          <w:tcPr>
            <w:tcW w:w="2806" w:type="dxa"/>
            <w:noWrap/>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医师资格证书</w:t>
            </w:r>
          </w:p>
        </w:tc>
        <w:tc>
          <w:tcPr>
            <w:tcW w:w="2672" w:type="dxa"/>
            <w:noWrap/>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国家卫生和计划生育委员会认证</w:t>
            </w:r>
          </w:p>
        </w:tc>
        <w:tc>
          <w:tcPr>
            <w:tcW w:w="2235" w:type="dxa"/>
            <w:vAlign w:val="center"/>
          </w:tcPr>
          <w:p>
            <w:pPr>
              <w:widowControl/>
              <w:jc w:val="left"/>
              <w:rPr>
                <w:rFonts w:cs="宋体" w:asciiTheme="minorEastAsia" w:hAnsiTheme="minorEastAsia"/>
                <w:color w:val="000000"/>
                <w:kern w:val="0"/>
                <w:sz w:val="20"/>
                <w:szCs w:val="21"/>
              </w:rPr>
            </w:pPr>
            <w:r>
              <w:rPr>
                <w:rFonts w:hint="eastAsia" w:cs="宋体" w:asciiTheme="minorEastAsia" w:hAnsiTheme="minorEastAsia"/>
                <w:color w:val="000000"/>
                <w:kern w:val="0"/>
                <w:sz w:val="20"/>
                <w:szCs w:val="21"/>
              </w:rPr>
              <w:t>负责吴中美学产品的医学教育工作</w:t>
            </w:r>
          </w:p>
        </w:tc>
      </w:tr>
    </w:tbl>
    <w:p>
      <w:pPr>
        <w:spacing w:line="360" w:lineRule="auto"/>
        <w:ind w:firstLine="480"/>
        <w:rPr>
          <w:rFonts w:asciiTheme="minorEastAsia" w:hAnsiTheme="minorEastAsia"/>
          <w:sz w:val="24"/>
          <w:szCs w:val="24"/>
        </w:rPr>
      </w:pPr>
      <w:r>
        <w:rPr>
          <w:rFonts w:hint="eastAsia" w:asciiTheme="minorEastAsia" w:hAnsiTheme="minorEastAsia"/>
          <w:sz w:val="24"/>
          <w:szCs w:val="24"/>
        </w:rPr>
        <w:t>上述人员大都来自国内外头部医美企业，其中尚礼汇美和达透医疗人员较少系这两家公司主要作为产品临床注册持证平台，公司通过尚礼汇美取得韩国医美企业Humedix（汇美德斯）最新一款注射用双相交联含利多卡因透明质酸钠凝胶产品的中国区独家代理权；通过达透医疗取得韩国公司Regen Biotech,Inc一款外科整形用聚乳酸填充物AestheFill中国大陆地区的独家销售代理权。产品的临床注册申报及后续的销售工作主要由吴中美学统一组织运营。</w:t>
      </w:r>
    </w:p>
    <w:p>
      <w:pPr>
        <w:pStyle w:val="16"/>
        <w:numPr>
          <w:ilvl w:val="0"/>
          <w:numId w:val="1"/>
        </w:numPr>
        <w:tabs>
          <w:tab w:val="left" w:pos="567"/>
        </w:tabs>
        <w:spacing w:line="360" w:lineRule="auto"/>
        <w:ind w:firstLineChars="0"/>
        <w:rPr>
          <w:rFonts w:asciiTheme="minorEastAsia" w:hAnsiTheme="minorEastAsia"/>
          <w:sz w:val="24"/>
          <w:szCs w:val="24"/>
        </w:rPr>
      </w:pPr>
      <w:r>
        <w:rPr>
          <w:rFonts w:asciiTheme="minorEastAsia" w:hAnsiTheme="minorEastAsia"/>
          <w:sz w:val="24"/>
          <w:szCs w:val="24"/>
        </w:rPr>
        <w:t>研发投入金额及占比：</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至2022年12月31日，公司为各项医美研发项目共计投入1,092</w:t>
      </w:r>
      <w:r>
        <w:rPr>
          <w:rFonts w:hint="eastAsia" w:asciiTheme="minorEastAsia" w:hAnsiTheme="minorEastAsia"/>
          <w:sz w:val="24"/>
          <w:szCs w:val="24"/>
        </w:rPr>
        <w:t>.</w:t>
      </w:r>
      <w:r>
        <w:rPr>
          <w:rFonts w:asciiTheme="minorEastAsia" w:hAnsiTheme="minorEastAsia"/>
          <w:sz w:val="24"/>
          <w:szCs w:val="24"/>
        </w:rPr>
        <w:t>44万元，目前公司除经销的一款重组胶原蛋白生物修复敷料（品牌名为“婴芙源”，相关商标为吴中美学持有）有小额收入外，其他各项医美项目均处于不同研发过程中，尚未形成收入。</w:t>
      </w:r>
    </w:p>
    <w:p>
      <w:pPr>
        <w:tabs>
          <w:tab w:val="left" w:pos="567"/>
        </w:tabs>
        <w:spacing w:line="360" w:lineRule="auto"/>
        <w:ind w:firstLine="480" w:firstLineChars="200"/>
        <w:rPr>
          <w:rFonts w:ascii="宋体" w:hAnsi="宋体" w:eastAsia="宋体"/>
          <w:sz w:val="24"/>
          <w:szCs w:val="24"/>
        </w:rPr>
      </w:pPr>
      <w:r>
        <w:rPr>
          <w:rFonts w:hint="eastAsia" w:ascii="宋体" w:hAnsi="宋体" w:eastAsia="宋体"/>
          <w:sz w:val="24"/>
          <w:szCs w:val="24"/>
        </w:rPr>
        <w:t>3、</w:t>
      </w:r>
      <w:r>
        <w:rPr>
          <w:rFonts w:ascii="宋体" w:hAnsi="宋体" w:eastAsia="宋体"/>
          <w:sz w:val="24"/>
          <w:szCs w:val="24"/>
        </w:rPr>
        <w:t>研发进展</w:t>
      </w:r>
      <w:r>
        <w:rPr>
          <w:rFonts w:hint="eastAsia" w:ascii="宋体" w:hAnsi="宋体" w:eastAsia="宋体"/>
          <w:sz w:val="24"/>
          <w:szCs w:val="24"/>
        </w:rPr>
        <w:t>及市场前景</w:t>
      </w:r>
    </w:p>
    <w:p>
      <w:pPr>
        <w:tabs>
          <w:tab w:val="left" w:pos="567"/>
        </w:tabs>
        <w:spacing w:line="360" w:lineRule="auto"/>
        <w:ind w:firstLine="480" w:firstLineChars="200"/>
        <w:rPr>
          <w:rFonts w:ascii="宋体" w:hAnsi="宋体" w:eastAsia="宋体"/>
          <w:sz w:val="24"/>
          <w:szCs w:val="24"/>
        </w:rPr>
      </w:pPr>
      <w:r>
        <w:rPr>
          <w:rFonts w:hint="eastAsia" w:ascii="宋体" w:hAnsi="宋体" w:eastAsia="宋体"/>
          <w:sz w:val="24"/>
          <w:szCs w:val="24"/>
        </w:rPr>
        <w:t>目前，公司医美类产品管线进展情况如下表：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4"/>
        <w:gridCol w:w="1560"/>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tabs>
                <w:tab w:val="left" w:pos="567"/>
              </w:tabs>
              <w:spacing w:line="360" w:lineRule="auto"/>
              <w:jc w:val="center"/>
              <w:rPr>
                <w:rFonts w:ascii="宋体" w:hAnsi="宋体" w:eastAsia="宋体"/>
                <w:kern w:val="0"/>
                <w:sz w:val="20"/>
                <w:szCs w:val="21"/>
              </w:rPr>
            </w:pPr>
            <w:r>
              <w:rPr>
                <w:rFonts w:hint="eastAsia" w:ascii="宋体" w:hAnsi="宋体" w:eastAsia="宋体"/>
                <w:kern w:val="0"/>
                <w:sz w:val="20"/>
                <w:szCs w:val="21"/>
              </w:rPr>
              <w:t>产品</w:t>
            </w:r>
          </w:p>
        </w:tc>
        <w:tc>
          <w:tcPr>
            <w:tcW w:w="1560" w:type="dxa"/>
          </w:tcPr>
          <w:p>
            <w:pPr>
              <w:tabs>
                <w:tab w:val="left" w:pos="567"/>
              </w:tabs>
              <w:spacing w:line="360" w:lineRule="auto"/>
              <w:jc w:val="center"/>
              <w:rPr>
                <w:rFonts w:ascii="宋体" w:hAnsi="宋体" w:eastAsia="宋体"/>
                <w:kern w:val="0"/>
                <w:sz w:val="20"/>
                <w:szCs w:val="21"/>
              </w:rPr>
            </w:pPr>
            <w:r>
              <w:rPr>
                <w:rFonts w:hint="eastAsia" w:ascii="宋体" w:hAnsi="宋体" w:eastAsia="宋体"/>
                <w:kern w:val="0"/>
                <w:sz w:val="20"/>
                <w:szCs w:val="21"/>
              </w:rPr>
              <w:t>申报类别</w:t>
            </w:r>
          </w:p>
        </w:tc>
        <w:tc>
          <w:tcPr>
            <w:tcW w:w="1710" w:type="dxa"/>
          </w:tcPr>
          <w:p>
            <w:pPr>
              <w:tabs>
                <w:tab w:val="left" w:pos="567"/>
              </w:tabs>
              <w:spacing w:line="360" w:lineRule="auto"/>
              <w:jc w:val="center"/>
              <w:rPr>
                <w:rFonts w:ascii="宋体" w:hAnsi="宋体" w:eastAsia="宋体"/>
                <w:kern w:val="0"/>
                <w:sz w:val="20"/>
                <w:szCs w:val="21"/>
              </w:rPr>
            </w:pPr>
            <w:r>
              <w:rPr>
                <w:rFonts w:hint="eastAsia" w:ascii="宋体" w:hAnsi="宋体" w:eastAsia="宋体"/>
                <w:kern w:val="0"/>
                <w:sz w:val="20"/>
                <w:szCs w:val="21"/>
              </w:rPr>
              <w:t>目前进展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tabs>
                <w:tab w:val="left" w:pos="567"/>
              </w:tabs>
              <w:spacing w:line="360" w:lineRule="auto"/>
              <w:jc w:val="left"/>
              <w:rPr>
                <w:rFonts w:ascii="宋体" w:hAnsi="宋体" w:eastAsia="宋体"/>
                <w:kern w:val="0"/>
                <w:sz w:val="20"/>
                <w:szCs w:val="21"/>
              </w:rPr>
            </w:pPr>
            <w:r>
              <w:rPr>
                <w:rFonts w:ascii="宋体" w:hAnsi="宋体" w:eastAsia="宋体"/>
                <w:kern w:val="0"/>
                <w:sz w:val="20"/>
                <w:szCs w:val="21"/>
              </w:rPr>
              <w:t>外科整形用聚乳酸填充物（进 口代理）</w:t>
            </w:r>
          </w:p>
        </w:tc>
        <w:tc>
          <w:tcPr>
            <w:tcW w:w="1560" w:type="dxa"/>
          </w:tcPr>
          <w:p>
            <w:pPr>
              <w:tabs>
                <w:tab w:val="left" w:pos="567"/>
              </w:tabs>
              <w:spacing w:line="360" w:lineRule="auto"/>
              <w:jc w:val="center"/>
              <w:rPr>
                <w:rFonts w:ascii="宋体" w:hAnsi="宋体" w:eastAsia="宋体"/>
                <w:kern w:val="0"/>
                <w:sz w:val="20"/>
                <w:szCs w:val="21"/>
              </w:rPr>
            </w:pPr>
            <w:r>
              <w:rPr>
                <w:rFonts w:ascii="宋体" w:hAnsi="宋体" w:eastAsia="宋体"/>
                <w:kern w:val="0"/>
                <w:sz w:val="20"/>
                <w:szCs w:val="21"/>
              </w:rPr>
              <w:t>三类医疗器械</w:t>
            </w:r>
          </w:p>
        </w:tc>
        <w:tc>
          <w:tcPr>
            <w:tcW w:w="1710" w:type="dxa"/>
          </w:tcPr>
          <w:p>
            <w:pPr>
              <w:tabs>
                <w:tab w:val="left" w:pos="567"/>
              </w:tabs>
              <w:spacing w:line="360" w:lineRule="auto"/>
              <w:jc w:val="center"/>
              <w:rPr>
                <w:rFonts w:ascii="宋体" w:hAnsi="宋体" w:eastAsia="宋体"/>
                <w:kern w:val="0"/>
                <w:sz w:val="20"/>
                <w:szCs w:val="21"/>
              </w:rPr>
            </w:pPr>
            <w:r>
              <w:rPr>
                <w:rFonts w:ascii="宋体" w:hAnsi="宋体" w:eastAsia="宋体"/>
                <w:kern w:val="0"/>
                <w:sz w:val="20"/>
                <w:szCs w:val="21"/>
              </w:rPr>
              <w:t>CMDE 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tabs>
                <w:tab w:val="left" w:pos="567"/>
              </w:tabs>
              <w:spacing w:line="360" w:lineRule="auto"/>
              <w:jc w:val="left"/>
              <w:rPr>
                <w:rFonts w:ascii="宋体" w:hAnsi="宋体" w:eastAsia="宋体"/>
                <w:kern w:val="0"/>
                <w:sz w:val="20"/>
                <w:szCs w:val="21"/>
              </w:rPr>
            </w:pPr>
            <w:r>
              <w:rPr>
                <w:rFonts w:ascii="宋体" w:hAnsi="宋体" w:eastAsia="宋体"/>
                <w:kern w:val="0"/>
                <w:sz w:val="20"/>
                <w:szCs w:val="21"/>
              </w:rPr>
              <w:t>注射用双相交联含利多卡因透 明质酸钠凝胶（进口代理）</w:t>
            </w:r>
          </w:p>
        </w:tc>
        <w:tc>
          <w:tcPr>
            <w:tcW w:w="1560" w:type="dxa"/>
          </w:tcPr>
          <w:p>
            <w:pPr>
              <w:tabs>
                <w:tab w:val="left" w:pos="567"/>
              </w:tabs>
              <w:spacing w:line="360" w:lineRule="auto"/>
              <w:jc w:val="center"/>
              <w:rPr>
                <w:rFonts w:ascii="宋体" w:hAnsi="宋体" w:eastAsia="宋体"/>
                <w:kern w:val="0"/>
                <w:sz w:val="20"/>
                <w:szCs w:val="21"/>
              </w:rPr>
            </w:pPr>
            <w:r>
              <w:rPr>
                <w:rFonts w:ascii="宋体" w:hAnsi="宋体" w:eastAsia="宋体"/>
                <w:kern w:val="0"/>
                <w:sz w:val="20"/>
                <w:szCs w:val="21"/>
              </w:rPr>
              <w:t>三类医疗器械</w:t>
            </w:r>
          </w:p>
        </w:tc>
        <w:tc>
          <w:tcPr>
            <w:tcW w:w="1710" w:type="dxa"/>
          </w:tcPr>
          <w:p>
            <w:pPr>
              <w:tabs>
                <w:tab w:val="left" w:pos="567"/>
              </w:tabs>
              <w:spacing w:line="360" w:lineRule="auto"/>
              <w:jc w:val="center"/>
              <w:rPr>
                <w:rFonts w:ascii="宋体" w:hAnsi="宋体" w:eastAsia="宋体"/>
                <w:kern w:val="0"/>
                <w:sz w:val="20"/>
                <w:szCs w:val="21"/>
              </w:rPr>
            </w:pPr>
            <w:r>
              <w:rPr>
                <w:rFonts w:hint="eastAsia" w:ascii="宋体" w:hAnsi="宋体" w:eastAsia="宋体"/>
                <w:kern w:val="0"/>
                <w:sz w:val="20"/>
                <w:szCs w:val="21"/>
              </w:rPr>
              <w:t>临床阶段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tabs>
                <w:tab w:val="left" w:pos="567"/>
              </w:tabs>
              <w:spacing w:line="360" w:lineRule="auto"/>
              <w:jc w:val="left"/>
              <w:rPr>
                <w:rFonts w:ascii="宋体" w:hAnsi="宋体" w:eastAsia="宋体"/>
                <w:kern w:val="0"/>
                <w:sz w:val="20"/>
                <w:szCs w:val="21"/>
              </w:rPr>
            </w:pPr>
            <w:r>
              <w:rPr>
                <w:rFonts w:ascii="宋体" w:hAnsi="宋体" w:eastAsia="宋体"/>
                <w:kern w:val="0"/>
                <w:sz w:val="20"/>
                <w:szCs w:val="21"/>
              </w:rPr>
              <w:t>重组胶原蛋白填充剂</w:t>
            </w:r>
          </w:p>
        </w:tc>
        <w:tc>
          <w:tcPr>
            <w:tcW w:w="1560" w:type="dxa"/>
          </w:tcPr>
          <w:p>
            <w:pPr>
              <w:tabs>
                <w:tab w:val="left" w:pos="567"/>
              </w:tabs>
              <w:spacing w:line="360" w:lineRule="auto"/>
              <w:jc w:val="center"/>
              <w:rPr>
                <w:rFonts w:ascii="宋体" w:hAnsi="宋体" w:eastAsia="宋体"/>
                <w:kern w:val="0"/>
                <w:sz w:val="20"/>
                <w:szCs w:val="21"/>
              </w:rPr>
            </w:pPr>
            <w:r>
              <w:rPr>
                <w:rFonts w:ascii="宋体" w:hAnsi="宋体" w:eastAsia="宋体"/>
                <w:kern w:val="0"/>
                <w:sz w:val="20"/>
                <w:szCs w:val="21"/>
              </w:rPr>
              <w:t>三类医疗器械</w:t>
            </w:r>
          </w:p>
        </w:tc>
        <w:tc>
          <w:tcPr>
            <w:tcW w:w="1710" w:type="dxa"/>
          </w:tcPr>
          <w:p>
            <w:pPr>
              <w:tabs>
                <w:tab w:val="left" w:pos="567"/>
              </w:tabs>
              <w:spacing w:line="360" w:lineRule="auto"/>
              <w:jc w:val="center"/>
              <w:rPr>
                <w:rFonts w:ascii="宋体" w:hAnsi="宋体" w:eastAsia="宋体"/>
                <w:kern w:val="0"/>
                <w:sz w:val="20"/>
                <w:szCs w:val="21"/>
              </w:rPr>
            </w:pPr>
            <w:r>
              <w:rPr>
                <w:rFonts w:hint="eastAsia" w:ascii="宋体" w:hAnsi="宋体" w:eastAsia="宋体"/>
                <w:kern w:val="0"/>
                <w:sz w:val="20"/>
                <w:szCs w:val="21"/>
              </w:rPr>
              <w:t>实验室研究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tabs>
                <w:tab w:val="left" w:pos="567"/>
              </w:tabs>
              <w:spacing w:line="360" w:lineRule="auto"/>
              <w:jc w:val="left"/>
              <w:rPr>
                <w:rFonts w:ascii="宋体" w:hAnsi="宋体" w:eastAsia="宋体"/>
                <w:kern w:val="0"/>
                <w:sz w:val="20"/>
                <w:szCs w:val="21"/>
              </w:rPr>
            </w:pPr>
            <w:r>
              <w:rPr>
                <w:rFonts w:ascii="宋体" w:hAnsi="宋体" w:eastAsia="宋体"/>
                <w:kern w:val="0"/>
                <w:sz w:val="20"/>
                <w:szCs w:val="21"/>
              </w:rPr>
              <w:t>去氧胆酸注射液</w:t>
            </w:r>
          </w:p>
        </w:tc>
        <w:tc>
          <w:tcPr>
            <w:tcW w:w="1560" w:type="dxa"/>
          </w:tcPr>
          <w:p>
            <w:pPr>
              <w:tabs>
                <w:tab w:val="left" w:pos="567"/>
              </w:tabs>
              <w:spacing w:line="360" w:lineRule="auto"/>
              <w:jc w:val="center"/>
              <w:rPr>
                <w:rFonts w:ascii="宋体" w:hAnsi="宋体" w:eastAsia="宋体"/>
                <w:kern w:val="0"/>
                <w:sz w:val="20"/>
                <w:szCs w:val="21"/>
              </w:rPr>
            </w:pPr>
            <w:r>
              <w:rPr>
                <w:rFonts w:ascii="宋体" w:hAnsi="宋体" w:eastAsia="宋体"/>
                <w:kern w:val="0"/>
                <w:sz w:val="20"/>
                <w:szCs w:val="21"/>
              </w:rPr>
              <w:t>化药 3 类</w:t>
            </w:r>
          </w:p>
        </w:tc>
        <w:tc>
          <w:tcPr>
            <w:tcW w:w="1710" w:type="dxa"/>
          </w:tcPr>
          <w:p>
            <w:pPr>
              <w:tabs>
                <w:tab w:val="left" w:pos="567"/>
              </w:tabs>
              <w:spacing w:line="360" w:lineRule="auto"/>
              <w:jc w:val="center"/>
              <w:rPr>
                <w:rFonts w:ascii="宋体" w:hAnsi="宋体" w:eastAsia="宋体"/>
                <w:kern w:val="0"/>
                <w:sz w:val="20"/>
                <w:szCs w:val="21"/>
              </w:rPr>
            </w:pPr>
            <w:r>
              <w:rPr>
                <w:rFonts w:hint="eastAsia" w:ascii="宋体" w:hAnsi="宋体" w:eastAsia="宋体"/>
                <w:kern w:val="0"/>
                <w:sz w:val="20"/>
                <w:szCs w:val="21"/>
              </w:rPr>
              <w:t>仿制药药学研究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4" w:type="dxa"/>
          </w:tcPr>
          <w:p>
            <w:pPr>
              <w:tabs>
                <w:tab w:val="left" w:pos="567"/>
              </w:tabs>
              <w:spacing w:line="360" w:lineRule="auto"/>
              <w:jc w:val="left"/>
              <w:rPr>
                <w:rFonts w:ascii="宋体" w:hAnsi="宋体" w:eastAsia="宋体"/>
                <w:kern w:val="0"/>
                <w:sz w:val="20"/>
                <w:szCs w:val="21"/>
              </w:rPr>
            </w:pPr>
            <w:r>
              <w:rPr>
                <w:rFonts w:hint="eastAsia" w:ascii="宋体" w:hAnsi="宋体" w:eastAsia="宋体"/>
                <w:kern w:val="0"/>
                <w:sz w:val="20"/>
                <w:szCs w:val="21"/>
              </w:rPr>
              <w:t>利丙双卡因乳膏</w:t>
            </w:r>
          </w:p>
        </w:tc>
        <w:tc>
          <w:tcPr>
            <w:tcW w:w="1560" w:type="dxa"/>
          </w:tcPr>
          <w:p>
            <w:pPr>
              <w:tabs>
                <w:tab w:val="left" w:pos="567"/>
              </w:tabs>
              <w:spacing w:line="360" w:lineRule="auto"/>
              <w:jc w:val="center"/>
              <w:rPr>
                <w:rFonts w:ascii="宋体" w:hAnsi="宋体" w:eastAsia="宋体"/>
                <w:kern w:val="0"/>
                <w:sz w:val="20"/>
                <w:szCs w:val="21"/>
              </w:rPr>
            </w:pPr>
            <w:r>
              <w:rPr>
                <w:rFonts w:ascii="宋体" w:hAnsi="宋体" w:eastAsia="宋体"/>
                <w:kern w:val="0"/>
                <w:sz w:val="20"/>
                <w:szCs w:val="21"/>
              </w:rPr>
              <w:t>化药 4 类</w:t>
            </w:r>
          </w:p>
        </w:tc>
        <w:tc>
          <w:tcPr>
            <w:tcW w:w="1710" w:type="dxa"/>
          </w:tcPr>
          <w:p>
            <w:pPr>
              <w:tabs>
                <w:tab w:val="left" w:pos="567"/>
              </w:tabs>
              <w:spacing w:line="360" w:lineRule="auto"/>
              <w:jc w:val="center"/>
              <w:rPr>
                <w:rFonts w:ascii="宋体" w:hAnsi="宋体" w:eastAsia="宋体"/>
                <w:kern w:val="0"/>
                <w:sz w:val="20"/>
                <w:szCs w:val="21"/>
              </w:rPr>
            </w:pPr>
            <w:r>
              <w:rPr>
                <w:rFonts w:hint="eastAsia" w:ascii="宋体" w:hAnsi="宋体" w:eastAsia="宋体"/>
                <w:kern w:val="0"/>
                <w:sz w:val="20"/>
                <w:szCs w:val="21"/>
              </w:rPr>
              <w:t>仿制药药学研究</w:t>
            </w:r>
          </w:p>
        </w:tc>
      </w:tr>
    </w:tbl>
    <w:p>
      <w:pPr>
        <w:tabs>
          <w:tab w:val="left" w:pos="567"/>
        </w:tabs>
        <w:spacing w:line="360" w:lineRule="auto"/>
        <w:ind w:firstLine="480" w:firstLineChars="200"/>
        <w:rPr>
          <w:rFonts w:ascii="宋体" w:hAnsi="宋体" w:eastAsia="宋体"/>
          <w:sz w:val="24"/>
          <w:szCs w:val="24"/>
        </w:rPr>
      </w:pPr>
      <w:r>
        <w:rPr>
          <w:rFonts w:hint="eastAsia" w:ascii="宋体" w:hAnsi="宋体" w:eastAsia="宋体"/>
          <w:sz w:val="24"/>
          <w:szCs w:val="24"/>
        </w:rPr>
        <w:t>从上述公司布局的四大注射类产品所处细分赛道来看，市场前景如下：</w:t>
      </w:r>
    </w:p>
    <w:p>
      <w:pPr>
        <w:tabs>
          <w:tab w:val="left" w:pos="567"/>
        </w:tabs>
        <w:spacing w:line="360" w:lineRule="auto"/>
        <w:ind w:firstLine="480" w:firstLineChars="200"/>
        <w:rPr>
          <w:rFonts w:ascii="宋体" w:hAnsi="宋体" w:eastAsia="宋体"/>
          <w:sz w:val="24"/>
          <w:szCs w:val="24"/>
        </w:rPr>
      </w:pPr>
      <w:r>
        <w:rPr>
          <w:rFonts w:hint="eastAsia" w:ascii="宋体" w:hAnsi="宋体" w:eastAsia="宋体"/>
          <w:sz w:val="24"/>
          <w:szCs w:val="24"/>
        </w:rPr>
        <w:t>（1）基于透明质酸的皮肤填充剂</w:t>
      </w:r>
    </w:p>
    <w:p>
      <w:pPr>
        <w:tabs>
          <w:tab w:val="left" w:pos="567"/>
        </w:tabs>
        <w:spacing w:line="360" w:lineRule="auto"/>
        <w:ind w:firstLine="480" w:firstLineChars="200"/>
        <w:rPr>
          <w:rFonts w:ascii="宋体" w:hAnsi="宋体" w:eastAsia="宋体"/>
          <w:sz w:val="24"/>
          <w:szCs w:val="24"/>
        </w:rPr>
      </w:pPr>
      <w:r>
        <w:rPr>
          <w:rFonts w:hint="eastAsia" w:ascii="宋体" w:hAnsi="宋体" w:eastAsia="宋体"/>
          <w:sz w:val="24"/>
          <w:szCs w:val="24"/>
        </w:rPr>
        <w:t>据 Frost&amp;Sullivan 报告，以销售额（出厂价）计，2021 年中国基于透明质酸的皮肤填充剂产品市场规模为 64 亿元；该市场预计 在2026 年将达到 196 亿元。</w:t>
      </w:r>
    </w:p>
    <w:p>
      <w:pPr>
        <w:tabs>
          <w:tab w:val="left" w:pos="567"/>
        </w:tabs>
        <w:spacing w:line="360" w:lineRule="auto"/>
        <w:ind w:firstLine="480" w:firstLineChars="200"/>
        <w:rPr>
          <w:rFonts w:ascii="宋体" w:hAnsi="宋体" w:eastAsia="宋体"/>
          <w:sz w:val="24"/>
          <w:szCs w:val="24"/>
        </w:rPr>
      </w:pPr>
      <w:r>
        <w:rPr>
          <w:rFonts w:hint="eastAsia" w:ascii="宋体" w:hAnsi="宋体" w:eastAsia="宋体"/>
          <w:sz w:val="24"/>
          <w:szCs w:val="24"/>
        </w:rPr>
        <w:t>（2）基于聚乳酸等生物高分子材料的皮肤填充剂</w:t>
      </w:r>
    </w:p>
    <w:p>
      <w:pPr>
        <w:tabs>
          <w:tab w:val="left" w:pos="567"/>
        </w:tabs>
        <w:spacing w:line="360" w:lineRule="auto"/>
        <w:ind w:firstLine="480" w:firstLineChars="200"/>
        <w:rPr>
          <w:rFonts w:ascii="宋体" w:hAnsi="宋体" w:eastAsia="宋体"/>
          <w:sz w:val="24"/>
          <w:szCs w:val="24"/>
        </w:rPr>
      </w:pPr>
      <w:r>
        <w:rPr>
          <w:rFonts w:hint="eastAsia" w:ascii="宋体" w:hAnsi="宋体" w:eastAsia="宋体"/>
          <w:sz w:val="24"/>
          <w:szCs w:val="24"/>
        </w:rPr>
        <w:t>中国基于聚乳酸等生物高分子材料的皮肤填充剂产品市场处于起步阶段，根据Frost&amp;Sullivan 报告预测，以销售额（出厂价）计，中国基于聚乳酸生物高分子材料的皮肤填充剂产品 2026 年销售将达18.2 亿元， 2030年将达到 37.6 亿元。</w:t>
      </w:r>
    </w:p>
    <w:p>
      <w:pPr>
        <w:tabs>
          <w:tab w:val="left" w:pos="567"/>
        </w:tabs>
        <w:spacing w:line="360" w:lineRule="auto"/>
        <w:ind w:firstLine="480" w:firstLineChars="200"/>
        <w:rPr>
          <w:rFonts w:ascii="宋体" w:hAnsi="宋体" w:eastAsia="宋体"/>
          <w:sz w:val="24"/>
          <w:szCs w:val="24"/>
        </w:rPr>
      </w:pPr>
      <w:r>
        <w:rPr>
          <w:rFonts w:hint="eastAsia" w:ascii="宋体" w:hAnsi="宋体" w:eastAsia="宋体"/>
          <w:sz w:val="24"/>
          <w:szCs w:val="24"/>
        </w:rPr>
        <w:t>（3）基于重组胶原蛋白的医美及护肤产品</w:t>
      </w:r>
    </w:p>
    <w:p>
      <w:pPr>
        <w:tabs>
          <w:tab w:val="left" w:pos="567"/>
        </w:tabs>
        <w:spacing w:line="360" w:lineRule="auto"/>
        <w:ind w:firstLine="480" w:firstLineChars="200"/>
        <w:rPr>
          <w:rFonts w:hint="eastAsia" w:ascii="宋体" w:hAnsi="宋体" w:eastAsia="宋体"/>
          <w:sz w:val="24"/>
          <w:szCs w:val="24"/>
        </w:rPr>
      </w:pPr>
      <w:r>
        <w:rPr>
          <w:rFonts w:hint="eastAsia" w:ascii="宋体" w:hAnsi="宋体" w:eastAsia="宋体"/>
          <w:sz w:val="24"/>
          <w:szCs w:val="24"/>
        </w:rPr>
        <w:t>据Frost&amp;Sullivan 测算，以零售额计，2022年中国重组胶原蛋白产品在功能性 护肤品、医用敷料、肌肤焕活应用及一般护肤品的市场规模分别为72亿元、72亿元、26亿元及6亿元，2027年市场规模预计将分别达645亿元、255亿元、121亿元及11亿元。</w:t>
      </w:r>
    </w:p>
    <w:p>
      <w:pPr>
        <w:tabs>
          <w:tab w:val="left" w:pos="567"/>
        </w:tabs>
        <w:spacing w:line="360" w:lineRule="auto"/>
        <w:ind w:firstLine="480" w:firstLineChars="200"/>
        <w:rPr>
          <w:rFonts w:ascii="宋体" w:hAnsi="宋体" w:eastAsia="宋体"/>
          <w:sz w:val="24"/>
          <w:szCs w:val="24"/>
        </w:rPr>
      </w:pPr>
      <w:r>
        <w:rPr>
          <w:rFonts w:hint="eastAsia" w:ascii="宋体" w:hAnsi="宋体" w:eastAsia="宋体"/>
          <w:sz w:val="24"/>
          <w:szCs w:val="24"/>
        </w:rPr>
        <w:t>（4）</w:t>
      </w:r>
      <w:r>
        <w:rPr>
          <w:rFonts w:ascii="宋体" w:hAnsi="宋体" w:eastAsia="宋体"/>
          <w:sz w:val="24"/>
          <w:szCs w:val="24"/>
        </w:rPr>
        <w:t>去氧胆酸注射液</w:t>
      </w:r>
      <w:r>
        <w:rPr>
          <w:rFonts w:hint="eastAsia" w:ascii="宋体" w:hAnsi="宋体" w:eastAsia="宋体"/>
          <w:sz w:val="24"/>
          <w:szCs w:val="24"/>
        </w:rPr>
        <w:t>（溶脂针）</w:t>
      </w:r>
    </w:p>
    <w:p>
      <w:pPr>
        <w:tabs>
          <w:tab w:val="left" w:pos="567"/>
        </w:tabs>
        <w:spacing w:line="360" w:lineRule="auto"/>
        <w:ind w:firstLine="480" w:firstLineChars="200"/>
        <w:rPr>
          <w:rFonts w:asciiTheme="minorEastAsia" w:hAnsiTheme="minorEastAsia"/>
          <w:sz w:val="24"/>
          <w:szCs w:val="24"/>
        </w:rPr>
      </w:pPr>
      <w:r>
        <w:rPr>
          <w:rFonts w:hint="eastAsia" w:ascii="宋体" w:hAnsi="宋体" w:eastAsia="宋体"/>
          <w:sz w:val="24"/>
          <w:szCs w:val="24"/>
        </w:rPr>
        <w:t>据Frost&amp;Sullivan 测算，以销售额计，2023年中国溶脂针市场规模约为1.34亿元，2030年中国市场规模预计将达39.2亿元。</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公司优势：</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公司拥有20余年的医药研发、临床和注册报批的经验，与医美产品的研发、临床和注册具有较强的协同性。随着医美行业的监管日益严格，药企高标准的研发管理体系的优势将愈发显现。</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公司目前医美管线产品矩阵完善、布局节奏清晰，未来新品陆续上市将驱动公司有机增长。其中的聚乳酸填充物为一款在海外知名度高的再生类产品，该产品在60多个国家和地区已经取证上市，市场反馈良好。</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w:t>
      </w:r>
      <w:r>
        <w:rPr>
          <w:rFonts w:asciiTheme="minorEastAsia" w:hAnsiTheme="minorEastAsia"/>
          <w:sz w:val="24"/>
          <w:szCs w:val="24"/>
        </w:rPr>
        <w:t>作为一家上市20余年的制药企业，公司在企业的管理运营、产品的研产销等环节均建立有高标准的管理体系，相较于中小型医美上游企业有显著的优势，更加贴合目前医美市场合规化的发展趋势。</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公司目前已经建有一支涵盖研产销各个环节的医美团队。其中研发和生产团队主要由公司内部原有的医药板块团队转岗组成，拥有高标准的药品相关的研发和生产经验和管理能力，且对公司忠诚度较高；营销团队主要引进自国内外一流的医美企业，拥有优异的销售往绩。</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w:t>
      </w:r>
      <w:r>
        <w:rPr>
          <w:rFonts w:asciiTheme="minorEastAsia" w:hAnsiTheme="minorEastAsia"/>
          <w:sz w:val="24"/>
          <w:szCs w:val="24"/>
        </w:rPr>
        <w:t>经营安排：</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(1)在研发上，公司将持续加大研发投入，一方面加强现有研发项目的管理，加速推进已有产品管线的研发和临床注册进度，另一方面围绕高端注射类医美产品进一步拓展产品管线。在上游技术方面，聚焦于生物科技材料，持续深耕重组胶原蛋白的原料制剂一体化研发和生产。同时，公司持续高度重视研发产品的安全性和产品资质的合规性。</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(2)在销售渠道上，公司将对未来的核心产品采取以直营为主、招商为辅的形式。</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(3)在营销体系建设上，公司将继续扩大营销团队，加强客户覆盖的深度和广度，并优化市场品牌策略。重点投入医生教育和培训体系，为待上市产品做好充分的市场铺垫，建立高端的产品形象、锁定目标客群。</w:t>
      </w:r>
    </w:p>
    <w:p>
      <w:pPr>
        <w:tabs>
          <w:tab w:val="left" w:pos="567"/>
        </w:tabs>
        <w:spacing w:line="360" w:lineRule="auto"/>
        <w:ind w:left="424" w:leftChars="202"/>
        <w:rPr>
          <w:rFonts w:asciiTheme="minorEastAsia" w:hAnsiTheme="minorEastAsia"/>
          <w:sz w:val="24"/>
          <w:szCs w:val="24"/>
        </w:rPr>
      </w:pP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（二）</w:t>
      </w:r>
      <w:r>
        <w:rPr>
          <w:rFonts w:asciiTheme="minorEastAsia" w:hAnsiTheme="minorEastAsia"/>
          <w:b/>
          <w:sz w:val="24"/>
          <w:szCs w:val="24"/>
        </w:rPr>
        <w:t>补充披露医美业务营业收入涉及的产品、客户，对应金额，并说明在医美类产品均处于研究或临床阶段的情况下，产生营业收入的原因</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2022年产生的医美生科业务收入来自于公司经销的一款重组胶原蛋白生物修复敷料。该产品的品牌名为“婴芙源”，相关商标为</w:t>
      </w:r>
      <w:r>
        <w:rPr>
          <w:rFonts w:hint="eastAsia" w:asciiTheme="minorEastAsia" w:hAnsiTheme="minorEastAsia"/>
          <w:sz w:val="24"/>
          <w:szCs w:val="24"/>
        </w:rPr>
        <w:t>子公司江苏</w:t>
      </w:r>
      <w:r>
        <w:rPr>
          <w:rFonts w:asciiTheme="minorEastAsia" w:hAnsiTheme="minorEastAsia"/>
          <w:sz w:val="24"/>
          <w:szCs w:val="24"/>
        </w:rPr>
        <w:t>吴中美学</w:t>
      </w:r>
      <w:r>
        <w:rPr>
          <w:rFonts w:hint="eastAsia" w:asciiTheme="minorEastAsia" w:hAnsiTheme="minorEastAsia"/>
          <w:sz w:val="24"/>
          <w:szCs w:val="24"/>
        </w:rPr>
        <w:t>生物科技有限公司（以下简称“吴中美学”）</w:t>
      </w:r>
      <w:r>
        <w:rPr>
          <w:rFonts w:asciiTheme="minorEastAsia" w:hAnsiTheme="minorEastAsia"/>
          <w:sz w:val="24"/>
          <w:szCs w:val="24"/>
        </w:rPr>
        <w:t>持有。</w:t>
      </w:r>
    </w:p>
    <w:p>
      <w:pPr>
        <w:tabs>
          <w:tab w:val="left" w:pos="567"/>
        </w:tabs>
        <w:spacing w:line="360" w:lineRule="auto"/>
        <w:ind w:left="424" w:leftChars="202"/>
        <w:jc w:val="right"/>
        <w:rPr>
          <w:rFonts w:asciiTheme="minorEastAsia" w:hAnsiTheme="minorEastAsia"/>
          <w:sz w:val="24"/>
          <w:szCs w:val="24"/>
        </w:rPr>
      </w:pPr>
      <w:r>
        <w:rPr>
          <w:rFonts w:asciiTheme="minorEastAsia" w:hAnsiTheme="minorEastAsia"/>
          <w:sz w:val="24"/>
          <w:szCs w:val="24"/>
        </w:rPr>
        <w:t>单位：元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5"/>
        <w:gridCol w:w="3119"/>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10" w:type="pct"/>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客户名称</w:t>
            </w:r>
          </w:p>
        </w:tc>
        <w:tc>
          <w:tcPr>
            <w:tcW w:w="1830" w:type="pct"/>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商品名称</w:t>
            </w:r>
          </w:p>
        </w:tc>
        <w:tc>
          <w:tcPr>
            <w:tcW w:w="1360" w:type="pct"/>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销售额（不含税）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10" w:type="pct"/>
            <w:shd w:val="clear" w:color="auto" w:fill="auto"/>
            <w:noWrap/>
            <w:vAlign w:val="center"/>
          </w:tcPr>
          <w:p>
            <w:pPr>
              <w:widowControl/>
              <w:tabs>
                <w:tab w:val="left" w:pos="567"/>
              </w:tabs>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客户A</w:t>
            </w:r>
          </w:p>
        </w:tc>
        <w:tc>
          <w:tcPr>
            <w:tcW w:w="1830" w:type="pct"/>
            <w:vMerge w:val="restart"/>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重组胶原蛋白生物修复敷料</w:t>
            </w:r>
          </w:p>
        </w:tc>
        <w:tc>
          <w:tcPr>
            <w:tcW w:w="1360" w:type="pct"/>
            <w:shd w:val="clear" w:color="auto" w:fill="auto"/>
            <w:vAlign w:val="center"/>
          </w:tcPr>
          <w:p>
            <w:pPr>
              <w:widowControl/>
              <w:tabs>
                <w:tab w:val="left" w:pos="567"/>
              </w:tabs>
              <w:jc w:val="right"/>
              <w:rPr>
                <w:rFonts w:cs="宋体" w:asciiTheme="minorEastAsia" w:hAnsiTheme="minorEastAsia"/>
                <w:color w:val="000000"/>
                <w:kern w:val="0"/>
                <w:szCs w:val="21"/>
              </w:rPr>
            </w:pPr>
            <w:r>
              <w:rPr>
                <w:rFonts w:cs="宋体" w:asciiTheme="minorEastAsia" w:hAnsiTheme="minorEastAsia"/>
                <w:color w:val="000000"/>
                <w:kern w:val="0"/>
                <w:szCs w:val="21"/>
              </w:rPr>
              <w:t>212,389.38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10" w:type="pct"/>
            <w:shd w:val="clear" w:color="auto" w:fill="auto"/>
            <w:noWrap/>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其他零散销售</w:t>
            </w:r>
          </w:p>
        </w:tc>
        <w:tc>
          <w:tcPr>
            <w:tcW w:w="1830" w:type="pct"/>
            <w:vMerge w:val="continue"/>
            <w:shd w:val="clear" w:color="auto" w:fill="auto"/>
            <w:vAlign w:val="center"/>
          </w:tcPr>
          <w:p>
            <w:pPr>
              <w:widowControl/>
              <w:tabs>
                <w:tab w:val="left" w:pos="567"/>
              </w:tabs>
              <w:jc w:val="center"/>
              <w:rPr>
                <w:rFonts w:cs="宋体" w:asciiTheme="minorEastAsia" w:hAnsiTheme="minorEastAsia"/>
                <w:color w:val="000000"/>
                <w:kern w:val="0"/>
                <w:szCs w:val="21"/>
              </w:rPr>
            </w:pPr>
          </w:p>
        </w:tc>
        <w:tc>
          <w:tcPr>
            <w:tcW w:w="1360" w:type="pct"/>
            <w:shd w:val="clear" w:color="auto" w:fill="auto"/>
            <w:noWrap/>
            <w:vAlign w:val="center"/>
          </w:tcPr>
          <w:p>
            <w:pPr>
              <w:widowControl/>
              <w:tabs>
                <w:tab w:val="left" w:pos="567"/>
              </w:tabs>
              <w:jc w:val="right"/>
              <w:rPr>
                <w:rFonts w:cs="宋体" w:asciiTheme="minorEastAsia" w:hAnsiTheme="minorEastAsia"/>
                <w:color w:val="000000"/>
                <w:kern w:val="0"/>
                <w:szCs w:val="21"/>
              </w:rPr>
            </w:pPr>
            <w:r>
              <w:rPr>
                <w:rFonts w:cs="宋体" w:asciiTheme="minorEastAsia" w:hAnsiTheme="minorEastAsia"/>
                <w:color w:val="000000"/>
                <w:kern w:val="0"/>
                <w:szCs w:val="21"/>
              </w:rPr>
              <w:t>60,080.31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810" w:type="pct"/>
            <w:shd w:val="clear" w:color="auto" w:fill="auto"/>
            <w:noWrap/>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合计</w:t>
            </w:r>
          </w:p>
        </w:tc>
        <w:tc>
          <w:tcPr>
            <w:tcW w:w="1830" w:type="pct"/>
            <w:shd w:val="clear" w:color="auto" w:fill="auto"/>
            <w:noWrap/>
            <w:vAlign w:val="center"/>
          </w:tcPr>
          <w:p>
            <w:pPr>
              <w:widowControl/>
              <w:tabs>
                <w:tab w:val="left" w:pos="567"/>
              </w:tabs>
              <w:jc w:val="center"/>
              <w:rPr>
                <w:rFonts w:cs="宋体" w:asciiTheme="minorEastAsia" w:hAnsiTheme="minorEastAsia"/>
                <w:color w:val="000000"/>
                <w:kern w:val="0"/>
                <w:szCs w:val="21"/>
              </w:rPr>
            </w:pPr>
          </w:p>
        </w:tc>
        <w:tc>
          <w:tcPr>
            <w:tcW w:w="1360" w:type="pct"/>
            <w:shd w:val="clear" w:color="auto" w:fill="auto"/>
            <w:noWrap/>
            <w:vAlign w:val="center"/>
          </w:tcPr>
          <w:p>
            <w:pPr>
              <w:widowControl/>
              <w:tabs>
                <w:tab w:val="left" w:pos="567"/>
              </w:tabs>
              <w:jc w:val="right"/>
              <w:rPr>
                <w:rFonts w:cs="宋体" w:asciiTheme="minorEastAsia" w:hAnsiTheme="minorEastAsia"/>
                <w:color w:val="000000"/>
                <w:kern w:val="0"/>
                <w:szCs w:val="21"/>
              </w:rPr>
            </w:pPr>
            <w:r>
              <w:rPr>
                <w:rFonts w:cs="宋体" w:asciiTheme="minorEastAsia" w:hAnsiTheme="minorEastAsia"/>
                <w:color w:val="000000"/>
                <w:kern w:val="0"/>
                <w:szCs w:val="21"/>
              </w:rPr>
              <w:t>272,469.69</w:t>
            </w:r>
          </w:p>
        </w:tc>
      </w:tr>
    </w:tbl>
    <w:p>
      <w:pPr>
        <w:tabs>
          <w:tab w:val="left" w:pos="567"/>
        </w:tabs>
        <w:spacing w:line="360" w:lineRule="auto"/>
        <w:ind w:left="424" w:leftChars="202" w:firstLine="480" w:firstLineChars="200"/>
        <w:rPr>
          <w:rFonts w:asciiTheme="minorEastAsia" w:hAnsiTheme="minorEastAsia"/>
          <w:sz w:val="24"/>
          <w:szCs w:val="24"/>
        </w:rPr>
      </w:pP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（三）</w:t>
      </w:r>
      <w:r>
        <w:rPr>
          <w:rFonts w:asciiTheme="minorEastAsia" w:hAnsiTheme="minorEastAsia"/>
          <w:b/>
          <w:sz w:val="24"/>
          <w:szCs w:val="24"/>
        </w:rPr>
        <w:t>结合达透医疗本期主要财务数据及经营情况，说明未计提长期股权投资减值准备的合理性</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2022年末达透医疗器械(深圳)有限公司</w:t>
      </w:r>
      <w:r>
        <w:rPr>
          <w:rFonts w:hint="eastAsia" w:asciiTheme="minorEastAsia" w:hAnsiTheme="minorEastAsia"/>
          <w:sz w:val="24"/>
          <w:szCs w:val="24"/>
        </w:rPr>
        <w:t>（以下简称</w:t>
      </w:r>
      <w:r>
        <w:rPr>
          <w:rFonts w:hint="eastAsia" w:asciiTheme="minorEastAsia" w:hAnsiTheme="minorEastAsia"/>
          <w:sz w:val="24"/>
          <w:szCs w:val="24"/>
          <w:lang w:eastAsia="zh-CN"/>
        </w:rPr>
        <w:t>：</w:t>
      </w:r>
      <w:r>
        <w:rPr>
          <w:rFonts w:hint="eastAsia" w:asciiTheme="minorEastAsia" w:hAnsiTheme="minorEastAsia"/>
          <w:sz w:val="24"/>
          <w:szCs w:val="24"/>
        </w:rPr>
        <w:t>达透医疗公司）</w:t>
      </w:r>
      <w:r>
        <w:rPr>
          <w:rFonts w:asciiTheme="minorEastAsia" w:hAnsiTheme="minorEastAsia"/>
          <w:sz w:val="24"/>
          <w:szCs w:val="24"/>
        </w:rPr>
        <w:t>资产总额为</w:t>
      </w:r>
      <w:r>
        <w:rPr>
          <w:rFonts w:hint="eastAsia" w:asciiTheme="minorEastAsia" w:hAnsiTheme="minorEastAsia"/>
          <w:kern w:val="0"/>
          <w:sz w:val="24"/>
          <w:szCs w:val="24"/>
        </w:rPr>
        <w:t>3,538.46万元，净资产为3,425.24万元。</w:t>
      </w:r>
      <w:r>
        <w:rPr>
          <w:rFonts w:asciiTheme="minorEastAsia" w:hAnsiTheme="minorEastAsia"/>
          <w:sz w:val="24"/>
          <w:szCs w:val="24"/>
        </w:rPr>
        <w:t>2022年</w:t>
      </w:r>
      <w:r>
        <w:rPr>
          <w:rFonts w:hint="eastAsia" w:asciiTheme="minorEastAsia" w:hAnsiTheme="minorEastAsia"/>
          <w:sz w:val="24"/>
          <w:szCs w:val="24"/>
        </w:rPr>
        <w:t>达透医疗</w:t>
      </w:r>
      <w:r>
        <w:rPr>
          <w:rFonts w:asciiTheme="minorEastAsia" w:hAnsiTheme="minorEastAsia"/>
          <w:sz w:val="24"/>
          <w:szCs w:val="24"/>
        </w:rPr>
        <w:t>公司主要经营活动为项目研发，未实现销售，2022年度净利润为-161.46万元。</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2022年度，公司通过增资+股权转让的方式（共需投入人民币16,600万元）取得达透医疗</w:t>
      </w:r>
      <w:r>
        <w:rPr>
          <w:rFonts w:hint="eastAsia" w:asciiTheme="minorEastAsia" w:hAnsiTheme="minorEastAsia"/>
          <w:sz w:val="24"/>
          <w:szCs w:val="24"/>
        </w:rPr>
        <w:t>公司</w:t>
      </w:r>
      <w:r>
        <w:rPr>
          <w:rFonts w:asciiTheme="minorEastAsia" w:hAnsiTheme="minorEastAsia"/>
          <w:sz w:val="24"/>
          <w:szCs w:val="24"/>
        </w:rPr>
        <w:t>51%的股权。达透医疗公司目前享有韩国公司RegenBiotech,Inc产品AestheFill在中国大陆地区的独家销售代理权</w:t>
      </w:r>
      <w:r>
        <w:rPr>
          <w:rFonts w:hint="eastAsia" w:asciiTheme="minorEastAsia" w:hAnsiTheme="minorEastAsia"/>
          <w:sz w:val="24"/>
          <w:szCs w:val="24"/>
        </w:rPr>
        <w:t>，</w:t>
      </w:r>
      <w:r>
        <w:rPr>
          <w:rFonts w:asciiTheme="minorEastAsia" w:hAnsiTheme="minorEastAsia"/>
          <w:sz w:val="24"/>
          <w:szCs w:val="24"/>
        </w:rPr>
        <w:t>该产品由达透医疗</w:t>
      </w:r>
      <w:r>
        <w:rPr>
          <w:rFonts w:hint="eastAsia" w:asciiTheme="minorEastAsia" w:hAnsiTheme="minorEastAsia"/>
          <w:sz w:val="24"/>
          <w:szCs w:val="24"/>
        </w:rPr>
        <w:t>公司实施</w:t>
      </w:r>
      <w:r>
        <w:rPr>
          <w:rFonts w:asciiTheme="minorEastAsia" w:hAnsiTheme="minorEastAsia"/>
          <w:sz w:val="24"/>
          <w:szCs w:val="24"/>
        </w:rPr>
        <w:t>向国家药品监督管理局（NMPA）申请批准上市</w:t>
      </w:r>
      <w:r>
        <w:rPr>
          <w:rFonts w:hint="eastAsia" w:asciiTheme="minorEastAsia" w:hAnsiTheme="minorEastAsia"/>
          <w:sz w:val="24"/>
          <w:szCs w:val="24"/>
        </w:rPr>
        <w:t>的申请工作</w:t>
      </w:r>
      <w:r>
        <w:rPr>
          <w:rFonts w:asciiTheme="minorEastAsia" w:hAnsiTheme="minorEastAsia"/>
          <w:sz w:val="24"/>
          <w:szCs w:val="24"/>
        </w:rPr>
        <w:t>。该项目目前处于</w:t>
      </w:r>
      <w:r>
        <w:rPr>
          <w:rFonts w:hint="eastAsia" w:asciiTheme="minorEastAsia" w:hAnsiTheme="minorEastAsia"/>
          <w:sz w:val="24"/>
          <w:szCs w:val="24"/>
        </w:rPr>
        <w:t>第</w:t>
      </w:r>
      <w:r>
        <w:rPr>
          <w:rFonts w:cs="Arial" w:asciiTheme="minorEastAsia" w:hAnsiTheme="minorEastAsia"/>
          <w:sz w:val="24"/>
          <w:szCs w:val="24"/>
          <w:shd w:val="clear" w:color="auto" w:fill="FFFFFF"/>
        </w:rPr>
        <w:t>三类医疗器械</w:t>
      </w:r>
      <w:r>
        <w:rPr>
          <w:rFonts w:cs="Courier New" w:asciiTheme="minorEastAsia" w:hAnsiTheme="minorEastAsia"/>
          <w:sz w:val="24"/>
          <w:szCs w:val="24"/>
          <w:shd w:val="clear" w:color="auto" w:fill="FFFFFF"/>
        </w:rPr>
        <w:t>CMDE</w:t>
      </w:r>
      <w:r>
        <w:rPr>
          <w:rFonts w:cs="Arial" w:asciiTheme="minorEastAsia" w:hAnsiTheme="minorEastAsia"/>
          <w:sz w:val="24"/>
          <w:szCs w:val="24"/>
          <w:shd w:val="clear" w:color="auto" w:fill="FFFFFF"/>
        </w:rPr>
        <w:t>技术评审阶段</w:t>
      </w:r>
      <w:r>
        <w:rPr>
          <w:rFonts w:asciiTheme="minorEastAsia" w:hAnsiTheme="minorEastAsia"/>
          <w:sz w:val="24"/>
          <w:szCs w:val="24"/>
        </w:rPr>
        <w:t>。</w:t>
      </w:r>
    </w:p>
    <w:p>
      <w:pPr>
        <w:tabs>
          <w:tab w:val="left" w:pos="567"/>
        </w:tabs>
        <w:spacing w:line="360" w:lineRule="auto"/>
        <w:ind w:firstLine="480" w:firstLineChars="200"/>
        <w:rPr>
          <w:rFonts w:cs="Arial" w:asciiTheme="minorEastAsia" w:hAnsiTheme="minorEastAsia"/>
          <w:sz w:val="24"/>
          <w:szCs w:val="24"/>
          <w:shd w:val="clear" w:color="auto" w:fill="FFFFFF"/>
        </w:rPr>
      </w:pPr>
      <w:r>
        <w:rPr>
          <w:rFonts w:cs="Arial" w:asciiTheme="minorEastAsia" w:hAnsiTheme="minorEastAsia"/>
          <w:sz w:val="24"/>
          <w:szCs w:val="24"/>
          <w:shd w:val="clear" w:color="auto" w:fill="FFFFFF"/>
        </w:rPr>
        <w:t>AestheFill为</w:t>
      </w:r>
      <w:r>
        <w:rPr>
          <w:rFonts w:hint="eastAsia" w:cs="Arial" w:asciiTheme="minorEastAsia" w:hAnsiTheme="minorEastAsia"/>
          <w:sz w:val="24"/>
          <w:szCs w:val="24"/>
          <w:shd w:val="clear" w:color="auto" w:fill="FFFFFF"/>
        </w:rPr>
        <w:t>一种聚双旋乳酸童颜针，</w:t>
      </w:r>
      <w:r>
        <w:rPr>
          <w:rFonts w:cs="Arial" w:asciiTheme="minorEastAsia" w:hAnsiTheme="minorEastAsia"/>
          <w:sz w:val="24"/>
          <w:szCs w:val="24"/>
          <w:shd w:val="clear" w:color="auto" w:fill="FFFFFF"/>
        </w:rPr>
        <w:t>目前中国已经取证上市销售的基于聚乳酸生物高分子材料的皮肤填充剂产品主要有爱美客的“濡白天使”以及长春圣博玛生物材料有限公司的"艾维岚"。根据Frost&amp;Sullivan报告预测，以销售额（出厂价）计，中国基于聚乳酸生物高分子材料的皮肤填充剂产品2026年销售将达人民币18.2亿元，2021年至2026年的年复合增长率为74.9%，预计2030年将达到人民币37.6亿元，2026年至2030年的年复合增长率为19.9%。</w:t>
      </w:r>
    </w:p>
    <w:p>
      <w:pPr>
        <w:tabs>
          <w:tab w:val="left" w:pos="567"/>
        </w:tabs>
        <w:spacing w:line="360" w:lineRule="auto"/>
        <w:ind w:firstLine="480" w:firstLineChars="200"/>
        <w:rPr>
          <w:rFonts w:asciiTheme="minorEastAsia" w:hAnsiTheme="minorEastAsia"/>
          <w:sz w:val="24"/>
          <w:szCs w:val="24"/>
        </w:rPr>
      </w:pPr>
      <w:r>
        <w:rPr>
          <w:rFonts w:hint="eastAsia" w:cs="Arial" w:asciiTheme="minorEastAsia" w:hAnsiTheme="minorEastAsia"/>
          <w:sz w:val="24"/>
          <w:szCs w:val="24"/>
          <w:shd w:val="clear" w:color="auto" w:fill="FFFFFF"/>
        </w:rPr>
        <w:t>公司的AestheFIll产品按目前研发进度，预计在2024年度可上市销售。基于Frost&amp;Sullivan的行业空间预测、较为保守的AestheFIll市场占有率假设、费用率假设和折现率假设，采用收益法对2022年末达透公司51%的股权价值进行测算（假定公司已完成对该公司增资并将增资额折现到2022年12月末），测算结果远高于公司目前已投资金额及后续将增资、股权转让金额的总和，未见减值迹象，无需计提长期股权投资减值准备。</w:t>
      </w:r>
    </w:p>
    <w:p>
      <w:pPr>
        <w:tabs>
          <w:tab w:val="left" w:pos="567"/>
        </w:tabs>
        <w:spacing w:line="360" w:lineRule="auto"/>
        <w:ind w:left="424" w:leftChars="202" w:firstLine="480" w:firstLineChars="200"/>
        <w:rPr>
          <w:rFonts w:asciiTheme="minorEastAsia" w:hAnsiTheme="minorEastAsia"/>
          <w:sz w:val="24"/>
          <w:szCs w:val="24"/>
        </w:rPr>
      </w:pPr>
    </w:p>
    <w:p>
      <w:pPr>
        <w:tabs>
          <w:tab w:val="left" w:pos="567"/>
        </w:tabs>
        <w:spacing w:line="360" w:lineRule="auto"/>
        <w:ind w:firstLine="482" w:firstLineChars="200"/>
        <w:rPr>
          <w:rFonts w:asciiTheme="minorEastAsia" w:hAnsiTheme="minorEastAsia"/>
          <w:b/>
          <w:sz w:val="24"/>
          <w:szCs w:val="24"/>
        </w:rPr>
      </w:pPr>
      <w:r>
        <w:rPr>
          <w:rFonts w:asciiTheme="minorEastAsia" w:hAnsiTheme="minorEastAsia"/>
          <w:b/>
          <w:sz w:val="24"/>
          <w:szCs w:val="24"/>
        </w:rPr>
        <w:t>(</w:t>
      </w:r>
      <w:r>
        <w:rPr>
          <w:rFonts w:hint="eastAsia" w:asciiTheme="minorEastAsia" w:hAnsiTheme="minorEastAsia"/>
          <w:b/>
          <w:sz w:val="24"/>
          <w:szCs w:val="24"/>
        </w:rPr>
        <w:t>四</w:t>
      </w:r>
      <w:r>
        <w:rPr>
          <w:rFonts w:asciiTheme="minorEastAsia" w:hAnsiTheme="minorEastAsia"/>
          <w:b/>
          <w:sz w:val="24"/>
          <w:szCs w:val="24"/>
        </w:rPr>
        <w:t>)结合第(</w:t>
      </w:r>
      <w:r>
        <w:rPr>
          <w:rFonts w:hint="eastAsia" w:asciiTheme="minorEastAsia" w:hAnsiTheme="minorEastAsia"/>
          <w:b/>
          <w:sz w:val="24"/>
          <w:szCs w:val="24"/>
        </w:rPr>
        <w:t>一</w:t>
      </w:r>
      <w:r>
        <w:rPr>
          <w:rFonts w:asciiTheme="minorEastAsia" w:hAnsiTheme="minorEastAsia"/>
          <w:b/>
          <w:sz w:val="24"/>
          <w:szCs w:val="24"/>
        </w:rPr>
        <w:t>)(</w:t>
      </w:r>
      <w:r>
        <w:rPr>
          <w:rFonts w:hint="eastAsia" w:asciiTheme="minorEastAsia" w:hAnsiTheme="minorEastAsia"/>
          <w:b/>
          <w:sz w:val="24"/>
          <w:szCs w:val="24"/>
        </w:rPr>
        <w:t>二</w:t>
      </w:r>
      <w:r>
        <w:rPr>
          <w:rFonts w:asciiTheme="minorEastAsia" w:hAnsiTheme="minorEastAsia"/>
          <w:b/>
          <w:sz w:val="24"/>
          <w:szCs w:val="24"/>
        </w:rPr>
        <w:t>)问及医美业务本期亏损情况，对照前期公告对医美业务规划等相关表述，说明截至目前尚未达成相关愿景的原因，前期医美相关披露事项是否客观、审慎，风险提示是否到位。请会计师对问题(</w:t>
      </w:r>
      <w:r>
        <w:rPr>
          <w:rFonts w:hint="eastAsia" w:asciiTheme="minorEastAsia" w:hAnsiTheme="minorEastAsia"/>
          <w:b/>
          <w:sz w:val="24"/>
          <w:szCs w:val="24"/>
        </w:rPr>
        <w:t>二</w:t>
      </w:r>
      <w:r>
        <w:rPr>
          <w:rFonts w:asciiTheme="minorEastAsia" w:hAnsiTheme="minorEastAsia"/>
          <w:b/>
          <w:sz w:val="24"/>
          <w:szCs w:val="24"/>
        </w:rPr>
        <w:t>)和(</w:t>
      </w:r>
      <w:r>
        <w:rPr>
          <w:rFonts w:hint="eastAsia" w:asciiTheme="minorEastAsia" w:hAnsiTheme="minorEastAsia"/>
          <w:b/>
          <w:sz w:val="24"/>
          <w:szCs w:val="24"/>
        </w:rPr>
        <w:t>三</w:t>
      </w:r>
      <w:r>
        <w:rPr>
          <w:rFonts w:asciiTheme="minorEastAsia" w:hAnsiTheme="minorEastAsia"/>
          <w:b/>
          <w:sz w:val="24"/>
          <w:szCs w:val="24"/>
        </w:rPr>
        <w:t>)发表意见。请全体董监高对问题(</w:t>
      </w:r>
      <w:r>
        <w:rPr>
          <w:rFonts w:hint="eastAsia" w:asciiTheme="minorEastAsia" w:hAnsiTheme="minorEastAsia"/>
          <w:b/>
          <w:sz w:val="24"/>
          <w:szCs w:val="24"/>
        </w:rPr>
        <w:t>四</w:t>
      </w:r>
      <w:r>
        <w:rPr>
          <w:rFonts w:asciiTheme="minorEastAsia" w:hAnsiTheme="minorEastAsia"/>
          <w:b/>
          <w:sz w:val="24"/>
          <w:szCs w:val="24"/>
        </w:rPr>
        <w:t>)发表意见。</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医美生科业务板块目前处于亏损状态，主要原因为该板块产品管线主要处于项目研发及医疗器械许可证注册审批阶段。同时，公司全资子公司吴中美学在收购AestheFill在中国大陆地区的独家销售代理权时，披露了《江苏吴中医药发展股份有限公司关于对外投资的公告》，亦做了相关的风险提示说明（详见公司2021-082号公告）；此外，公司在投资者交流活动中亦对相关产品管线的研发进度及预期做了必要的风险提示说明。全体董监高一致认为公司前期在临时公告、定期报告、业绩说明会、投资者交流活动中对医美业务规划等相关表述及披露事项是客观、审慎的，相关风险提示是充分的。</w:t>
      </w:r>
    </w:p>
    <w:p>
      <w:pPr>
        <w:tabs>
          <w:tab w:val="left" w:pos="567"/>
        </w:tabs>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会计师核查意见：</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会计师在对江苏吴中2022年度财务报表的审计过程中针对上述事项，执行了以下程序：</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1．了解与评价管理层与收入相关的关键内部控制的设计，并测试了关键控制执行的有效性；</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2．吴中美学收入我们在2022年审期间实施了详细审计，包括但不限于检查销售合同、物流单据、销售发票 、客户签收单以及银行收款单据等；</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3．检查达透医疗公司投资协议、公司章程、获取2022年12月达透医疗公司未审财务报表，详细了解达透医疗的财务状况，分析经营概况；</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询问了解公司对达透医疗公司的前期市场调研情况，查阅公司对达透医疗公司未来5年的盈利预测表，分析营业额预测依据、预测毛利率、费用率、税金成本等和同行业可比公司公开信息的对比分析，是否和同行业存在重大偏差。</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经核查，会计师认为：</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（1）公司医美类产品目前属于自有商标商品的贸易交易，拟主打产品目前处于研发阶段；</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（2）公司拟主打的医美类商品以及自有品牌商品预期能够给公司提升一定的盈利能力，长期股权投资未见明显减值迹象，本期未计提减值准备相对合理。</w:t>
      </w:r>
    </w:p>
    <w:p>
      <w:pPr>
        <w:tabs>
          <w:tab w:val="left" w:pos="567"/>
        </w:tabs>
        <w:spacing w:line="360" w:lineRule="auto"/>
        <w:ind w:firstLine="482" w:firstLineChars="200"/>
        <w:outlineLvl w:val="0"/>
        <w:rPr>
          <w:rFonts w:asciiTheme="minorEastAsia" w:hAnsiTheme="minorEastAsia"/>
          <w:b/>
          <w:sz w:val="24"/>
          <w:szCs w:val="24"/>
        </w:rPr>
      </w:pPr>
    </w:p>
    <w:p>
      <w:pPr>
        <w:tabs>
          <w:tab w:val="left" w:pos="567"/>
        </w:tabs>
        <w:spacing w:line="360" w:lineRule="auto"/>
        <w:ind w:firstLine="482" w:firstLineChars="200"/>
        <w:outlineLvl w:val="0"/>
        <w:rPr>
          <w:rFonts w:asciiTheme="minorEastAsia" w:hAnsiTheme="minorEastAsia"/>
          <w:b/>
          <w:sz w:val="24"/>
          <w:szCs w:val="24"/>
        </w:rPr>
      </w:pPr>
      <w:r>
        <w:rPr>
          <w:rFonts w:asciiTheme="minorEastAsia" w:hAnsiTheme="minorEastAsia"/>
          <w:b/>
          <w:sz w:val="24"/>
          <w:szCs w:val="24"/>
        </w:rPr>
        <w:t>五、根据年度报告，2022年公司研发投入金额为5034.59万元，占营业收入的比例为2.48%，低于同期医药上市公司中位数水平。研发投入资本化的比重为39.80%，高于同期医药上市公司平均水平，且高于年报列示的同行业可比公司。此外，年报列示的5家同行业可比公司中，部分公司主要经营中药业务，与公司主营存在不一致。</w:t>
      </w:r>
    </w:p>
    <w:p>
      <w:pPr>
        <w:tabs>
          <w:tab w:val="left" w:pos="567"/>
        </w:tabs>
        <w:spacing w:line="360" w:lineRule="auto"/>
        <w:ind w:firstLine="482" w:firstLineChars="200"/>
        <w:rPr>
          <w:rFonts w:asciiTheme="minorEastAsia" w:hAnsiTheme="minorEastAsia"/>
          <w:b/>
          <w:sz w:val="24"/>
          <w:szCs w:val="24"/>
        </w:rPr>
      </w:pPr>
      <w:r>
        <w:rPr>
          <w:rFonts w:asciiTheme="minorEastAsia" w:hAnsiTheme="minorEastAsia"/>
          <w:b/>
          <w:sz w:val="24"/>
          <w:szCs w:val="24"/>
        </w:rPr>
        <w:t>请公司：(</w:t>
      </w:r>
      <w:r>
        <w:rPr>
          <w:rFonts w:hint="eastAsia" w:asciiTheme="minorEastAsia" w:hAnsiTheme="minorEastAsia"/>
          <w:b/>
          <w:sz w:val="24"/>
          <w:szCs w:val="24"/>
        </w:rPr>
        <w:t>一</w:t>
      </w:r>
      <w:r>
        <w:rPr>
          <w:rFonts w:asciiTheme="minorEastAsia" w:hAnsiTheme="minorEastAsia"/>
          <w:b/>
          <w:sz w:val="24"/>
          <w:szCs w:val="24"/>
        </w:rPr>
        <w:t>)以表格列示各研发项目的研发阶段、研发投入金额、研发进度、费用化和资本化时点及对应金额；(</w:t>
      </w:r>
      <w:r>
        <w:rPr>
          <w:rFonts w:hint="eastAsia" w:asciiTheme="minorEastAsia" w:hAnsiTheme="minorEastAsia"/>
          <w:b/>
          <w:sz w:val="24"/>
          <w:szCs w:val="24"/>
        </w:rPr>
        <w:t>二</w:t>
      </w:r>
      <w:r>
        <w:rPr>
          <w:rFonts w:asciiTheme="minorEastAsia" w:hAnsiTheme="minorEastAsia"/>
          <w:b/>
          <w:sz w:val="24"/>
          <w:szCs w:val="24"/>
        </w:rPr>
        <w:t>)补充披露公司研发投入资本化的具体会计政策，结合公司研发政策、历史研发项目终止及减值情况(如有)、同行业公司情况等说明前述研发投入资本化的合理性，是否符合会计准则规定；(</w:t>
      </w:r>
      <w:r>
        <w:rPr>
          <w:rFonts w:hint="eastAsia" w:asciiTheme="minorEastAsia" w:hAnsiTheme="minorEastAsia"/>
          <w:b/>
          <w:sz w:val="24"/>
          <w:szCs w:val="24"/>
        </w:rPr>
        <w:t>三</w:t>
      </w:r>
      <w:r>
        <w:rPr>
          <w:rFonts w:asciiTheme="minorEastAsia" w:hAnsiTheme="minorEastAsia"/>
          <w:b/>
          <w:sz w:val="24"/>
          <w:szCs w:val="24"/>
        </w:rPr>
        <w:t>)对比同行业公司研发投入及占比情况，分析研发能力和竞争优劣势；(</w:t>
      </w:r>
      <w:r>
        <w:rPr>
          <w:rFonts w:hint="eastAsia" w:asciiTheme="minorEastAsia" w:hAnsiTheme="minorEastAsia"/>
          <w:b/>
          <w:sz w:val="24"/>
          <w:szCs w:val="24"/>
        </w:rPr>
        <w:t>四</w:t>
      </w:r>
      <w:r>
        <w:rPr>
          <w:rFonts w:asciiTheme="minorEastAsia" w:hAnsiTheme="minorEastAsia"/>
          <w:b/>
          <w:sz w:val="24"/>
          <w:szCs w:val="24"/>
        </w:rPr>
        <w:t>)结合公司主营业务，说明年报所列示的同行业可比公司的选取标准及合理性。请会计师发表意见。</w:t>
      </w:r>
    </w:p>
    <w:p>
      <w:pPr>
        <w:tabs>
          <w:tab w:val="left" w:pos="567"/>
        </w:tabs>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公司回复：</w:t>
      </w: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（一）</w:t>
      </w:r>
      <w:r>
        <w:rPr>
          <w:rFonts w:asciiTheme="minorEastAsia" w:hAnsiTheme="minorEastAsia"/>
          <w:b/>
          <w:sz w:val="24"/>
          <w:szCs w:val="24"/>
        </w:rPr>
        <w:t>以表格列示各研发项目的研发阶段、研发投入金额、研发进度、费用化和资本化时点及对应金额</w:t>
      </w:r>
    </w:p>
    <w:p>
      <w:pPr>
        <w:tabs>
          <w:tab w:val="left" w:pos="567"/>
        </w:tabs>
        <w:spacing w:line="360" w:lineRule="auto"/>
        <w:ind w:left="424" w:leftChars="202" w:firstLine="424" w:firstLineChars="177"/>
        <w:jc w:val="right"/>
        <w:rPr>
          <w:rFonts w:asciiTheme="minorEastAsia" w:hAnsiTheme="minorEastAsia"/>
          <w:sz w:val="24"/>
          <w:szCs w:val="24"/>
        </w:rPr>
      </w:pPr>
      <w:r>
        <w:rPr>
          <w:rFonts w:hint="eastAsia" w:asciiTheme="minorEastAsia" w:hAnsiTheme="minorEastAsia"/>
          <w:sz w:val="24"/>
          <w:szCs w:val="24"/>
        </w:rPr>
        <w:t>单位：元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3"/>
        <w:gridCol w:w="1351"/>
        <w:gridCol w:w="1470"/>
        <w:gridCol w:w="1410"/>
        <w:gridCol w:w="1117"/>
        <w:gridCol w:w="1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项目名称</w:t>
            </w:r>
          </w:p>
        </w:tc>
        <w:tc>
          <w:tcPr>
            <w:tcW w:w="79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披露名称</w:t>
            </w:r>
          </w:p>
        </w:tc>
        <w:tc>
          <w:tcPr>
            <w:tcW w:w="86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费用化投入金额</w:t>
            </w:r>
          </w:p>
        </w:tc>
        <w:tc>
          <w:tcPr>
            <w:tcW w:w="827"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资本化投入金额</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资本化时点</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研发阶段进度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尼可刹米注射液变更药品注册标准</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呼吸系统项目1</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327,383.01</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申报受理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盐酸乙哌立松片</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肌肉松弛项目2</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818,733.75</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6,952.47</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进入BE阶段后</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BE（固体制剂）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盐酸乙哌立松原料药</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肌肉松弛项目3</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1,693,190.14</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中试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阿比多尔原料药DMF登记</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抗病毒项目</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59,769.87</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审评审批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盐酸阿比多尔片一致性评价</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抗病毒项目1</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2,377,804.92</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47,578.16</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中试研究阶段完成</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稳定性考察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帕拉米韦注射液（15ml：150mg）</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抗病毒项目4-1</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1,417,507.86</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审评审批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帕拉米韦注射液（60ml：300mg）</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抗病毒项目4-2</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2,833,152.29</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审评审批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利奈唑胺氯化钠注射液300ml：利奈唑胺0.6g与氯化钠2.7g</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抗感染类医药项目3</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2,297,080.81</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审评审批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硫酸阿米卡星注射液一致性评价</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抗感染类医药项目4</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25,076.81</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中试研究阶段完成</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实验室研究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硫酸阿米卡星注射液特定未知杂质研究</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抗感染类医药项目5</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136,238.87</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申报受理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YS001</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抗肿瘤项目</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420,000.00</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3,250,545.59</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进入临床研究阶段后</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匹多莫德口服溶液临床有效性评价</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免疫项目</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437,583.77</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317,417.36</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进入临床研究阶段后</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审评审批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吡美莫司乳膏</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免疫项目1</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1,230,845.02</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实验室研究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苯甲酸阿格列汀</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内分泌系统项目</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2,830,188.69</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进入BE阶段后</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实验室研究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黄体酮阴道缓释凝胶</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生殖系统项目</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6,028.23</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实验室研究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奥贝胆酸原料及片剂</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消化系统项目6</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4,716,981.15</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进入BE阶段后</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实验室研究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西洛他唑片一致性评价</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心血管项目2</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999,616.08</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2,913,596.15</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中试研究阶段完成</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审评审批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盐酸多巴酚丁胺注射液一致性评价</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心血管项目5</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2,218,532.58</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1,612,347.48</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中试研究阶段完成</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审评审批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盐酸曲美他嗪片增加原料供应商补充申请</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心血管项目6</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15,654.20</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中试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阿伐曲泊帕片</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血液系统类</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825,158.03</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788</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进入BE阶段后</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BE（固体制剂）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普罗碘铵原料药工艺变更</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眼科用药</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3,095,434.57</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审评审批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HARA项目</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医美项目</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209,177.50</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3,940,492.67</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进入临床研究阶段后</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临床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毕赤酵母重组表达人源胶原蛋白</w:t>
            </w:r>
            <w:r>
              <w:rPr>
                <w:rFonts w:hint="eastAsia" w:cs="宋体" w:asciiTheme="minorEastAsia" w:hAnsiTheme="minorEastAsia"/>
                <w:color w:val="000000"/>
                <w:kern w:val="0"/>
                <w:sz w:val="18"/>
                <w:szCs w:val="18"/>
              </w:rPr>
              <w:t>Ⅲ</w:t>
            </w:r>
            <w:r>
              <w:rPr>
                <w:rFonts w:cs="宋体" w:asciiTheme="minorEastAsia" w:hAnsiTheme="minorEastAsia"/>
                <w:color w:val="000000"/>
                <w:kern w:val="0"/>
                <w:sz w:val="18"/>
                <w:szCs w:val="18"/>
              </w:rPr>
              <w:t>型</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胶原蛋白项目1</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24,754.72</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实验室研究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浙大胶原蛋白项目</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胶原蛋白项目2</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750,000.00</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实验室研究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重组人胶原蛋白原料</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胶原蛋白原料项目1</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569,865.48</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全部费用化</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实验室研究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利丙双卡因乳膏</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阵痛麻醉用药</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1,266,580.18</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12,998.38</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进入BE阶段后</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工艺验证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卡络磺钠注射剂一致性评价</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止血类项目</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2,735,736.56</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737,665.84</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中试研究阶段完成</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审评审批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cs="宋体" w:asciiTheme="minorEastAsia" w:hAnsiTheme="minorEastAsia"/>
                <w:color w:val="000000"/>
                <w:kern w:val="0"/>
                <w:sz w:val="18"/>
                <w:szCs w:val="18"/>
              </w:rPr>
              <w:t>卡络磺钠片一致性评价</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止血类项目1</w:t>
            </w: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1,765,006.75</w:t>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1,364,289.22</w:t>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中试研究阶段完成</w:t>
            </w: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稳定性考察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2" w:type="pct"/>
            <w:shd w:val="clear" w:color="auto" w:fill="auto"/>
            <w:vAlign w:val="center"/>
          </w:tcPr>
          <w:p>
            <w:pPr>
              <w:widowControl/>
              <w:tabs>
                <w:tab w:val="left" w:pos="567"/>
              </w:tabs>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合计</w:t>
            </w:r>
          </w:p>
        </w:tc>
        <w:tc>
          <w:tcPr>
            <w:tcW w:w="792" w:type="pct"/>
            <w:shd w:val="clear" w:color="auto" w:fill="auto"/>
            <w:vAlign w:val="center"/>
          </w:tcPr>
          <w:p>
            <w:pPr>
              <w:widowControl/>
              <w:tabs>
                <w:tab w:val="left" w:pos="567"/>
              </w:tabs>
              <w:jc w:val="left"/>
              <w:rPr>
                <w:rFonts w:cs="宋体" w:asciiTheme="minorEastAsia" w:hAnsiTheme="minorEastAsia"/>
                <w:color w:val="000000"/>
                <w:kern w:val="0"/>
                <w:sz w:val="18"/>
                <w:szCs w:val="18"/>
              </w:rPr>
            </w:pPr>
          </w:p>
        </w:tc>
        <w:tc>
          <w:tcPr>
            <w:tcW w:w="862"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fldChar w:fldCharType="begin"/>
            </w:r>
            <w:r>
              <w:rPr>
                <w:rFonts w:cs="宋体" w:asciiTheme="minorEastAsia" w:hAnsiTheme="minorEastAsia"/>
                <w:color w:val="000000"/>
                <w:kern w:val="0"/>
                <w:sz w:val="18"/>
                <w:szCs w:val="18"/>
              </w:rPr>
              <w:instrText xml:space="preserve"> =SUM(C2:C30) \# "#,##0.00" </w:instrText>
            </w:r>
            <w:r>
              <w:rPr>
                <w:rFonts w:cs="宋体" w:asciiTheme="minorEastAsia" w:hAnsiTheme="minorEastAsia"/>
                <w:color w:val="000000"/>
                <w:kern w:val="0"/>
                <w:sz w:val="18"/>
                <w:szCs w:val="18"/>
              </w:rPr>
              <w:fldChar w:fldCharType="separate"/>
            </w:r>
            <w:r>
              <w:rPr>
                <w:rFonts w:cs="宋体" w:asciiTheme="minorEastAsia" w:hAnsiTheme="minorEastAsia"/>
                <w:color w:val="000000"/>
                <w:kern w:val="0"/>
                <w:sz w:val="18"/>
                <w:szCs w:val="18"/>
              </w:rPr>
              <w:t>28,555,912.00</w:t>
            </w:r>
            <w:r>
              <w:rPr>
                <w:rFonts w:cs="宋体" w:asciiTheme="minorEastAsia" w:hAnsiTheme="minorEastAsia"/>
                <w:color w:val="000000"/>
                <w:kern w:val="0"/>
                <w:sz w:val="18"/>
                <w:szCs w:val="18"/>
              </w:rPr>
              <w:fldChar w:fldCharType="end"/>
            </w:r>
          </w:p>
        </w:tc>
        <w:tc>
          <w:tcPr>
            <w:tcW w:w="827" w:type="pct"/>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fldChar w:fldCharType="begin"/>
            </w:r>
            <w:r>
              <w:rPr>
                <w:rFonts w:cs="宋体" w:asciiTheme="minorEastAsia" w:hAnsiTheme="minorEastAsia"/>
                <w:color w:val="000000"/>
                <w:kern w:val="0"/>
                <w:sz w:val="18"/>
                <w:szCs w:val="18"/>
              </w:rPr>
              <w:instrText xml:space="preserve"> =SUM(D2:D30) \# "#,##0.00" </w:instrText>
            </w:r>
            <w:r>
              <w:rPr>
                <w:rFonts w:cs="宋体" w:asciiTheme="minorEastAsia" w:hAnsiTheme="minorEastAsia"/>
                <w:color w:val="000000"/>
                <w:kern w:val="0"/>
                <w:sz w:val="18"/>
                <w:szCs w:val="18"/>
              </w:rPr>
              <w:fldChar w:fldCharType="separate"/>
            </w:r>
            <w:r>
              <w:rPr>
                <w:rFonts w:cs="宋体" w:asciiTheme="minorEastAsia" w:hAnsiTheme="minorEastAsia"/>
                <w:color w:val="000000"/>
                <w:kern w:val="0"/>
                <w:sz w:val="18"/>
                <w:szCs w:val="18"/>
              </w:rPr>
              <w:t>21,789,976.79</w:t>
            </w:r>
            <w:r>
              <w:rPr>
                <w:rFonts w:cs="宋体" w:asciiTheme="minorEastAsia" w:hAnsiTheme="minorEastAsia"/>
                <w:color w:val="000000"/>
                <w:kern w:val="0"/>
                <w:sz w:val="18"/>
                <w:szCs w:val="18"/>
              </w:rPr>
              <w:fldChar w:fldCharType="end"/>
            </w:r>
          </w:p>
        </w:tc>
        <w:tc>
          <w:tcPr>
            <w:tcW w:w="655"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p>
        </w:tc>
        <w:tc>
          <w:tcPr>
            <w:tcW w:w="739"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p>
        </w:tc>
      </w:tr>
    </w:tbl>
    <w:p>
      <w:pPr>
        <w:tabs>
          <w:tab w:val="left" w:pos="567"/>
        </w:tabs>
        <w:spacing w:line="360" w:lineRule="auto"/>
        <w:ind w:left="424" w:leftChars="202"/>
        <w:rPr>
          <w:rFonts w:asciiTheme="minorEastAsia" w:hAnsiTheme="minorEastAsia"/>
          <w:sz w:val="24"/>
          <w:szCs w:val="24"/>
        </w:rPr>
      </w:pP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（二）</w:t>
      </w:r>
      <w:r>
        <w:rPr>
          <w:rFonts w:asciiTheme="minorEastAsia" w:hAnsiTheme="minorEastAsia"/>
          <w:b/>
          <w:sz w:val="24"/>
          <w:szCs w:val="24"/>
        </w:rPr>
        <w:t>补充披露公司研发投入资本化的具体会计政策，结合公司研发政策、历史研发项目终止及减值情况(如有)、同行业公司情况等说明前述研发投入资本化的合理性，是否符合会计准则规定</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本期公司研发支出相关会计政策如下：</w:t>
      </w:r>
    </w:p>
    <w:p>
      <w:pPr>
        <w:tabs>
          <w:tab w:val="left" w:pos="567"/>
        </w:tabs>
        <w:spacing w:line="360" w:lineRule="auto"/>
        <w:ind w:firstLine="480" w:firstLineChars="200"/>
        <w:rPr>
          <w:rFonts w:asciiTheme="minorEastAsia" w:hAnsiTheme="minorEastAsia"/>
          <w:sz w:val="24"/>
          <w:szCs w:val="24"/>
        </w:rPr>
      </w:pPr>
      <w:r>
        <w:rPr>
          <w:rFonts w:hint="eastAsia" w:cs="宋体" w:asciiTheme="minorEastAsia" w:hAnsiTheme="minorEastAsia"/>
          <w:sz w:val="24"/>
          <w:szCs w:val="24"/>
        </w:rPr>
        <w:t>（1）</w:t>
      </w:r>
      <w:r>
        <w:rPr>
          <w:rFonts w:asciiTheme="minorEastAsia" w:hAnsiTheme="minorEastAsia"/>
          <w:sz w:val="24"/>
          <w:szCs w:val="24"/>
        </w:rPr>
        <w:t>新药研发</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在取得临床试验批件后，开始进入临床试验阶段，满足研发支出资本化的条件，因此将取得临床试验批件作为资本化时点依据。</w:t>
      </w:r>
    </w:p>
    <w:p>
      <w:pPr>
        <w:tabs>
          <w:tab w:val="left" w:pos="567"/>
        </w:tabs>
        <w:spacing w:line="360" w:lineRule="auto"/>
        <w:ind w:firstLine="480" w:firstLineChars="200"/>
        <w:rPr>
          <w:rFonts w:asciiTheme="minorEastAsia" w:hAnsiTheme="minorEastAsia"/>
          <w:sz w:val="24"/>
          <w:szCs w:val="24"/>
        </w:rPr>
      </w:pPr>
      <w:r>
        <w:rPr>
          <w:rFonts w:hint="eastAsia" w:cs="宋体" w:asciiTheme="minorEastAsia" w:hAnsiTheme="minorEastAsia"/>
          <w:sz w:val="24"/>
          <w:szCs w:val="24"/>
        </w:rPr>
        <w:t>（2）</w:t>
      </w:r>
      <w:r>
        <w:rPr>
          <w:rFonts w:asciiTheme="minorEastAsia" w:hAnsiTheme="minorEastAsia"/>
          <w:sz w:val="24"/>
          <w:szCs w:val="24"/>
        </w:rPr>
        <w:t>仿制药研发</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将取得临床试验批件作为资本化时点依据。</w:t>
      </w:r>
    </w:p>
    <w:p>
      <w:pPr>
        <w:tabs>
          <w:tab w:val="left" w:pos="567"/>
        </w:tabs>
        <w:spacing w:line="360" w:lineRule="auto"/>
        <w:ind w:firstLine="480" w:firstLineChars="200"/>
        <w:rPr>
          <w:rFonts w:asciiTheme="minorEastAsia" w:hAnsiTheme="minorEastAsia"/>
          <w:sz w:val="24"/>
          <w:szCs w:val="24"/>
        </w:rPr>
      </w:pPr>
      <w:r>
        <w:rPr>
          <w:rFonts w:hint="eastAsia" w:cs="宋体" w:asciiTheme="minorEastAsia" w:hAnsiTheme="minorEastAsia"/>
          <w:sz w:val="24"/>
          <w:szCs w:val="24"/>
        </w:rPr>
        <w:t>（3）</w:t>
      </w:r>
      <w:r>
        <w:rPr>
          <w:rFonts w:asciiTheme="minorEastAsia" w:hAnsiTheme="minorEastAsia"/>
          <w:sz w:val="24"/>
          <w:szCs w:val="24"/>
        </w:rPr>
        <w:t>仿制药一致性评价</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根据证监会会计部出版的《上市公司执行企业会计准则案例解析（2019）》案例13-08仿制药“一致性评价”费用能否资本化的问题解析原文：已经取得生产许可证正在生产销售的药品：如果不进行一致性评价，将在某个时点失去继续生产条件，即作一致性评价将为医药企业带来新的生产能力，将产生扩大其未来经济利益流入的能力。另外一致性评价一定程度上提高药效、增加产品销量或延长医药企业生产该药品技术的经济寿命，也可为企业带来经济利益。因此，满足资本化条件的一致性评价研发支出可以资本化。</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对本公司仿制药一致性评价而言，在中试阶段，通过溶出曲线对比研究证明其与原研产品的相似性，基本可以推导出体内的生物等效结果，即BE试验成功，所以在中试结束，即可以判断项目基本成功。在中试完成之后取得研发部出具项目阶段风险评估表作为资本化时点依据。</w:t>
      </w:r>
    </w:p>
    <w:p>
      <w:pPr>
        <w:tabs>
          <w:tab w:val="left" w:pos="567"/>
        </w:tabs>
        <w:spacing w:line="360" w:lineRule="auto"/>
        <w:ind w:firstLine="480" w:firstLineChars="200"/>
        <w:rPr>
          <w:rFonts w:asciiTheme="minorEastAsia" w:hAnsiTheme="minorEastAsia"/>
          <w:sz w:val="24"/>
          <w:szCs w:val="24"/>
        </w:rPr>
      </w:pPr>
      <w:r>
        <w:rPr>
          <w:rFonts w:hint="eastAsia" w:cs="宋体" w:asciiTheme="minorEastAsia" w:hAnsiTheme="minorEastAsia"/>
          <w:sz w:val="24"/>
          <w:szCs w:val="24"/>
        </w:rPr>
        <w:t>（4）</w:t>
      </w:r>
      <w:r>
        <w:rPr>
          <w:rFonts w:asciiTheme="minorEastAsia" w:hAnsiTheme="minorEastAsia"/>
          <w:sz w:val="24"/>
          <w:szCs w:val="24"/>
        </w:rPr>
        <w:t>免疫项目匹多莫德口服溶液</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参考证监会会计部出版的《上市公司执行企业会计准则案例解析（2019）》案例13-08仿制药“一致性评价”费用能否资本化的问题解析，匹多莫德临床有效性再评价也是应国家药监部门对已上市药品进行的补充再研究，本项目属于IV期临床研究（不存在药学研究阶段，可以直接以现有产品开展临床试验，无需申请临床批件），但其参照II/III期临床规范，研究方法更严肃、过程更复杂，费用更高。该项研究若能成功通过将使企业得以继续销售该项药品，对企业核心盈利能力至关重要，具有无形资产价值，本期符合资本化条件。</w:t>
      </w:r>
    </w:p>
    <w:p>
      <w:pPr>
        <w:tabs>
          <w:tab w:val="left" w:pos="567"/>
        </w:tabs>
        <w:spacing w:line="360" w:lineRule="auto"/>
        <w:ind w:firstLine="480" w:firstLineChars="200"/>
        <w:rPr>
          <w:rFonts w:asciiTheme="minorEastAsia" w:hAnsiTheme="minorEastAsia"/>
          <w:sz w:val="24"/>
          <w:szCs w:val="24"/>
        </w:rPr>
      </w:pPr>
      <w:r>
        <w:rPr>
          <w:rFonts w:hint="eastAsia" w:cs="宋体" w:asciiTheme="minorEastAsia" w:hAnsiTheme="minorEastAsia"/>
          <w:sz w:val="24"/>
          <w:szCs w:val="24"/>
        </w:rPr>
        <w:t>（5）</w:t>
      </w:r>
      <w:r>
        <w:rPr>
          <w:rFonts w:asciiTheme="minorEastAsia" w:hAnsiTheme="minorEastAsia"/>
          <w:sz w:val="24"/>
          <w:szCs w:val="24"/>
        </w:rPr>
        <w:t>外购专利技术</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本公司对外购专利技术，按下述原则予以资本化：如果外购专利的用途就是投入研发项目，在购入时作为尚未达到可使用状态的无形资产进行资本化，计入研发支出，并在各期末结合项目预期进行减值测试；该研发项目的后续研发支出仍需按与其他自研项目相同的原则判断应费用化还是资本化。</w:t>
      </w:r>
    </w:p>
    <w:p>
      <w:pPr>
        <w:tabs>
          <w:tab w:val="left" w:pos="567"/>
        </w:tabs>
        <w:spacing w:line="360" w:lineRule="auto"/>
        <w:ind w:firstLine="480" w:firstLineChars="200"/>
        <w:rPr>
          <w:rFonts w:asciiTheme="minorEastAsia" w:hAnsiTheme="minorEastAsia"/>
          <w:sz w:val="24"/>
          <w:szCs w:val="24"/>
        </w:rPr>
      </w:pPr>
      <w:r>
        <w:rPr>
          <w:rFonts w:hint="eastAsia" w:cs="宋体" w:asciiTheme="minorEastAsia" w:hAnsiTheme="minorEastAsia"/>
          <w:sz w:val="24"/>
          <w:szCs w:val="24"/>
        </w:rPr>
        <w:t>（6）</w:t>
      </w:r>
      <w:r>
        <w:rPr>
          <w:rFonts w:asciiTheme="minorEastAsia" w:hAnsiTheme="minorEastAsia"/>
          <w:sz w:val="24"/>
          <w:szCs w:val="24"/>
        </w:rPr>
        <w:t>委外研发支出</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参考所属项目自行研发支出的资本化时点。</w:t>
      </w:r>
    </w:p>
    <w:p>
      <w:pPr>
        <w:tabs>
          <w:tab w:val="left" w:pos="567"/>
        </w:tabs>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（7）</w:t>
      </w:r>
      <w:r>
        <w:rPr>
          <w:rFonts w:cs="宋体" w:asciiTheme="minorEastAsia" w:hAnsiTheme="minorEastAsia"/>
          <w:sz w:val="24"/>
          <w:szCs w:val="24"/>
        </w:rPr>
        <w:t>原料药研发</w:t>
      </w:r>
    </w:p>
    <w:p>
      <w:pPr>
        <w:tabs>
          <w:tab w:val="left" w:pos="567"/>
        </w:tabs>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全部费用化</w:t>
      </w:r>
    </w:p>
    <w:p>
      <w:pPr>
        <w:tabs>
          <w:tab w:val="left" w:pos="567"/>
        </w:tabs>
        <w:spacing w:line="360" w:lineRule="auto"/>
        <w:ind w:firstLine="480" w:firstLineChars="200"/>
        <w:rPr>
          <w:rFonts w:cs="宋体" w:asciiTheme="minorEastAsia" w:hAnsiTheme="minorEastAsia"/>
          <w:sz w:val="24"/>
          <w:szCs w:val="24"/>
        </w:rPr>
      </w:pPr>
      <w:r>
        <w:rPr>
          <w:rFonts w:hint="eastAsia" w:cs="宋体" w:asciiTheme="minorEastAsia" w:hAnsiTheme="minorEastAsia"/>
          <w:sz w:val="24"/>
          <w:szCs w:val="24"/>
        </w:rPr>
        <w:t>（8）</w:t>
      </w:r>
      <w:r>
        <w:rPr>
          <w:rFonts w:cs="宋体" w:asciiTheme="minorEastAsia" w:hAnsiTheme="minorEastAsia"/>
          <w:sz w:val="24"/>
          <w:szCs w:val="24"/>
        </w:rPr>
        <w:t>医疗器械类</w:t>
      </w:r>
    </w:p>
    <w:p>
      <w:pPr>
        <w:tabs>
          <w:tab w:val="left" w:pos="567"/>
        </w:tabs>
        <w:spacing w:line="360" w:lineRule="auto"/>
        <w:ind w:firstLine="480" w:firstLineChars="200"/>
        <w:rPr>
          <w:rFonts w:cs="宋体" w:asciiTheme="minorEastAsia" w:hAnsiTheme="minorEastAsia"/>
          <w:sz w:val="24"/>
          <w:szCs w:val="24"/>
        </w:rPr>
      </w:pPr>
      <w:r>
        <w:rPr>
          <w:rFonts w:cs="宋体" w:asciiTheme="minorEastAsia" w:hAnsiTheme="minorEastAsia"/>
          <w:sz w:val="24"/>
          <w:szCs w:val="24"/>
        </w:rPr>
        <w:t>第三类医疗器械项目的研发投入以完成临床备案作为资本化时点</w:t>
      </w:r>
      <w:r>
        <w:rPr>
          <w:rFonts w:hint="eastAsia" w:cs="宋体" w:asciiTheme="minorEastAsia" w:hAnsiTheme="minorEastAsia"/>
          <w:sz w:val="24"/>
          <w:szCs w:val="24"/>
        </w:rPr>
        <w:t>，</w:t>
      </w:r>
      <w:r>
        <w:rPr>
          <w:rFonts w:cs="宋体" w:asciiTheme="minorEastAsia" w:hAnsiTheme="minorEastAsia"/>
          <w:sz w:val="24"/>
          <w:szCs w:val="24"/>
        </w:rPr>
        <w:t>第二类医疗器械项目的研发投入全部费用化。</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同行业公司会计政策情况</w:t>
      </w:r>
    </w:p>
    <w:tbl>
      <w:tblPr>
        <w:tblStyle w:val="8"/>
        <w:tblW w:w="850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545"/>
        <w:gridCol w:w="5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6" w:type="dxa"/>
            <w:shd w:val="clear" w:color="auto" w:fill="auto"/>
            <w:vAlign w:val="center"/>
          </w:tcPr>
          <w:p>
            <w:pPr>
              <w:widowControl/>
              <w:tabs>
                <w:tab w:val="left" w:pos="567"/>
              </w:tabs>
              <w:rPr>
                <w:rFonts w:cs="Arial" w:asciiTheme="minorEastAsia" w:hAnsiTheme="minorEastAsia"/>
                <w:b/>
                <w:bCs/>
                <w:color w:val="000000"/>
                <w:kern w:val="0"/>
                <w:sz w:val="18"/>
                <w:szCs w:val="18"/>
              </w:rPr>
            </w:pPr>
            <w:r>
              <w:rPr>
                <w:rFonts w:cs="Arial" w:asciiTheme="minorEastAsia" w:hAnsiTheme="minorEastAsia"/>
                <w:b/>
                <w:bCs/>
                <w:color w:val="000000"/>
                <w:kern w:val="0"/>
                <w:sz w:val="18"/>
                <w:szCs w:val="18"/>
              </w:rPr>
              <w:t>公司名称</w:t>
            </w:r>
          </w:p>
        </w:tc>
        <w:tc>
          <w:tcPr>
            <w:tcW w:w="1545" w:type="dxa"/>
            <w:shd w:val="clear" w:color="auto" w:fill="auto"/>
            <w:vAlign w:val="center"/>
          </w:tcPr>
          <w:p>
            <w:pPr>
              <w:widowControl/>
              <w:tabs>
                <w:tab w:val="left" w:pos="567"/>
              </w:tabs>
              <w:rPr>
                <w:rFonts w:cs="Arial" w:asciiTheme="minorEastAsia" w:hAnsiTheme="minorEastAsia"/>
                <w:b/>
                <w:bCs/>
                <w:color w:val="000000"/>
                <w:kern w:val="0"/>
                <w:sz w:val="18"/>
                <w:szCs w:val="18"/>
              </w:rPr>
            </w:pPr>
            <w:r>
              <w:rPr>
                <w:rFonts w:cs="Arial" w:asciiTheme="minorEastAsia" w:hAnsiTheme="minorEastAsia"/>
                <w:b/>
                <w:bCs/>
                <w:color w:val="000000"/>
                <w:kern w:val="0"/>
                <w:sz w:val="18"/>
                <w:szCs w:val="18"/>
              </w:rPr>
              <w:t>研发类型</w:t>
            </w:r>
          </w:p>
        </w:tc>
        <w:tc>
          <w:tcPr>
            <w:tcW w:w="5769" w:type="dxa"/>
            <w:shd w:val="clear" w:color="auto" w:fill="auto"/>
            <w:vAlign w:val="center"/>
          </w:tcPr>
          <w:p>
            <w:pPr>
              <w:widowControl/>
              <w:tabs>
                <w:tab w:val="left" w:pos="567"/>
              </w:tabs>
              <w:jc w:val="center"/>
              <w:rPr>
                <w:rFonts w:cs="Arial" w:asciiTheme="minorEastAsia" w:hAnsiTheme="minorEastAsia"/>
                <w:b/>
                <w:bCs/>
                <w:color w:val="000000"/>
                <w:kern w:val="0"/>
                <w:sz w:val="18"/>
                <w:szCs w:val="18"/>
              </w:rPr>
            </w:pPr>
            <w:r>
              <w:rPr>
                <w:rFonts w:cs="Arial" w:asciiTheme="minorEastAsia" w:hAnsiTheme="minorEastAsia"/>
                <w:b/>
                <w:bCs/>
                <w:color w:val="000000"/>
                <w:kern w:val="0"/>
                <w:sz w:val="18"/>
                <w:szCs w:val="18"/>
              </w:rPr>
              <w:t>资本化会计政策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186"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华润双鹤</w:t>
            </w: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　</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研发项目在取得临床实验备案号、相关批文或证书之后的支出，作为资本化的研发支出。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186"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西藏药业</w:t>
            </w: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　</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将完成研究阶段的工作，在一定程度上具备形成一项新产品或新技术的基本条件，或将研究成果、其他知识应用于计划或设计，通过公司批准内部立项直至生产出新的或具有实质性改进的材料、装置、产品期间确认为开发阶段。其中符合资产的定义予以资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186"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哈药股份</w:t>
            </w: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　</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开发阶段：在进行商业性生产或使用前，将研究成果或其他知识应用于某项计划或设计，以生产出新的或具有实质性改进的材料、装置、产品等活动的阶段。其中符合资产的定义予以资本化。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186"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白云山</w:t>
            </w: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　</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开发阶段支出是指药品（含新药和原有药品剂型改变）研发进入三期临床试验阶段后的可直接归属的开支。进入三期临床试验以有关管理部门的批准文件为准。其中符合资产的定义予以资本化。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86"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江中药业</w:t>
            </w: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　</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符合资产的定义予以资本化。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186" w:type="dxa"/>
            <w:vMerge w:val="restart"/>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海思科</w:t>
            </w: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新药研发</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1.对于创新药，药品研发进入</w:t>
            </w:r>
            <w:r>
              <w:rPr>
                <w:rFonts w:hint="eastAsia" w:cs="宋体" w:asciiTheme="minorEastAsia" w:hAnsiTheme="minorEastAsia"/>
                <w:color w:val="000000"/>
                <w:kern w:val="0"/>
                <w:sz w:val="18"/>
                <w:szCs w:val="18"/>
              </w:rPr>
              <w:t>Ⅲ</w:t>
            </w:r>
            <w:r>
              <w:rPr>
                <w:rFonts w:cs="Arial" w:asciiTheme="minorEastAsia" w:hAnsiTheme="minorEastAsia"/>
                <w:color w:val="000000"/>
                <w:kern w:val="0"/>
                <w:sz w:val="18"/>
                <w:szCs w:val="18"/>
              </w:rPr>
              <w:t>期临床试验阶段开始资本化；若项目</w:t>
            </w:r>
            <w:r>
              <w:rPr>
                <w:rFonts w:hint="eastAsia" w:cs="宋体" w:asciiTheme="minorEastAsia" w:hAnsiTheme="minorEastAsia"/>
                <w:color w:val="000000"/>
                <w:kern w:val="0"/>
                <w:sz w:val="18"/>
                <w:szCs w:val="18"/>
              </w:rPr>
              <w:t>Ⅱ</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Ⅲ</w:t>
            </w:r>
            <w:r>
              <w:rPr>
                <w:rFonts w:cs="Arial" w:asciiTheme="minorEastAsia" w:hAnsiTheme="minorEastAsia"/>
                <w:color w:val="000000"/>
                <w:kern w:val="0"/>
                <w:sz w:val="18"/>
                <w:szCs w:val="18"/>
              </w:rPr>
              <w:t>期临床联合申报，则从进入临床试验</w:t>
            </w:r>
            <w:r>
              <w:rPr>
                <w:rFonts w:hint="eastAsia" w:cs="宋体" w:asciiTheme="minorEastAsia" w:hAnsiTheme="minorEastAsia"/>
                <w:color w:val="000000"/>
                <w:kern w:val="0"/>
                <w:sz w:val="18"/>
                <w:szCs w:val="18"/>
              </w:rPr>
              <w:t>Ⅱ</w:t>
            </w:r>
            <w:r>
              <w:rPr>
                <w:rFonts w:cs="Arial" w:asciiTheme="minorEastAsia" w:hAnsiTheme="minorEastAsia"/>
                <w:color w:val="000000"/>
                <w:kern w:val="0"/>
                <w:sz w:val="18"/>
                <w:szCs w:val="18"/>
              </w:rPr>
              <w:t>/</w:t>
            </w:r>
            <w:r>
              <w:rPr>
                <w:rFonts w:hint="eastAsia" w:cs="宋体" w:asciiTheme="minorEastAsia" w:hAnsiTheme="minorEastAsia"/>
                <w:color w:val="000000"/>
                <w:kern w:val="0"/>
                <w:sz w:val="18"/>
                <w:szCs w:val="18"/>
              </w:rPr>
              <w:t>Ⅲ</w:t>
            </w:r>
            <w:r>
              <w:rPr>
                <w:rFonts w:cs="Arial" w:asciiTheme="minorEastAsia" w:hAnsiTheme="minorEastAsia"/>
                <w:color w:val="000000"/>
                <w:kern w:val="0"/>
                <w:sz w:val="18"/>
                <w:szCs w:val="18"/>
              </w:rPr>
              <w:t>期时开始资本化;</w:t>
            </w:r>
            <w:r>
              <w:rPr>
                <w:rFonts w:cs="Arial" w:asciiTheme="minorEastAsia" w:hAnsiTheme="minorEastAsia"/>
                <w:color w:val="000000"/>
                <w:kern w:val="0"/>
                <w:sz w:val="18"/>
                <w:szCs w:val="18"/>
              </w:rPr>
              <w:br w:type="textWrapping"/>
            </w:r>
            <w:r>
              <w:rPr>
                <w:rFonts w:cs="Arial" w:asciiTheme="minorEastAsia" w:hAnsiTheme="minorEastAsia"/>
                <w:color w:val="000000"/>
                <w:kern w:val="0"/>
                <w:sz w:val="18"/>
                <w:szCs w:val="18"/>
              </w:rPr>
              <w:t>2.对于已取得生产批件的创新药，其新适应症的开发，从开始时进行资本化；需要进行IV期临床试验的，从进行IV期临床试验时予以资本化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1186" w:type="dxa"/>
            <w:vMerge w:val="continue"/>
            <w:vAlign w:val="center"/>
          </w:tcPr>
          <w:p>
            <w:pPr>
              <w:widowControl/>
              <w:tabs>
                <w:tab w:val="left" w:pos="567"/>
              </w:tabs>
              <w:jc w:val="left"/>
              <w:rPr>
                <w:rFonts w:cs="Arial" w:asciiTheme="minorEastAsia" w:hAnsiTheme="minorEastAsia"/>
                <w:color w:val="000000"/>
                <w:kern w:val="0"/>
                <w:sz w:val="18"/>
                <w:szCs w:val="18"/>
              </w:rPr>
            </w:pP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仿制药研发/仿制药一致性评价</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3.对于仿制药，若需开展临床试验，取得药品临床试验通知书或BE备案号时开始资本化;</w:t>
            </w:r>
            <w:r>
              <w:rPr>
                <w:rFonts w:cs="Arial" w:asciiTheme="minorEastAsia" w:hAnsiTheme="minorEastAsia"/>
                <w:color w:val="000000"/>
                <w:kern w:val="0"/>
                <w:sz w:val="18"/>
                <w:szCs w:val="18"/>
              </w:rPr>
              <w:br w:type="textWrapping"/>
            </w:r>
            <w:r>
              <w:rPr>
                <w:rFonts w:cs="Arial" w:asciiTheme="minorEastAsia" w:hAnsiTheme="minorEastAsia"/>
                <w:color w:val="000000"/>
                <w:kern w:val="0"/>
                <w:sz w:val="18"/>
                <w:szCs w:val="18"/>
              </w:rPr>
              <w:t>4.已上市品种开展一致性评价的，从立项开始时资本化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1186" w:type="dxa"/>
            <w:vMerge w:val="continue"/>
            <w:vAlign w:val="center"/>
          </w:tcPr>
          <w:p>
            <w:pPr>
              <w:widowControl/>
              <w:tabs>
                <w:tab w:val="left" w:pos="567"/>
              </w:tabs>
              <w:jc w:val="left"/>
              <w:rPr>
                <w:rFonts w:cs="Arial" w:asciiTheme="minorEastAsia" w:hAnsiTheme="minorEastAsia"/>
                <w:color w:val="000000"/>
                <w:kern w:val="0"/>
                <w:sz w:val="18"/>
                <w:szCs w:val="18"/>
              </w:rPr>
            </w:pP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外购专利技术</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4.对于外购开发项目，以支付外购技术款时，该项目的研发情况为准，参照公司内部自行研究开发项目核算管理办法进行核算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186" w:type="dxa"/>
            <w:vMerge w:val="restart"/>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北大医药</w:t>
            </w:r>
            <w:r>
              <w:rPr>
                <w:rFonts w:cs="Arial" w:asciiTheme="minorEastAsia" w:hAnsiTheme="minorEastAsia"/>
                <w:color w:val="000000"/>
                <w:kern w:val="0"/>
                <w:sz w:val="18"/>
                <w:szCs w:val="18"/>
              </w:rPr>
              <w:br w:type="textWrapping"/>
            </w: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外购专利技术</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1.外购药品开发技术受让项目以及公司继续在外购项目基础上进行药品开发的支出进行资本化，确认为开发支出；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86" w:type="dxa"/>
            <w:vMerge w:val="continue"/>
            <w:vAlign w:val="center"/>
          </w:tcPr>
          <w:p>
            <w:pPr>
              <w:widowControl/>
              <w:tabs>
                <w:tab w:val="left" w:pos="567"/>
              </w:tabs>
              <w:jc w:val="left"/>
              <w:rPr>
                <w:rFonts w:cs="Arial" w:asciiTheme="minorEastAsia" w:hAnsiTheme="minorEastAsia"/>
                <w:color w:val="000000"/>
                <w:kern w:val="0"/>
                <w:sz w:val="18"/>
                <w:szCs w:val="18"/>
              </w:rPr>
            </w:pP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新药研发</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2.公司自行立项药品开发项目的，包括增加新规格、新剂型等的，取得临床批件后的支出进行资本化，确认为开发支出；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86" w:type="dxa"/>
            <w:vMerge w:val="continue"/>
            <w:vAlign w:val="center"/>
          </w:tcPr>
          <w:p>
            <w:pPr>
              <w:widowControl/>
              <w:tabs>
                <w:tab w:val="left" w:pos="567"/>
              </w:tabs>
              <w:jc w:val="left"/>
              <w:rPr>
                <w:rFonts w:cs="Arial" w:asciiTheme="minorEastAsia" w:hAnsiTheme="minorEastAsia"/>
                <w:color w:val="000000"/>
                <w:kern w:val="0"/>
                <w:sz w:val="18"/>
                <w:szCs w:val="18"/>
              </w:rPr>
            </w:pP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　</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3.属于上市后的临床项目，项目成果增加新适应症、通过安全性再评价、医保审核的，其支出予以资本化，确认为开发支出；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trPr>
        <w:tc>
          <w:tcPr>
            <w:tcW w:w="1186" w:type="dxa"/>
            <w:vMerge w:val="continue"/>
            <w:vAlign w:val="center"/>
          </w:tcPr>
          <w:p>
            <w:pPr>
              <w:widowControl/>
              <w:tabs>
                <w:tab w:val="left" w:pos="567"/>
              </w:tabs>
              <w:jc w:val="left"/>
              <w:rPr>
                <w:rFonts w:cs="Arial" w:asciiTheme="minorEastAsia" w:hAnsiTheme="minorEastAsia"/>
                <w:color w:val="000000"/>
                <w:kern w:val="0"/>
                <w:sz w:val="18"/>
                <w:szCs w:val="18"/>
              </w:rPr>
            </w:pP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仿制药研发/仿制药一致性评价</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4.属于上市后的临床项目，项目成果增加新适应症、通过安全性再评价、医保审核的，其支出予以资本化，确认为开发支出；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186" w:type="dxa"/>
            <w:vMerge w:val="restart"/>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昆药集团</w:t>
            </w:r>
            <w:r>
              <w:rPr>
                <w:rFonts w:cs="Arial" w:asciiTheme="minorEastAsia" w:hAnsiTheme="minorEastAsia"/>
                <w:color w:val="000000"/>
                <w:kern w:val="0"/>
                <w:sz w:val="18"/>
                <w:szCs w:val="18"/>
              </w:rPr>
              <w:br w:type="textWrapping"/>
            </w: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外购专利技术</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1.外购的正在进行中的药品研究开发技术或取得受让的项目技术资料，将预期会给企业带来经济利益的资源，并在此技术上继续进行药品开发的，计入开发支出，在取得后发生的支出按照该准则有关自行研发无形资产是否满足资本化条件的规定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86" w:type="dxa"/>
            <w:vMerge w:val="continue"/>
            <w:vAlign w:val="center"/>
          </w:tcPr>
          <w:p>
            <w:pPr>
              <w:widowControl/>
              <w:tabs>
                <w:tab w:val="left" w:pos="567"/>
              </w:tabs>
              <w:jc w:val="left"/>
              <w:rPr>
                <w:rFonts w:cs="Arial" w:asciiTheme="minorEastAsia" w:hAnsiTheme="minorEastAsia"/>
                <w:color w:val="000000"/>
                <w:kern w:val="0"/>
                <w:sz w:val="18"/>
                <w:szCs w:val="18"/>
              </w:rPr>
            </w:pP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　</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2.属于工艺改进、质量标准提高等，项目成果增加未来流入的，其支出全部资本化，确认为开发支出;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86" w:type="dxa"/>
            <w:vMerge w:val="continue"/>
            <w:vAlign w:val="center"/>
          </w:tcPr>
          <w:p>
            <w:pPr>
              <w:widowControl/>
              <w:tabs>
                <w:tab w:val="left" w:pos="567"/>
              </w:tabs>
              <w:jc w:val="left"/>
              <w:rPr>
                <w:rFonts w:cs="Arial" w:asciiTheme="minorEastAsia" w:hAnsiTheme="minorEastAsia"/>
                <w:color w:val="000000"/>
                <w:kern w:val="0"/>
                <w:sz w:val="18"/>
                <w:szCs w:val="18"/>
              </w:rPr>
            </w:pP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新药研发</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3.公司自行立项药品开发项目的，包括增加新规格、新剂型等的，取得临床批件后的支出进行资本化，确认为开发支出；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186" w:type="dxa"/>
            <w:vMerge w:val="continue"/>
            <w:vAlign w:val="center"/>
          </w:tcPr>
          <w:p>
            <w:pPr>
              <w:widowControl/>
              <w:tabs>
                <w:tab w:val="left" w:pos="567"/>
              </w:tabs>
              <w:jc w:val="left"/>
              <w:rPr>
                <w:rFonts w:cs="Arial" w:asciiTheme="minorEastAsia" w:hAnsiTheme="minorEastAsia"/>
                <w:color w:val="000000"/>
                <w:kern w:val="0"/>
                <w:sz w:val="18"/>
                <w:szCs w:val="18"/>
              </w:rPr>
            </w:pP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　</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4.属于上市后的临床项目，项目成果增加新适应症、通过安全性再评价、中药保护、医保审核的，其支出予以资本化，确认为开发支出；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186"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贵州百灵</w:t>
            </w:r>
            <w:r>
              <w:rPr>
                <w:rFonts w:cs="Arial" w:asciiTheme="minorEastAsia" w:hAnsiTheme="minorEastAsia"/>
                <w:color w:val="000000"/>
                <w:kern w:val="0"/>
                <w:sz w:val="18"/>
                <w:szCs w:val="18"/>
              </w:rPr>
              <w:br w:type="textWrapping"/>
            </w: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　</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取得临床批文后至到获得生产批文为止所处的阶段均为开发阶段，开发阶段所发生的支出在符合资产定义资本化的条件时予以资本化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1186"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海正药业</w:t>
            </w:r>
            <w:r>
              <w:rPr>
                <w:rFonts w:cs="Arial" w:asciiTheme="minorEastAsia" w:hAnsiTheme="minorEastAsia"/>
                <w:color w:val="000000"/>
                <w:kern w:val="0"/>
                <w:sz w:val="18"/>
                <w:szCs w:val="18"/>
              </w:rPr>
              <w:br w:type="textWrapping"/>
            </w: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　</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公司临床试验和样品生产申报的阶段作为开发阶段。开发阶段的起点为项目可以进入临床试验或者进入申报期(已有国家药品标准的原料药和制剂)，终点为项目取得新药证书或生产批件。公司进入开发阶段的项目支出，先在“开发支出”科目分项目进行明细核算，满足资本化条件的，在项目取得新药证书或生产批件形成无形资产时转入“无形资产”科目分项目进行明细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3" w:hRule="atLeast"/>
        </w:trPr>
        <w:tc>
          <w:tcPr>
            <w:tcW w:w="1186"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东北制药</w:t>
            </w:r>
            <w:r>
              <w:rPr>
                <w:rFonts w:cs="Arial" w:asciiTheme="minorEastAsia" w:hAnsiTheme="minorEastAsia"/>
                <w:color w:val="000000"/>
                <w:kern w:val="0"/>
                <w:sz w:val="18"/>
                <w:szCs w:val="18"/>
              </w:rPr>
              <w:br w:type="textWrapping"/>
            </w:r>
          </w:p>
        </w:tc>
        <w:tc>
          <w:tcPr>
            <w:tcW w:w="1545" w:type="dxa"/>
            <w:shd w:val="clear" w:color="auto" w:fill="auto"/>
            <w:vAlign w:val="center"/>
          </w:tcPr>
          <w:p>
            <w:pPr>
              <w:widowControl/>
              <w:tabs>
                <w:tab w:val="left" w:pos="567"/>
              </w:tabs>
              <w:rPr>
                <w:rFonts w:cs="Arial" w:asciiTheme="minorEastAsia" w:hAnsiTheme="minorEastAsia"/>
                <w:color w:val="000000"/>
                <w:kern w:val="0"/>
                <w:sz w:val="18"/>
                <w:szCs w:val="18"/>
              </w:rPr>
            </w:pPr>
            <w:r>
              <w:rPr>
                <w:rFonts w:cs="Arial" w:asciiTheme="minorEastAsia" w:hAnsiTheme="minorEastAsia"/>
                <w:color w:val="000000"/>
                <w:kern w:val="0"/>
                <w:sz w:val="18"/>
                <w:szCs w:val="18"/>
              </w:rPr>
              <w:t>　</w:t>
            </w:r>
          </w:p>
        </w:tc>
        <w:tc>
          <w:tcPr>
            <w:tcW w:w="5769" w:type="dxa"/>
            <w:shd w:val="clear" w:color="auto" w:fill="auto"/>
            <w:vAlign w:val="center"/>
          </w:tcPr>
          <w:p>
            <w:pPr>
              <w:widowControl/>
              <w:tabs>
                <w:tab w:val="left" w:pos="567"/>
              </w:tabs>
              <w:jc w:val="left"/>
              <w:rPr>
                <w:rFonts w:cs="Arial" w:asciiTheme="minorEastAsia" w:hAnsiTheme="minorEastAsia"/>
                <w:color w:val="000000"/>
                <w:kern w:val="0"/>
                <w:sz w:val="18"/>
                <w:szCs w:val="18"/>
              </w:rPr>
            </w:pPr>
            <w:r>
              <w:rPr>
                <w:rFonts w:cs="Arial" w:asciiTheme="minorEastAsia" w:hAnsiTheme="minorEastAsia"/>
                <w:color w:val="000000"/>
                <w:kern w:val="0"/>
                <w:sz w:val="18"/>
                <w:szCs w:val="18"/>
              </w:rPr>
              <w:t>结合医药行业研发流程以及公司自身研发的特点，本公司药品药剂的内部研究开发项目进入开发阶段的开始时点为药品药剂进入临床试验或类似时点，结束时点为取得生产许可证。化学仿制药进入开发阶段的时点为完成生物等效试验时，结束时点为取得生产许可证。</w:t>
            </w:r>
          </w:p>
        </w:tc>
      </w:tr>
    </w:tbl>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由上表，公司资本化政策和同行业可比公司类似，未见重大差异，资本化核算相对合理，符合会计准则相关要求。</w:t>
      </w:r>
    </w:p>
    <w:p>
      <w:pPr>
        <w:tabs>
          <w:tab w:val="left" w:pos="567"/>
        </w:tabs>
        <w:spacing w:line="360" w:lineRule="auto"/>
        <w:outlineLvl w:val="1"/>
        <w:rPr>
          <w:rFonts w:asciiTheme="minorEastAsia" w:hAnsiTheme="minorEastAsia"/>
          <w:sz w:val="24"/>
          <w:szCs w:val="24"/>
        </w:rPr>
      </w:pP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（三）</w:t>
      </w:r>
      <w:r>
        <w:rPr>
          <w:rFonts w:asciiTheme="minorEastAsia" w:hAnsiTheme="minorEastAsia"/>
          <w:b/>
          <w:sz w:val="24"/>
          <w:szCs w:val="24"/>
        </w:rPr>
        <w:t>对比同行业公司研发投入及占比情况，分析研发能力和竞争优劣势</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公司2022年度</w:t>
      </w:r>
      <w:r>
        <w:rPr>
          <w:rFonts w:hint="eastAsia" w:asciiTheme="minorEastAsia" w:hAnsiTheme="minorEastAsia"/>
          <w:sz w:val="24"/>
          <w:szCs w:val="24"/>
        </w:rPr>
        <w:t>研发投入基本上为医药板块的投入，</w:t>
      </w:r>
      <w:r>
        <w:rPr>
          <w:rFonts w:asciiTheme="minorEastAsia" w:hAnsiTheme="minorEastAsia"/>
          <w:sz w:val="24"/>
          <w:szCs w:val="24"/>
        </w:rPr>
        <w:t>医药研发投入与医药同行业公司研发投入及占比情况如下表：</w:t>
      </w:r>
    </w:p>
    <w:p>
      <w:pPr>
        <w:tabs>
          <w:tab w:val="left" w:pos="567"/>
        </w:tabs>
        <w:spacing w:line="360" w:lineRule="auto"/>
        <w:ind w:left="424" w:leftChars="202"/>
        <w:jc w:val="right"/>
        <w:rPr>
          <w:rFonts w:asciiTheme="minorEastAsia" w:hAnsiTheme="minorEastAsia"/>
          <w:sz w:val="24"/>
          <w:szCs w:val="24"/>
        </w:rPr>
      </w:pPr>
      <w:r>
        <w:rPr>
          <w:rFonts w:asciiTheme="minorEastAsia" w:hAnsiTheme="minorEastAsia"/>
          <w:sz w:val="24"/>
          <w:szCs w:val="24"/>
        </w:rPr>
        <w:t>单位：万元</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4"/>
        <w:gridCol w:w="1756"/>
        <w:gridCol w:w="2126"/>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trPr>
        <w:tc>
          <w:tcPr>
            <w:tcW w:w="2634"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同行业可比公司</w:t>
            </w:r>
          </w:p>
        </w:tc>
        <w:tc>
          <w:tcPr>
            <w:tcW w:w="175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研发投入金额</w:t>
            </w:r>
          </w:p>
        </w:tc>
        <w:tc>
          <w:tcPr>
            <w:tcW w:w="212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研发投入占营业收入比例(%)</w:t>
            </w:r>
          </w:p>
        </w:tc>
        <w:tc>
          <w:tcPr>
            <w:tcW w:w="1843"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研发投入资本化比重(%)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34"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华润双鹤</w:t>
            </w:r>
          </w:p>
        </w:tc>
        <w:tc>
          <w:tcPr>
            <w:tcW w:w="175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72,240.26</w:t>
            </w:r>
          </w:p>
        </w:tc>
        <w:tc>
          <w:tcPr>
            <w:tcW w:w="212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7.65</w:t>
            </w:r>
          </w:p>
        </w:tc>
        <w:tc>
          <w:tcPr>
            <w:tcW w:w="1843"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34.29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34"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西藏药业</w:t>
            </w:r>
          </w:p>
        </w:tc>
        <w:tc>
          <w:tcPr>
            <w:tcW w:w="175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4,457.79</w:t>
            </w:r>
          </w:p>
        </w:tc>
        <w:tc>
          <w:tcPr>
            <w:tcW w:w="212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1.74</w:t>
            </w:r>
          </w:p>
        </w:tc>
        <w:tc>
          <w:tcPr>
            <w:tcW w:w="1843"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34"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哈药股份</w:t>
            </w:r>
          </w:p>
        </w:tc>
        <w:tc>
          <w:tcPr>
            <w:tcW w:w="175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16,336.54</w:t>
            </w:r>
          </w:p>
        </w:tc>
        <w:tc>
          <w:tcPr>
            <w:tcW w:w="212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1.18</w:t>
            </w:r>
          </w:p>
        </w:tc>
        <w:tc>
          <w:tcPr>
            <w:tcW w:w="1843"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34"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白云山</w:t>
            </w:r>
          </w:p>
        </w:tc>
        <w:tc>
          <w:tcPr>
            <w:tcW w:w="175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106,462.40</w:t>
            </w:r>
          </w:p>
        </w:tc>
        <w:tc>
          <w:tcPr>
            <w:tcW w:w="212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1.5</w:t>
            </w:r>
          </w:p>
        </w:tc>
        <w:tc>
          <w:tcPr>
            <w:tcW w:w="1843"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23.53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34"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江中药业</w:t>
            </w:r>
          </w:p>
        </w:tc>
        <w:tc>
          <w:tcPr>
            <w:tcW w:w="175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14,845.22</w:t>
            </w:r>
          </w:p>
        </w:tc>
        <w:tc>
          <w:tcPr>
            <w:tcW w:w="212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3.89</w:t>
            </w:r>
          </w:p>
        </w:tc>
        <w:tc>
          <w:tcPr>
            <w:tcW w:w="1843"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38.74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2634"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上述同比公司指标中位数</w:t>
            </w:r>
          </w:p>
        </w:tc>
        <w:tc>
          <w:tcPr>
            <w:tcW w:w="175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16,336.54</w:t>
            </w:r>
          </w:p>
        </w:tc>
        <w:tc>
          <w:tcPr>
            <w:tcW w:w="2126" w:type="dxa"/>
            <w:shd w:val="clear" w:color="auto" w:fill="auto"/>
            <w:vAlign w:val="center"/>
          </w:tcPr>
          <w:p>
            <w:pPr>
              <w:widowControl/>
              <w:tabs>
                <w:tab w:val="left" w:pos="567"/>
              </w:tabs>
              <w:jc w:val="center"/>
              <w:rPr>
                <w:rFonts w:cs="宋体" w:asciiTheme="minorEastAsia" w:hAnsiTheme="minorEastAsia"/>
                <w:color w:val="000000"/>
                <w:kern w:val="0"/>
                <w:szCs w:val="21"/>
                <w:highlight w:val="yellow"/>
              </w:rPr>
            </w:pPr>
            <w:r>
              <w:rPr>
                <w:rFonts w:cs="宋体" w:asciiTheme="minorEastAsia" w:hAnsiTheme="minorEastAsia"/>
                <w:color w:val="000000"/>
                <w:kern w:val="0"/>
                <w:szCs w:val="21"/>
              </w:rPr>
              <w:t>1.74</w:t>
            </w:r>
          </w:p>
        </w:tc>
        <w:tc>
          <w:tcPr>
            <w:tcW w:w="1843"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29.11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634"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江苏吴中</w:t>
            </w:r>
          </w:p>
        </w:tc>
        <w:tc>
          <w:tcPr>
            <w:tcW w:w="175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4,485.16</w:t>
            </w:r>
          </w:p>
        </w:tc>
        <w:tc>
          <w:tcPr>
            <w:tcW w:w="2126"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3</w:t>
            </w:r>
            <w:r>
              <w:rPr>
                <w:rFonts w:hint="eastAsia" w:cs="宋体" w:asciiTheme="minorEastAsia" w:hAnsiTheme="minorEastAsia"/>
                <w:color w:val="000000"/>
                <w:kern w:val="0"/>
                <w:szCs w:val="21"/>
              </w:rPr>
              <w:t>.</w:t>
            </w:r>
            <w:r>
              <w:rPr>
                <w:rFonts w:cs="宋体" w:asciiTheme="minorEastAsia" w:hAnsiTheme="minorEastAsia"/>
                <w:color w:val="000000"/>
                <w:kern w:val="0"/>
                <w:szCs w:val="21"/>
              </w:rPr>
              <w:t>15</w:t>
            </w:r>
          </w:p>
        </w:tc>
        <w:tc>
          <w:tcPr>
            <w:tcW w:w="1843" w:type="dxa"/>
            <w:shd w:val="clear" w:color="auto" w:fill="auto"/>
            <w:vAlign w:val="center"/>
          </w:tcPr>
          <w:p>
            <w:pPr>
              <w:widowControl/>
              <w:tabs>
                <w:tab w:val="left" w:pos="567"/>
              </w:tabs>
              <w:jc w:val="center"/>
              <w:rPr>
                <w:rFonts w:cs="宋体" w:asciiTheme="minorEastAsia" w:hAnsiTheme="minorEastAsia"/>
                <w:color w:val="000000"/>
                <w:kern w:val="0"/>
                <w:szCs w:val="21"/>
              </w:rPr>
            </w:pPr>
            <w:r>
              <w:rPr>
                <w:rFonts w:cs="宋体" w:asciiTheme="minorEastAsia" w:hAnsiTheme="minorEastAsia"/>
                <w:color w:val="000000"/>
                <w:kern w:val="0"/>
                <w:szCs w:val="21"/>
              </w:rPr>
              <w:t>39.80</w:t>
            </w:r>
          </w:p>
        </w:tc>
      </w:tr>
    </w:tbl>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上表显示，公司2022年度医药研发投入占医药</w:t>
      </w:r>
      <w:r>
        <w:rPr>
          <w:rFonts w:hint="eastAsia" w:asciiTheme="minorEastAsia" w:hAnsiTheme="minorEastAsia"/>
          <w:sz w:val="24"/>
          <w:szCs w:val="24"/>
        </w:rPr>
        <w:t>业务</w:t>
      </w:r>
      <w:r>
        <w:rPr>
          <w:rFonts w:asciiTheme="minorEastAsia" w:hAnsiTheme="minorEastAsia"/>
          <w:sz w:val="24"/>
          <w:szCs w:val="24"/>
        </w:rPr>
        <w:t>收入比例</w:t>
      </w:r>
      <w:r>
        <w:rPr>
          <w:rFonts w:hint="eastAsia" w:asciiTheme="minorEastAsia" w:hAnsiTheme="minorEastAsia"/>
          <w:sz w:val="24"/>
          <w:szCs w:val="24"/>
        </w:rPr>
        <w:t>（与同行业可比公司核算口径一致）</w:t>
      </w:r>
      <w:r>
        <w:rPr>
          <w:rFonts w:asciiTheme="minorEastAsia" w:hAnsiTheme="minorEastAsia"/>
          <w:sz w:val="24"/>
          <w:szCs w:val="24"/>
        </w:rPr>
        <w:t>与同行业可比公司相比处于较高水平</w:t>
      </w:r>
      <w:r>
        <w:rPr>
          <w:rFonts w:hint="eastAsia" w:asciiTheme="minorEastAsia" w:hAnsiTheme="minorEastAsia"/>
          <w:sz w:val="24"/>
          <w:szCs w:val="24"/>
        </w:rPr>
        <w:t>；</w:t>
      </w:r>
      <w:r>
        <w:rPr>
          <w:rFonts w:asciiTheme="minorEastAsia" w:hAnsiTheme="minorEastAsia"/>
          <w:sz w:val="24"/>
          <w:szCs w:val="24"/>
        </w:rPr>
        <w:t>公司</w:t>
      </w:r>
      <w:r>
        <w:rPr>
          <w:rFonts w:cs="宋体" w:asciiTheme="minorEastAsia" w:hAnsiTheme="minorEastAsia"/>
          <w:color w:val="000000"/>
          <w:kern w:val="0"/>
          <w:sz w:val="24"/>
          <w:szCs w:val="24"/>
        </w:rPr>
        <w:t>2022年度医药研发投入资本化比重</w:t>
      </w:r>
      <w:r>
        <w:rPr>
          <w:rFonts w:hint="eastAsia" w:cs="宋体" w:asciiTheme="minorEastAsia" w:hAnsiTheme="minorEastAsia"/>
          <w:color w:val="000000"/>
          <w:kern w:val="0"/>
          <w:sz w:val="24"/>
          <w:szCs w:val="24"/>
        </w:rPr>
        <w:t>与同行业相比</w:t>
      </w:r>
      <w:r>
        <w:rPr>
          <w:rFonts w:cs="宋体" w:asciiTheme="minorEastAsia" w:hAnsiTheme="minorEastAsia"/>
          <w:color w:val="000000"/>
          <w:kern w:val="0"/>
          <w:sz w:val="24"/>
          <w:szCs w:val="24"/>
        </w:rPr>
        <w:t>偏高。</w:t>
      </w:r>
      <w:r>
        <w:rPr>
          <w:rFonts w:hint="eastAsia" w:cs="宋体" w:asciiTheme="minorEastAsia" w:hAnsiTheme="minorEastAsia"/>
          <w:color w:val="000000"/>
          <w:kern w:val="0"/>
          <w:sz w:val="24"/>
          <w:szCs w:val="24"/>
        </w:rPr>
        <w:t>公司研发能力和竞争优劣势分析如下：</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研发能力</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持续重视自主研发能力建设。公司成立研究院统一研发管理，下设四个研究所，及项目管理部、临床研究部、合作拓展部等综合管理部门。截止报告期末，现有研发人员110人，研发人员占公司总人员比例10%，其中博士4人，硕士22人，本科62人，本科以上占研发人员比例80%。</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研究院试验场地面积6000平方米，研发仪器设备原值2700多万元，已建成化学合成、常规制剂开发、质量研究与评价、外用制剂、医美器械和重组胶原蛋白6个技术开发平台。</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公司2020年列入苏州市政府重点扶持的企业先进技术研究院行列，江苏省2022年度优秀企业技术中心。</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竞争优势</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公司持续重视自主研发能力建设，近三年研发投入占工业销售收入的比例平均为5.43%</w:t>
      </w:r>
      <w:r>
        <w:rPr>
          <w:rFonts w:hint="eastAsia" w:asciiTheme="minorEastAsia" w:hAnsiTheme="minorEastAsia"/>
          <w:sz w:val="24"/>
          <w:szCs w:val="24"/>
        </w:rPr>
        <w:t>，</w:t>
      </w:r>
      <w:r>
        <w:rPr>
          <w:rFonts w:asciiTheme="minorEastAsia" w:hAnsiTheme="minorEastAsia"/>
          <w:sz w:val="24"/>
          <w:szCs w:val="24"/>
        </w:rPr>
        <w:t>积极拓展对外合作渠道，重视产学研建设，依托浙江大学优秀科研团队合作开展创新药物研究，依托中科院上海药物研究所杰出教授开展高端制剂和改良新药研究。</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公司重视科研团队建设，近年来从</w:t>
      </w:r>
      <w:r>
        <w:rPr>
          <w:rFonts w:hint="eastAsia" w:asciiTheme="minorEastAsia" w:hAnsiTheme="minorEastAsia"/>
          <w:sz w:val="24"/>
          <w:szCs w:val="24"/>
        </w:rPr>
        <w:t>行业</w:t>
      </w:r>
      <w:r>
        <w:rPr>
          <w:rFonts w:asciiTheme="minorEastAsia" w:hAnsiTheme="minorEastAsia"/>
          <w:sz w:val="24"/>
          <w:szCs w:val="24"/>
        </w:rPr>
        <w:t>头部企业引进优秀技术骨干，不断夯实自身研发团队，同时加大应届毕业生的招聘引进力度，持续塑造企业的年轻态和生命力。</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公司建立科技创新奖励制度，根据研发项目进度和质量以及上市情况，设立项目激励，在每年春节过后的开工动员大会上予以隆重表彰，充分调动广大研发人员积极性。</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依据自身投入和产品特点，以满足临床需求为目标，以“提供美好健康生活”为愿景，持续开展差异化的选题立项。公司重视已上市仿制药的一致性评价工作。盐酸曲美他嗪片在2019年全国首家通过一致性评价，并在国家第3批集中采购里第一顺位中标；美索巴莫注射液为公司独家重磅品种，也在全国首家通过一致性评价，后续公司还有2个品种亦将在全国首家过评；此外，其余重点品种也都在开展一致性评价过程中。</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未来，公司将继续自主研发和合作研发并举，在创新药物、改良型新药、高技术壁垒仿制药等方面，持续构建“规划一代、研发一代、生产一代、”的递进式核心品种组合格局，强化研发全过程管理，加速产出，促进集团发展壮大。</w:t>
      </w:r>
    </w:p>
    <w:p>
      <w:pPr>
        <w:tabs>
          <w:tab w:val="left" w:pos="567"/>
        </w:tabs>
        <w:spacing w:line="360" w:lineRule="auto"/>
        <w:ind w:left="424" w:leftChars="202"/>
        <w:rPr>
          <w:rFonts w:asciiTheme="minorEastAsia" w:hAnsiTheme="minorEastAsia"/>
          <w:sz w:val="24"/>
          <w:szCs w:val="24"/>
        </w:rPr>
      </w:pP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（四）</w:t>
      </w:r>
      <w:r>
        <w:rPr>
          <w:rFonts w:asciiTheme="minorEastAsia" w:hAnsiTheme="minorEastAsia"/>
          <w:b/>
          <w:sz w:val="24"/>
          <w:szCs w:val="24"/>
        </w:rPr>
        <w:t>结合公司主营业务，说明年报所列示的同行业可比公司的选取标准及合理性</w:t>
      </w:r>
      <w:r>
        <w:rPr>
          <w:rFonts w:hint="eastAsia" w:asciiTheme="minorEastAsia" w:hAnsiTheme="minorEastAsia"/>
          <w:b/>
          <w:sz w:val="24"/>
          <w:szCs w:val="24"/>
        </w:rPr>
        <w:t>同行业</w:t>
      </w:r>
      <w:r>
        <w:rPr>
          <w:rFonts w:asciiTheme="minorEastAsia" w:hAnsiTheme="minorEastAsia"/>
          <w:b/>
          <w:sz w:val="24"/>
          <w:szCs w:val="24"/>
        </w:rPr>
        <w:t>可比公司的选取标准</w:t>
      </w:r>
      <w:r>
        <w:rPr>
          <w:rFonts w:hint="eastAsia" w:asciiTheme="minorEastAsia" w:hAnsiTheme="minorEastAsia"/>
          <w:b/>
          <w:sz w:val="24"/>
          <w:szCs w:val="24"/>
        </w:rPr>
        <w:t>：</w:t>
      </w:r>
    </w:p>
    <w:p>
      <w:pPr>
        <w:pStyle w:val="16"/>
        <w:numPr>
          <w:ilvl w:val="0"/>
          <w:numId w:val="2"/>
        </w:numPr>
        <w:tabs>
          <w:tab w:val="left" w:pos="567"/>
        </w:tabs>
        <w:spacing w:line="360" w:lineRule="auto"/>
        <w:ind w:firstLineChars="0"/>
        <w:rPr>
          <w:rFonts w:asciiTheme="minorEastAsia" w:hAnsiTheme="minorEastAsia"/>
          <w:sz w:val="24"/>
          <w:szCs w:val="24"/>
        </w:rPr>
      </w:pPr>
      <w:r>
        <w:rPr>
          <w:rFonts w:asciiTheme="minorEastAsia" w:hAnsiTheme="minorEastAsia"/>
          <w:sz w:val="24"/>
          <w:szCs w:val="24"/>
        </w:rPr>
        <w:t>主要产品所处细分行业是否与公司产品相同或相似</w:t>
      </w:r>
      <w:r>
        <w:rPr>
          <w:rFonts w:hint="eastAsia" w:asciiTheme="minorEastAsia" w:hAnsiTheme="minorEastAsia"/>
          <w:sz w:val="24"/>
          <w:szCs w:val="24"/>
        </w:rPr>
        <w:t>；</w:t>
      </w:r>
    </w:p>
    <w:tbl>
      <w:tblPr>
        <w:tblStyle w:val="8"/>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5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1638" w:type="pct"/>
            <w:shd w:val="clear" w:color="auto" w:fill="auto"/>
            <w:noWrap/>
            <w:vAlign w:val="center"/>
          </w:tcPr>
          <w:p>
            <w:pPr>
              <w:widowControl/>
              <w:tabs>
                <w:tab w:val="left" w:pos="567"/>
              </w:tabs>
              <w:jc w:val="center"/>
              <w:rPr>
                <w:rFonts w:asciiTheme="minorEastAsia" w:hAnsiTheme="minorEastAsia"/>
                <w:szCs w:val="21"/>
              </w:rPr>
            </w:pPr>
            <w:r>
              <w:rPr>
                <w:rFonts w:asciiTheme="minorEastAsia" w:hAnsiTheme="minorEastAsia"/>
                <w:szCs w:val="21"/>
              </w:rPr>
              <w:t>单位名称</w:t>
            </w:r>
          </w:p>
        </w:tc>
        <w:tc>
          <w:tcPr>
            <w:tcW w:w="3362" w:type="pct"/>
            <w:shd w:val="clear" w:color="auto" w:fill="auto"/>
            <w:noWrap/>
            <w:vAlign w:val="center"/>
          </w:tcPr>
          <w:p>
            <w:pPr>
              <w:widowControl/>
              <w:tabs>
                <w:tab w:val="left" w:pos="567"/>
              </w:tabs>
              <w:jc w:val="center"/>
              <w:rPr>
                <w:rFonts w:asciiTheme="minorEastAsia" w:hAnsiTheme="minorEastAsia"/>
                <w:szCs w:val="21"/>
              </w:rPr>
            </w:pPr>
            <w:r>
              <w:rPr>
                <w:rFonts w:asciiTheme="minorEastAsia" w:hAnsiTheme="minorEastAsia"/>
                <w:szCs w:val="21"/>
              </w:rPr>
              <w:t>主要产品细分行业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638"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江苏吴中</w:t>
            </w:r>
          </w:p>
        </w:tc>
        <w:tc>
          <w:tcPr>
            <w:tcW w:w="3362"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化药、生物药、中成药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638"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华润双鹤</w:t>
            </w:r>
          </w:p>
        </w:tc>
        <w:tc>
          <w:tcPr>
            <w:tcW w:w="3362"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化药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38"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西藏药业</w:t>
            </w:r>
          </w:p>
        </w:tc>
        <w:tc>
          <w:tcPr>
            <w:tcW w:w="3362"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化药、生物制品、中成药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38"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哈药股份</w:t>
            </w:r>
          </w:p>
        </w:tc>
        <w:tc>
          <w:tcPr>
            <w:tcW w:w="3362"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化药、生物制品、中成药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38"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白云山</w:t>
            </w:r>
          </w:p>
        </w:tc>
        <w:tc>
          <w:tcPr>
            <w:tcW w:w="3362"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化药、中药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638"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江中药业</w:t>
            </w:r>
          </w:p>
        </w:tc>
        <w:tc>
          <w:tcPr>
            <w:tcW w:w="3362" w:type="pct"/>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化药、中药、生物制品</w:t>
            </w:r>
          </w:p>
        </w:tc>
      </w:tr>
    </w:tbl>
    <w:p>
      <w:pPr>
        <w:tabs>
          <w:tab w:val="left" w:pos="567"/>
        </w:tabs>
        <w:spacing w:line="360" w:lineRule="auto"/>
        <w:ind w:firstLine="480" w:firstLineChars="200"/>
        <w:outlineLvl w:val="1"/>
        <w:rPr>
          <w:rFonts w:asciiTheme="minorEastAsia" w:hAnsiTheme="minorEastAsia"/>
          <w:sz w:val="24"/>
          <w:szCs w:val="24"/>
        </w:rPr>
      </w:pPr>
      <w:r>
        <w:rPr>
          <w:rFonts w:hint="eastAsia" w:asciiTheme="minorEastAsia" w:hAnsiTheme="minorEastAsia"/>
          <w:sz w:val="24"/>
          <w:szCs w:val="24"/>
        </w:rPr>
        <w:t>公司医药制造产品体系主要涵盖化学原料药、化学制剂、生物制剂、现代中药等细分行业。</w:t>
      </w:r>
    </w:p>
    <w:p>
      <w:pPr>
        <w:tabs>
          <w:tab w:val="left" w:pos="567"/>
        </w:tabs>
        <w:spacing w:line="360" w:lineRule="auto"/>
        <w:ind w:firstLine="480" w:firstLineChars="200"/>
        <w:outlineLvl w:val="1"/>
        <w:rPr>
          <w:rFonts w:asciiTheme="minorEastAsia" w:hAnsiTheme="minorEastAsia"/>
          <w:sz w:val="24"/>
          <w:szCs w:val="24"/>
        </w:rPr>
      </w:pPr>
      <w:r>
        <w:rPr>
          <w:rFonts w:hint="eastAsia" w:asciiTheme="minorEastAsia" w:hAnsiTheme="minorEastAsia"/>
          <w:sz w:val="24"/>
          <w:szCs w:val="24"/>
        </w:rPr>
        <w:t>选取同行业可比公司时主要考虑选择与本公司细分行业类似的公司，上述公司涵盖了本公司的各类细分行业。</w:t>
      </w:r>
    </w:p>
    <w:p>
      <w:pPr>
        <w:pStyle w:val="16"/>
        <w:numPr>
          <w:ilvl w:val="0"/>
          <w:numId w:val="2"/>
        </w:numPr>
        <w:tabs>
          <w:tab w:val="left" w:pos="567"/>
        </w:tabs>
        <w:spacing w:line="360" w:lineRule="auto"/>
        <w:ind w:firstLineChars="0"/>
        <w:rPr>
          <w:rFonts w:asciiTheme="minorEastAsia" w:hAnsiTheme="minorEastAsia"/>
          <w:sz w:val="24"/>
          <w:szCs w:val="24"/>
        </w:rPr>
      </w:pPr>
      <w:r>
        <w:rPr>
          <w:rFonts w:hint="eastAsia" w:asciiTheme="minorEastAsia" w:hAnsiTheme="minorEastAsia"/>
          <w:sz w:val="24"/>
          <w:szCs w:val="24"/>
        </w:rPr>
        <w:t>产品</w:t>
      </w:r>
      <w:r>
        <w:rPr>
          <w:rFonts w:asciiTheme="minorEastAsia" w:hAnsiTheme="minorEastAsia"/>
          <w:sz w:val="24"/>
          <w:szCs w:val="24"/>
        </w:rPr>
        <w:t>销售模式是否与公司相似；</w:t>
      </w:r>
    </w:p>
    <w:tbl>
      <w:tblPr>
        <w:tblStyle w:val="8"/>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2"/>
        <w:gridCol w:w="7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shd w:val="clear" w:color="auto" w:fill="auto"/>
            <w:noWrap/>
            <w:vAlign w:val="center"/>
          </w:tcPr>
          <w:p>
            <w:pPr>
              <w:widowControl/>
              <w:tabs>
                <w:tab w:val="left" w:pos="567"/>
              </w:tabs>
              <w:jc w:val="center"/>
              <w:rPr>
                <w:rFonts w:asciiTheme="minorEastAsia" w:hAnsiTheme="minorEastAsia"/>
                <w:szCs w:val="21"/>
              </w:rPr>
            </w:pPr>
            <w:r>
              <w:rPr>
                <w:rFonts w:asciiTheme="minorEastAsia" w:hAnsiTheme="minorEastAsia"/>
                <w:szCs w:val="21"/>
              </w:rPr>
              <w:t>单位名称</w:t>
            </w:r>
          </w:p>
        </w:tc>
        <w:tc>
          <w:tcPr>
            <w:tcW w:w="7287" w:type="dxa"/>
            <w:shd w:val="clear" w:color="auto" w:fill="auto"/>
            <w:noWrap/>
            <w:vAlign w:val="center"/>
          </w:tcPr>
          <w:p>
            <w:pPr>
              <w:widowControl/>
              <w:tabs>
                <w:tab w:val="left" w:pos="567"/>
              </w:tabs>
              <w:jc w:val="center"/>
              <w:rPr>
                <w:rFonts w:asciiTheme="minorEastAsia" w:hAnsiTheme="minorEastAsia"/>
                <w:szCs w:val="21"/>
              </w:rPr>
            </w:pPr>
            <w:r>
              <w:rPr>
                <w:rFonts w:asciiTheme="minorEastAsia" w:hAnsiTheme="minorEastAsia"/>
                <w:szCs w:val="21"/>
              </w:rPr>
              <w:t>销售模式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0" w:type="auto"/>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江苏吴中</w:t>
            </w:r>
          </w:p>
        </w:tc>
        <w:tc>
          <w:tcPr>
            <w:tcW w:w="7287" w:type="dxa"/>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自营终端销售模式、配送模式、招商模式、OTC、电商模式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0" w:type="auto"/>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华润双鹤</w:t>
            </w:r>
          </w:p>
        </w:tc>
        <w:tc>
          <w:tcPr>
            <w:tcW w:w="7287" w:type="dxa"/>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终端推广模式、招商代理模式、商业分销模式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西藏药业</w:t>
            </w:r>
          </w:p>
        </w:tc>
        <w:tc>
          <w:tcPr>
            <w:tcW w:w="7287" w:type="dxa"/>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自行销售、由服务商推广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哈药股份</w:t>
            </w:r>
          </w:p>
        </w:tc>
        <w:tc>
          <w:tcPr>
            <w:tcW w:w="7287" w:type="dxa"/>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与头部医药流通企业开展战略合作，扩大自营团队建设，开展精细化营销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白云山</w:t>
            </w:r>
          </w:p>
        </w:tc>
        <w:tc>
          <w:tcPr>
            <w:tcW w:w="7287" w:type="dxa"/>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过各级经销商、代理商对全国大部分医院、社区医疗和零售终端进行销售覆盖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0" w:type="auto"/>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江中药业</w:t>
            </w:r>
          </w:p>
        </w:tc>
        <w:tc>
          <w:tcPr>
            <w:tcW w:w="7287" w:type="dxa"/>
            <w:shd w:val="clear" w:color="auto" w:fill="auto"/>
            <w:noWrap/>
            <w:vAlign w:val="center"/>
          </w:tcPr>
          <w:p>
            <w:pPr>
              <w:widowControl/>
              <w:tabs>
                <w:tab w:val="left" w:pos="567"/>
              </w:tabs>
              <w:jc w:val="left"/>
              <w:rPr>
                <w:rFonts w:asciiTheme="minorEastAsia" w:hAnsiTheme="minorEastAsia"/>
                <w:szCs w:val="21"/>
              </w:rPr>
            </w:pPr>
            <w:r>
              <w:rPr>
                <w:rFonts w:asciiTheme="minorEastAsia" w:hAnsiTheme="minorEastAsia"/>
                <w:szCs w:val="21"/>
              </w:rPr>
              <w:t>主要分为经、分销覆盖、垂直连锁直营、客户代理制、电商销售</w:t>
            </w:r>
          </w:p>
        </w:tc>
      </w:tr>
    </w:tbl>
    <w:p>
      <w:pPr>
        <w:tabs>
          <w:tab w:val="left" w:pos="567"/>
        </w:tabs>
        <w:spacing w:line="360" w:lineRule="auto"/>
        <w:ind w:firstLine="480" w:firstLineChars="200"/>
        <w:outlineLvl w:val="1"/>
        <w:rPr>
          <w:rFonts w:asciiTheme="minorEastAsia" w:hAnsiTheme="minorEastAsia"/>
          <w:sz w:val="24"/>
          <w:szCs w:val="24"/>
        </w:rPr>
      </w:pPr>
      <w:r>
        <w:rPr>
          <w:rFonts w:hint="eastAsia" w:asciiTheme="minorEastAsia" w:hAnsiTheme="minorEastAsia"/>
          <w:sz w:val="24"/>
          <w:szCs w:val="24"/>
        </w:rPr>
        <w:t>从上表可见，所选取的同比公司销售模式与本公司基本类似。</w:t>
      </w:r>
    </w:p>
    <w:p>
      <w:pPr>
        <w:tabs>
          <w:tab w:val="left" w:pos="567"/>
        </w:tabs>
        <w:spacing w:line="360" w:lineRule="auto"/>
        <w:ind w:firstLine="480" w:firstLineChars="200"/>
        <w:outlineLvl w:val="1"/>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、研发投入资本化政策是否与公司相似：</w:t>
      </w:r>
    </w:p>
    <w:p>
      <w:pPr>
        <w:tabs>
          <w:tab w:val="left" w:pos="567"/>
        </w:tabs>
        <w:spacing w:line="360" w:lineRule="auto"/>
        <w:ind w:firstLine="490"/>
        <w:outlineLvl w:val="1"/>
        <w:rPr>
          <w:rFonts w:asciiTheme="minorEastAsia" w:hAnsiTheme="minorEastAsia"/>
          <w:sz w:val="24"/>
          <w:szCs w:val="24"/>
        </w:rPr>
      </w:pPr>
      <w:r>
        <w:rPr>
          <w:rFonts w:hint="eastAsia" w:asciiTheme="minorEastAsia" w:hAnsiTheme="minorEastAsia"/>
          <w:sz w:val="24"/>
          <w:szCs w:val="24"/>
        </w:rPr>
        <w:t>本公司研发投入资本化政策详见五（二）</w:t>
      </w:r>
      <w:r>
        <w:rPr>
          <w:rFonts w:asciiTheme="minorEastAsia" w:hAnsiTheme="minorEastAsia"/>
          <w:sz w:val="24"/>
          <w:szCs w:val="24"/>
        </w:rPr>
        <w:t>1</w:t>
      </w:r>
      <w:r>
        <w:rPr>
          <w:rFonts w:hint="eastAsia" w:asciiTheme="minorEastAsia" w:hAnsiTheme="minorEastAsia"/>
          <w:sz w:val="24"/>
          <w:szCs w:val="24"/>
        </w:rPr>
        <w:t>，同行业</w:t>
      </w:r>
      <w:r>
        <w:rPr>
          <w:rFonts w:asciiTheme="minorEastAsia" w:hAnsiTheme="minorEastAsia"/>
          <w:sz w:val="24"/>
          <w:szCs w:val="24"/>
        </w:rPr>
        <w:t>可比公司</w:t>
      </w:r>
      <w:r>
        <w:rPr>
          <w:rFonts w:hint="eastAsia" w:asciiTheme="minorEastAsia" w:hAnsiTheme="minorEastAsia"/>
          <w:sz w:val="24"/>
          <w:szCs w:val="24"/>
        </w:rPr>
        <w:t>研发投入资本化政策详见五（二）</w:t>
      </w:r>
      <w:r>
        <w:rPr>
          <w:rFonts w:asciiTheme="minorEastAsia" w:hAnsiTheme="minorEastAsia"/>
          <w:sz w:val="24"/>
          <w:szCs w:val="24"/>
        </w:rPr>
        <w:t>2</w:t>
      </w:r>
      <w:r>
        <w:rPr>
          <w:rFonts w:hint="eastAsia" w:asciiTheme="minorEastAsia" w:hAnsiTheme="minorEastAsia"/>
          <w:sz w:val="24"/>
          <w:szCs w:val="24"/>
        </w:rPr>
        <w:t>。</w:t>
      </w:r>
    </w:p>
    <w:p>
      <w:pPr>
        <w:tabs>
          <w:tab w:val="left" w:pos="567"/>
        </w:tabs>
        <w:spacing w:line="360" w:lineRule="auto"/>
        <w:ind w:firstLine="490"/>
        <w:outlineLvl w:val="1"/>
        <w:rPr>
          <w:rFonts w:asciiTheme="minorEastAsia" w:hAnsiTheme="minorEastAsia"/>
          <w:sz w:val="24"/>
          <w:szCs w:val="24"/>
        </w:rPr>
      </w:pPr>
      <w:r>
        <w:rPr>
          <w:rFonts w:hint="eastAsia" w:asciiTheme="minorEastAsia" w:hAnsiTheme="minorEastAsia"/>
          <w:sz w:val="24"/>
          <w:szCs w:val="24"/>
        </w:rPr>
        <w:t>公司研发投入资本化政策与该同比公司具有可比性。</w:t>
      </w:r>
    </w:p>
    <w:p>
      <w:pPr>
        <w:tabs>
          <w:tab w:val="left" w:pos="567"/>
        </w:tabs>
        <w:spacing w:line="360" w:lineRule="auto"/>
        <w:ind w:left="568"/>
        <w:outlineLvl w:val="1"/>
        <w:rPr>
          <w:rFonts w:asciiTheme="minorEastAsia" w:hAnsiTheme="minorEastAsia"/>
          <w:sz w:val="24"/>
          <w:szCs w:val="24"/>
        </w:rPr>
      </w:pPr>
      <w:r>
        <w:rPr>
          <w:rFonts w:hint="eastAsia" w:asciiTheme="minorEastAsia" w:hAnsiTheme="minorEastAsia"/>
          <w:sz w:val="24"/>
          <w:szCs w:val="24"/>
        </w:rPr>
        <w:t>4、</w:t>
      </w:r>
      <w:r>
        <w:rPr>
          <w:rFonts w:asciiTheme="minorEastAsia" w:hAnsiTheme="minorEastAsia"/>
          <w:sz w:val="24"/>
          <w:szCs w:val="24"/>
        </w:rPr>
        <w:t>是否能获取公开数据</w:t>
      </w:r>
      <w:r>
        <w:rPr>
          <w:rFonts w:hint="eastAsia" w:asciiTheme="minorEastAsia" w:hAnsiTheme="minorEastAsia"/>
          <w:sz w:val="24"/>
          <w:szCs w:val="24"/>
        </w:rPr>
        <w:t>：</w:t>
      </w:r>
    </w:p>
    <w:p>
      <w:pPr>
        <w:pStyle w:val="16"/>
        <w:tabs>
          <w:tab w:val="left" w:pos="567"/>
        </w:tabs>
        <w:spacing w:line="360" w:lineRule="auto"/>
        <w:outlineLvl w:val="1"/>
        <w:rPr>
          <w:rFonts w:asciiTheme="minorEastAsia" w:hAnsiTheme="minorEastAsia"/>
          <w:sz w:val="24"/>
          <w:szCs w:val="24"/>
        </w:rPr>
      </w:pPr>
      <w:r>
        <w:rPr>
          <w:rFonts w:hint="eastAsia" w:asciiTheme="minorEastAsia" w:hAnsiTheme="minorEastAsia"/>
          <w:sz w:val="24"/>
          <w:szCs w:val="24"/>
        </w:rPr>
        <w:t>公司所选取的同行业可比公司都为上海证券交易所上市公司，可方便获取相关的财务数据。</w:t>
      </w:r>
    </w:p>
    <w:p>
      <w:pPr>
        <w:tabs>
          <w:tab w:val="left" w:pos="567"/>
        </w:tabs>
        <w:spacing w:line="360" w:lineRule="auto"/>
        <w:ind w:firstLine="48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w:t>
      </w:r>
      <w:r>
        <w:rPr>
          <w:rFonts w:asciiTheme="minorEastAsia" w:hAnsiTheme="minorEastAsia"/>
          <w:sz w:val="24"/>
          <w:szCs w:val="24"/>
        </w:rPr>
        <w:t>考虑所选取的同</w:t>
      </w:r>
      <w:r>
        <w:rPr>
          <w:rFonts w:hint="eastAsia" w:asciiTheme="minorEastAsia" w:hAnsiTheme="minorEastAsia"/>
          <w:sz w:val="24"/>
          <w:szCs w:val="24"/>
        </w:rPr>
        <w:t>行业可</w:t>
      </w:r>
      <w:r>
        <w:rPr>
          <w:rFonts w:asciiTheme="minorEastAsia" w:hAnsiTheme="minorEastAsia"/>
          <w:sz w:val="24"/>
          <w:szCs w:val="24"/>
        </w:rPr>
        <w:t>比公司的延续性</w:t>
      </w:r>
      <w:r>
        <w:rPr>
          <w:rFonts w:hint="eastAsia" w:asciiTheme="minorEastAsia" w:hAnsiTheme="minorEastAsia"/>
          <w:sz w:val="24"/>
          <w:szCs w:val="24"/>
        </w:rPr>
        <w:t>：</w:t>
      </w:r>
    </w:p>
    <w:p>
      <w:pPr>
        <w:tabs>
          <w:tab w:val="left" w:pos="567"/>
        </w:tabs>
        <w:spacing w:line="360" w:lineRule="auto"/>
        <w:ind w:firstLine="480"/>
        <w:rPr>
          <w:rFonts w:asciiTheme="minorEastAsia" w:hAnsiTheme="minorEastAsia"/>
          <w:sz w:val="24"/>
          <w:szCs w:val="24"/>
        </w:rPr>
      </w:pPr>
      <w:r>
        <w:rPr>
          <w:rFonts w:hint="eastAsia" w:asciiTheme="minorEastAsia" w:hAnsiTheme="minorEastAsia"/>
          <w:sz w:val="24"/>
          <w:szCs w:val="24"/>
        </w:rPr>
        <w:t>为避免选取</w:t>
      </w:r>
      <w:r>
        <w:rPr>
          <w:rFonts w:asciiTheme="minorEastAsia" w:hAnsiTheme="minorEastAsia"/>
          <w:sz w:val="24"/>
          <w:szCs w:val="24"/>
        </w:rPr>
        <w:t>同</w:t>
      </w:r>
      <w:r>
        <w:rPr>
          <w:rFonts w:hint="eastAsia" w:asciiTheme="minorEastAsia" w:hAnsiTheme="minorEastAsia"/>
          <w:sz w:val="24"/>
          <w:szCs w:val="24"/>
        </w:rPr>
        <w:t>行业可</w:t>
      </w:r>
      <w:r>
        <w:rPr>
          <w:rFonts w:asciiTheme="minorEastAsia" w:hAnsiTheme="minorEastAsia"/>
          <w:sz w:val="24"/>
          <w:szCs w:val="24"/>
        </w:rPr>
        <w:t>比公司的</w:t>
      </w:r>
      <w:r>
        <w:rPr>
          <w:rFonts w:hint="eastAsia" w:asciiTheme="minorEastAsia" w:hAnsiTheme="minorEastAsia"/>
          <w:sz w:val="24"/>
          <w:szCs w:val="24"/>
        </w:rPr>
        <w:t>主观随意性，公司近年保持着所选取公司的延续性，以保证数据的客观性。</w:t>
      </w:r>
    </w:p>
    <w:p>
      <w:pPr>
        <w:tabs>
          <w:tab w:val="left" w:pos="567"/>
        </w:tabs>
        <w:spacing w:line="360" w:lineRule="auto"/>
        <w:ind w:firstLine="480"/>
        <w:rPr>
          <w:rFonts w:asciiTheme="minorEastAsia" w:hAnsiTheme="minorEastAsia"/>
          <w:sz w:val="24"/>
          <w:szCs w:val="24"/>
        </w:rPr>
      </w:pPr>
      <w:r>
        <w:rPr>
          <w:rFonts w:hint="eastAsia" w:asciiTheme="minorEastAsia" w:hAnsiTheme="minorEastAsia"/>
          <w:sz w:val="24"/>
          <w:szCs w:val="24"/>
        </w:rPr>
        <w:t>由于公司医药集团下属中凯生物制药厂搬迁，公司生物制剂暂时停止生产，中成药目前销售占比较低，2</w:t>
      </w:r>
      <w:r>
        <w:rPr>
          <w:rFonts w:asciiTheme="minorEastAsia" w:hAnsiTheme="minorEastAsia"/>
          <w:sz w:val="24"/>
          <w:szCs w:val="24"/>
        </w:rPr>
        <w:t>023</w:t>
      </w:r>
      <w:r>
        <w:rPr>
          <w:rFonts w:hint="eastAsia" w:asciiTheme="minorEastAsia" w:hAnsiTheme="minorEastAsia"/>
          <w:sz w:val="24"/>
          <w:szCs w:val="24"/>
        </w:rPr>
        <w:t>年度同比公司将按公司产品变化作出合理调整，将主要选取化学制剂生产企业作为可比公司，</w:t>
      </w:r>
      <w:r>
        <w:rPr>
          <w:rFonts w:asciiTheme="minorEastAsia" w:hAnsiTheme="minorEastAsia"/>
          <w:sz w:val="24"/>
          <w:szCs w:val="24"/>
        </w:rPr>
        <w:t>以</w:t>
      </w:r>
      <w:r>
        <w:rPr>
          <w:rFonts w:hint="eastAsia" w:asciiTheme="minorEastAsia" w:hAnsiTheme="minorEastAsia"/>
          <w:sz w:val="24"/>
          <w:szCs w:val="24"/>
        </w:rPr>
        <w:t>更准确</w:t>
      </w:r>
      <w:r>
        <w:rPr>
          <w:rFonts w:asciiTheme="minorEastAsia" w:hAnsiTheme="minorEastAsia"/>
          <w:sz w:val="24"/>
          <w:szCs w:val="24"/>
        </w:rPr>
        <w:t>反映公司相关财务指标在行业内的水平，以利更好的合理规划研发投入支出。</w:t>
      </w:r>
    </w:p>
    <w:p>
      <w:pPr>
        <w:tabs>
          <w:tab w:val="left" w:pos="567"/>
        </w:tabs>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会计师核查意见：</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针对以上事项会计师实施了以下核查程序；</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1．查阅公司公开资料，访谈研发人员，了解公司主要在研项目内容及各期末的进展情况；</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2．询问财务人员，了解公司相关会计政策、研究阶段与开发阶段的划分节点、研发活动的流程及行业惯例，并与《企业会计准则第 6 号——无形资产》规定的无形资产资本化条件进行对比分析；</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3．2022年度审计期间，详细审计公司2022年度研发投入资本化情况与费用化情况；</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4．查阅同行业公司研发费用资本化政策，对比分析公司研发支出会计政策是否与同行业上市公司存在重大差异。</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经核查，会计师认为：</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（1）公司采用的研发政策和同行业可比公司对比，未见异常偏差，符合会计准则的相关规定；</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（2）公司2022年报所列示的同行业可比公司从产品、销售模式、研发具体政策以及公开数据可获取程度等维度选取的，对比分析相对合理。</w:t>
      </w:r>
    </w:p>
    <w:p>
      <w:pPr>
        <w:tabs>
          <w:tab w:val="left" w:pos="567"/>
        </w:tabs>
        <w:spacing w:line="360" w:lineRule="auto"/>
        <w:ind w:left="424" w:leftChars="202" w:firstLine="424" w:firstLineChars="177"/>
        <w:rPr>
          <w:rFonts w:asciiTheme="minorEastAsia" w:hAnsiTheme="minorEastAsia"/>
          <w:sz w:val="24"/>
          <w:szCs w:val="24"/>
        </w:rPr>
      </w:pPr>
    </w:p>
    <w:p>
      <w:pPr>
        <w:tabs>
          <w:tab w:val="left" w:pos="567"/>
        </w:tabs>
        <w:spacing w:line="360" w:lineRule="auto"/>
        <w:ind w:firstLine="482" w:firstLineChars="200"/>
        <w:outlineLvl w:val="0"/>
        <w:rPr>
          <w:rFonts w:asciiTheme="minorEastAsia" w:hAnsiTheme="minorEastAsia"/>
          <w:b/>
          <w:sz w:val="24"/>
          <w:szCs w:val="24"/>
        </w:rPr>
      </w:pPr>
      <w:r>
        <w:rPr>
          <w:rFonts w:asciiTheme="minorEastAsia" w:hAnsiTheme="minorEastAsia"/>
          <w:b/>
          <w:sz w:val="24"/>
          <w:szCs w:val="24"/>
        </w:rPr>
        <w:t>六、根据公司年度报告，报告期末应收账款账面价值为8.59亿元，占营业收入的42.40%，占比较高；期末累计计提的坏账准备为0.41亿元，较期初少计提152万元，其中报告期内仅计提98.40万元，转回或转销250.23万元。</w:t>
      </w:r>
    </w:p>
    <w:p>
      <w:pPr>
        <w:tabs>
          <w:tab w:val="left" w:pos="567"/>
        </w:tabs>
        <w:spacing w:line="360" w:lineRule="auto"/>
        <w:ind w:firstLine="482" w:firstLineChars="200"/>
        <w:rPr>
          <w:rFonts w:asciiTheme="minorEastAsia" w:hAnsiTheme="minorEastAsia"/>
          <w:b/>
          <w:sz w:val="24"/>
          <w:szCs w:val="24"/>
        </w:rPr>
      </w:pPr>
      <w:r>
        <w:rPr>
          <w:rFonts w:asciiTheme="minorEastAsia" w:hAnsiTheme="minorEastAsia"/>
          <w:b/>
          <w:sz w:val="24"/>
          <w:szCs w:val="24"/>
        </w:rPr>
        <w:t>请公司：(</w:t>
      </w:r>
      <w:r>
        <w:rPr>
          <w:rFonts w:hint="eastAsia" w:asciiTheme="minorEastAsia" w:hAnsiTheme="minorEastAsia"/>
          <w:b/>
          <w:sz w:val="24"/>
          <w:szCs w:val="24"/>
        </w:rPr>
        <w:t>一</w:t>
      </w:r>
      <w:r>
        <w:rPr>
          <w:rFonts w:asciiTheme="minorEastAsia" w:hAnsiTheme="minorEastAsia"/>
          <w:b/>
          <w:sz w:val="24"/>
          <w:szCs w:val="24"/>
        </w:rPr>
        <w:t>)以表格列示前五大应收账款的欠款对象、销售产品、金额及占比、账龄、是否为关联方、期后款项回收情况等，结合市场环境、信用政策等说明应收账款占收入比例高的原因和合理性；(</w:t>
      </w:r>
      <w:r>
        <w:rPr>
          <w:rFonts w:hint="eastAsia" w:asciiTheme="minorEastAsia" w:hAnsiTheme="minorEastAsia"/>
          <w:b/>
          <w:sz w:val="24"/>
          <w:szCs w:val="24"/>
        </w:rPr>
        <w:t>二</w:t>
      </w:r>
      <w:r>
        <w:rPr>
          <w:rFonts w:asciiTheme="minorEastAsia" w:hAnsiTheme="minorEastAsia"/>
          <w:b/>
          <w:sz w:val="24"/>
          <w:szCs w:val="24"/>
        </w:rPr>
        <w:t>)披露预期信用损失法下坏账准备计提的测算过程及依据，并结合公司坏账计提政策、同行业可比公司情况等说明本期坏账计提同比减少的原因，相关坏账计提是否充分。请会计师发表意见。</w:t>
      </w:r>
    </w:p>
    <w:p>
      <w:pPr>
        <w:tabs>
          <w:tab w:val="left" w:pos="567"/>
        </w:tabs>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公司回复：</w:t>
      </w: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（一）</w:t>
      </w:r>
      <w:r>
        <w:rPr>
          <w:rFonts w:asciiTheme="minorEastAsia" w:hAnsiTheme="minorEastAsia"/>
          <w:b/>
          <w:sz w:val="24"/>
          <w:szCs w:val="24"/>
        </w:rPr>
        <w:t>以表格列示前五大应收账款的欠款对象、销售产品、金额及占比、账龄、是否为关联方、期后款项回收情况等，结合市场环境、信用政策等说明应收账款占收入比例高的原因和合理性</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贸易</w:t>
      </w:r>
      <w:r>
        <w:rPr>
          <w:rFonts w:asciiTheme="minorEastAsia" w:hAnsiTheme="minorEastAsia"/>
          <w:sz w:val="24"/>
          <w:szCs w:val="24"/>
        </w:rPr>
        <w:t>前五大应收账款具体情况如下：</w:t>
      </w:r>
    </w:p>
    <w:p>
      <w:pPr>
        <w:tabs>
          <w:tab w:val="left" w:pos="567"/>
        </w:tabs>
        <w:spacing w:line="360" w:lineRule="auto"/>
        <w:ind w:firstLine="420" w:firstLineChars="200"/>
        <w:jc w:val="right"/>
        <w:rPr>
          <w:rFonts w:asciiTheme="minorEastAsia" w:hAnsiTheme="minorEastAsia"/>
          <w:szCs w:val="21"/>
        </w:rPr>
      </w:pPr>
      <w:r>
        <w:rPr>
          <w:rFonts w:hint="eastAsia" w:asciiTheme="minorEastAsia" w:hAnsiTheme="minorEastAsia"/>
          <w:szCs w:val="21"/>
        </w:rPr>
        <w:t>单位：万元</w:t>
      </w:r>
    </w:p>
    <w:tbl>
      <w:tblPr>
        <w:tblStyle w:val="8"/>
        <w:tblW w:w="5630" w:type="pct"/>
        <w:jc w:val="center"/>
        <w:tblLayout w:type="fixed"/>
        <w:tblCellMar>
          <w:top w:w="0" w:type="dxa"/>
          <w:left w:w="108" w:type="dxa"/>
          <w:bottom w:w="0" w:type="dxa"/>
          <w:right w:w="108" w:type="dxa"/>
        </w:tblCellMar>
      </w:tblPr>
      <w:tblGrid>
        <w:gridCol w:w="2286"/>
        <w:gridCol w:w="1320"/>
        <w:gridCol w:w="1050"/>
        <w:gridCol w:w="1290"/>
        <w:gridCol w:w="705"/>
        <w:gridCol w:w="1050"/>
        <w:gridCol w:w="1110"/>
        <w:gridCol w:w="785"/>
      </w:tblGrid>
      <w:tr>
        <w:tblPrEx>
          <w:tblCellMar>
            <w:top w:w="0" w:type="dxa"/>
            <w:left w:w="108" w:type="dxa"/>
            <w:bottom w:w="0" w:type="dxa"/>
            <w:right w:w="108" w:type="dxa"/>
          </w:tblCellMar>
        </w:tblPrEx>
        <w:trPr>
          <w:trHeight w:val="390" w:hRule="atLeast"/>
          <w:jc w:val="center"/>
        </w:trPr>
        <w:tc>
          <w:tcPr>
            <w:tcW w:w="1191"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单位名称</w:t>
            </w:r>
          </w:p>
        </w:tc>
        <w:tc>
          <w:tcPr>
            <w:tcW w:w="687"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销售主要产品</w:t>
            </w:r>
          </w:p>
        </w:tc>
        <w:tc>
          <w:tcPr>
            <w:tcW w:w="547"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期末余额</w:t>
            </w:r>
          </w:p>
        </w:tc>
        <w:tc>
          <w:tcPr>
            <w:tcW w:w="672"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占应收账款期末余额合计数比例</w:t>
            </w:r>
          </w:p>
        </w:tc>
        <w:tc>
          <w:tcPr>
            <w:tcW w:w="367"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账龄</w:t>
            </w:r>
          </w:p>
        </w:tc>
        <w:tc>
          <w:tcPr>
            <w:tcW w:w="547"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期后回款金额</w:t>
            </w:r>
          </w:p>
        </w:tc>
        <w:tc>
          <w:tcPr>
            <w:tcW w:w="578"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回款时间</w:t>
            </w:r>
          </w:p>
        </w:tc>
        <w:tc>
          <w:tcPr>
            <w:tcW w:w="409"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是否关联方</w:t>
            </w:r>
          </w:p>
        </w:tc>
      </w:tr>
      <w:tr>
        <w:tblPrEx>
          <w:tblCellMar>
            <w:top w:w="0" w:type="dxa"/>
            <w:left w:w="108" w:type="dxa"/>
            <w:bottom w:w="0" w:type="dxa"/>
            <w:right w:w="108" w:type="dxa"/>
          </w:tblCellMar>
        </w:tblPrEx>
        <w:trPr>
          <w:trHeight w:val="390" w:hRule="atLeast"/>
          <w:jc w:val="center"/>
        </w:trPr>
        <w:tc>
          <w:tcPr>
            <w:tcW w:w="1191" w:type="pct"/>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浙江九玺实业有限公司</w:t>
            </w:r>
          </w:p>
        </w:tc>
        <w:tc>
          <w:tcPr>
            <w:tcW w:w="687"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锌锭</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22,299.21</w:t>
            </w:r>
          </w:p>
        </w:tc>
        <w:tc>
          <w:tcPr>
            <w:tcW w:w="67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24.76%</w:t>
            </w:r>
          </w:p>
        </w:tc>
        <w:tc>
          <w:tcPr>
            <w:tcW w:w="36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90天</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22,299.21</w:t>
            </w:r>
          </w:p>
        </w:tc>
        <w:tc>
          <w:tcPr>
            <w:tcW w:w="578"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2023年3月</w:t>
            </w:r>
          </w:p>
        </w:tc>
        <w:tc>
          <w:tcPr>
            <w:tcW w:w="409"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否</w:t>
            </w:r>
          </w:p>
        </w:tc>
      </w:tr>
      <w:tr>
        <w:tblPrEx>
          <w:tblCellMar>
            <w:top w:w="0" w:type="dxa"/>
            <w:left w:w="108" w:type="dxa"/>
            <w:bottom w:w="0" w:type="dxa"/>
            <w:right w:w="108" w:type="dxa"/>
          </w:tblCellMar>
        </w:tblPrEx>
        <w:trPr>
          <w:trHeight w:val="390" w:hRule="atLeast"/>
          <w:jc w:val="center"/>
        </w:trPr>
        <w:tc>
          <w:tcPr>
            <w:tcW w:w="1191" w:type="pct"/>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浙江优诺德贸易有限公司</w:t>
            </w:r>
          </w:p>
        </w:tc>
        <w:tc>
          <w:tcPr>
            <w:tcW w:w="687"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电解铜</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13,928.35</w:t>
            </w:r>
          </w:p>
        </w:tc>
        <w:tc>
          <w:tcPr>
            <w:tcW w:w="67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15.47%</w:t>
            </w:r>
          </w:p>
        </w:tc>
        <w:tc>
          <w:tcPr>
            <w:tcW w:w="36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90天</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13,928.35</w:t>
            </w:r>
          </w:p>
        </w:tc>
        <w:tc>
          <w:tcPr>
            <w:tcW w:w="578"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2023年3月</w:t>
            </w:r>
          </w:p>
        </w:tc>
        <w:tc>
          <w:tcPr>
            <w:tcW w:w="409"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否</w:t>
            </w:r>
          </w:p>
        </w:tc>
      </w:tr>
      <w:tr>
        <w:tblPrEx>
          <w:tblCellMar>
            <w:top w:w="0" w:type="dxa"/>
            <w:left w:w="108" w:type="dxa"/>
            <w:bottom w:w="0" w:type="dxa"/>
            <w:right w:w="108" w:type="dxa"/>
          </w:tblCellMar>
        </w:tblPrEx>
        <w:trPr>
          <w:trHeight w:val="390" w:hRule="atLeast"/>
          <w:jc w:val="center"/>
        </w:trPr>
        <w:tc>
          <w:tcPr>
            <w:tcW w:w="1191" w:type="pct"/>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湖南华信稀贵科技股份有限公司</w:t>
            </w:r>
          </w:p>
        </w:tc>
        <w:tc>
          <w:tcPr>
            <w:tcW w:w="687"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贵铅</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2,850.89</w:t>
            </w:r>
          </w:p>
        </w:tc>
        <w:tc>
          <w:tcPr>
            <w:tcW w:w="67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3.17%</w:t>
            </w:r>
          </w:p>
        </w:tc>
        <w:tc>
          <w:tcPr>
            <w:tcW w:w="36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90天</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w:t>
            </w:r>
          </w:p>
        </w:tc>
        <w:tc>
          <w:tcPr>
            <w:tcW w:w="578"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p>
        </w:tc>
        <w:tc>
          <w:tcPr>
            <w:tcW w:w="409"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否</w:t>
            </w:r>
          </w:p>
        </w:tc>
      </w:tr>
      <w:tr>
        <w:tblPrEx>
          <w:tblCellMar>
            <w:top w:w="0" w:type="dxa"/>
            <w:left w:w="108" w:type="dxa"/>
            <w:bottom w:w="0" w:type="dxa"/>
            <w:right w:w="108" w:type="dxa"/>
          </w:tblCellMar>
        </w:tblPrEx>
        <w:trPr>
          <w:trHeight w:val="390" w:hRule="atLeast"/>
          <w:jc w:val="center"/>
        </w:trPr>
        <w:tc>
          <w:tcPr>
            <w:tcW w:w="1191" w:type="pct"/>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杭州昕同国际贸易有限公司</w:t>
            </w:r>
          </w:p>
        </w:tc>
        <w:tc>
          <w:tcPr>
            <w:tcW w:w="687"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二甲酸（PTA)</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2,150.88</w:t>
            </w:r>
          </w:p>
        </w:tc>
        <w:tc>
          <w:tcPr>
            <w:tcW w:w="67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2.39%</w:t>
            </w:r>
          </w:p>
        </w:tc>
        <w:tc>
          <w:tcPr>
            <w:tcW w:w="36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90天</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2,150.88</w:t>
            </w:r>
          </w:p>
        </w:tc>
        <w:tc>
          <w:tcPr>
            <w:tcW w:w="578"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asciiTheme="minorEastAsia" w:hAnsiTheme="minorEastAsia"/>
                <w:sz w:val="18"/>
                <w:szCs w:val="18"/>
              </w:rPr>
              <w:t>2023</w:t>
            </w:r>
            <w:r>
              <w:rPr>
                <w:rFonts w:hint="eastAsia" w:asciiTheme="minorEastAsia" w:hAnsiTheme="minorEastAsia"/>
                <w:sz w:val="18"/>
                <w:szCs w:val="18"/>
              </w:rPr>
              <w:t>年</w:t>
            </w:r>
            <w:r>
              <w:rPr>
                <w:rFonts w:asciiTheme="minorEastAsia" w:hAnsiTheme="minorEastAsia"/>
                <w:sz w:val="18"/>
                <w:szCs w:val="18"/>
              </w:rPr>
              <w:t>1</w:t>
            </w:r>
            <w:r>
              <w:rPr>
                <w:rFonts w:hint="eastAsia" w:asciiTheme="minorEastAsia" w:hAnsiTheme="minorEastAsia"/>
                <w:sz w:val="18"/>
                <w:szCs w:val="18"/>
              </w:rPr>
              <w:t>月和3月</w:t>
            </w:r>
          </w:p>
        </w:tc>
        <w:tc>
          <w:tcPr>
            <w:tcW w:w="409"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否</w:t>
            </w:r>
          </w:p>
        </w:tc>
      </w:tr>
      <w:tr>
        <w:tblPrEx>
          <w:tblCellMar>
            <w:top w:w="0" w:type="dxa"/>
            <w:left w:w="108" w:type="dxa"/>
            <w:bottom w:w="0" w:type="dxa"/>
            <w:right w:w="108" w:type="dxa"/>
          </w:tblCellMar>
        </w:tblPrEx>
        <w:trPr>
          <w:trHeight w:val="390" w:hRule="atLeast"/>
          <w:jc w:val="center"/>
        </w:trPr>
        <w:tc>
          <w:tcPr>
            <w:tcW w:w="1191" w:type="pct"/>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浙江协创贸易有限公司</w:t>
            </w:r>
          </w:p>
        </w:tc>
        <w:tc>
          <w:tcPr>
            <w:tcW w:w="687"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二甲酸（PTA)</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874.95</w:t>
            </w:r>
          </w:p>
        </w:tc>
        <w:tc>
          <w:tcPr>
            <w:tcW w:w="67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0.97%</w:t>
            </w:r>
          </w:p>
        </w:tc>
        <w:tc>
          <w:tcPr>
            <w:tcW w:w="36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90天</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874.95</w:t>
            </w:r>
          </w:p>
        </w:tc>
        <w:tc>
          <w:tcPr>
            <w:tcW w:w="578"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2023年3月</w:t>
            </w:r>
          </w:p>
        </w:tc>
        <w:tc>
          <w:tcPr>
            <w:tcW w:w="409"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否</w:t>
            </w:r>
          </w:p>
        </w:tc>
      </w:tr>
      <w:tr>
        <w:tblPrEx>
          <w:tblCellMar>
            <w:top w:w="0" w:type="dxa"/>
            <w:left w:w="108" w:type="dxa"/>
            <w:bottom w:w="0" w:type="dxa"/>
            <w:right w:w="108" w:type="dxa"/>
          </w:tblCellMar>
        </w:tblPrEx>
        <w:trPr>
          <w:trHeight w:val="390" w:hRule="atLeast"/>
          <w:jc w:val="center"/>
        </w:trPr>
        <w:tc>
          <w:tcPr>
            <w:tcW w:w="1191" w:type="pct"/>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合计</w:t>
            </w:r>
          </w:p>
        </w:tc>
        <w:tc>
          <w:tcPr>
            <w:tcW w:w="687"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　</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42,104.27</w:t>
            </w:r>
          </w:p>
        </w:tc>
        <w:tc>
          <w:tcPr>
            <w:tcW w:w="67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46.75%</w:t>
            </w:r>
          </w:p>
        </w:tc>
        <w:tc>
          <w:tcPr>
            <w:tcW w:w="36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　</w:t>
            </w:r>
          </w:p>
        </w:tc>
        <w:tc>
          <w:tcPr>
            <w:tcW w:w="547"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39,253.38</w:t>
            </w:r>
          </w:p>
        </w:tc>
        <w:tc>
          <w:tcPr>
            <w:tcW w:w="578"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p>
        </w:tc>
        <w:tc>
          <w:tcPr>
            <w:tcW w:w="409"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　</w:t>
            </w:r>
          </w:p>
        </w:tc>
      </w:tr>
    </w:tbl>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医药</w:t>
      </w:r>
      <w:r>
        <w:rPr>
          <w:rFonts w:asciiTheme="minorEastAsia" w:hAnsiTheme="minorEastAsia"/>
          <w:sz w:val="24"/>
          <w:szCs w:val="24"/>
        </w:rPr>
        <w:t>前五大应收账款具体情况如下：</w:t>
      </w:r>
    </w:p>
    <w:p>
      <w:pPr>
        <w:tabs>
          <w:tab w:val="left" w:pos="567"/>
        </w:tabs>
        <w:spacing w:line="360" w:lineRule="auto"/>
        <w:ind w:firstLine="420" w:firstLineChars="200"/>
        <w:jc w:val="right"/>
        <w:rPr>
          <w:rFonts w:asciiTheme="minorEastAsia" w:hAnsiTheme="minorEastAsia"/>
          <w:szCs w:val="21"/>
        </w:rPr>
      </w:pPr>
      <w:r>
        <w:rPr>
          <w:rFonts w:hint="eastAsia" w:asciiTheme="minorEastAsia" w:hAnsiTheme="minorEastAsia"/>
          <w:szCs w:val="21"/>
        </w:rPr>
        <w:t>单位：万元</w:t>
      </w:r>
    </w:p>
    <w:tbl>
      <w:tblPr>
        <w:tblStyle w:val="8"/>
        <w:tblW w:w="5655" w:type="pct"/>
        <w:tblInd w:w="-601" w:type="dxa"/>
        <w:tblLayout w:type="fixed"/>
        <w:tblCellMar>
          <w:top w:w="0" w:type="dxa"/>
          <w:left w:w="108" w:type="dxa"/>
          <w:bottom w:w="0" w:type="dxa"/>
          <w:right w:w="108" w:type="dxa"/>
        </w:tblCellMar>
      </w:tblPr>
      <w:tblGrid>
        <w:gridCol w:w="1703"/>
        <w:gridCol w:w="2195"/>
        <w:gridCol w:w="1065"/>
        <w:gridCol w:w="1125"/>
        <w:gridCol w:w="720"/>
        <w:gridCol w:w="1035"/>
        <w:gridCol w:w="987"/>
        <w:gridCol w:w="810"/>
      </w:tblGrid>
      <w:tr>
        <w:tblPrEx>
          <w:tblCellMar>
            <w:top w:w="0" w:type="dxa"/>
            <w:left w:w="108" w:type="dxa"/>
            <w:bottom w:w="0" w:type="dxa"/>
            <w:right w:w="108" w:type="dxa"/>
          </w:tblCellMar>
        </w:tblPrEx>
        <w:trPr>
          <w:trHeight w:val="280" w:hRule="atLeast"/>
        </w:trPr>
        <w:tc>
          <w:tcPr>
            <w:tcW w:w="883" w:type="pct"/>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单位名称</w:t>
            </w:r>
          </w:p>
        </w:tc>
        <w:tc>
          <w:tcPr>
            <w:tcW w:w="1138"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销售主要产品</w:t>
            </w:r>
          </w:p>
        </w:tc>
        <w:tc>
          <w:tcPr>
            <w:tcW w:w="552"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期末余额</w:t>
            </w:r>
          </w:p>
        </w:tc>
        <w:tc>
          <w:tcPr>
            <w:tcW w:w="583"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占应收账款期末余额合计数比例</w:t>
            </w:r>
          </w:p>
        </w:tc>
        <w:tc>
          <w:tcPr>
            <w:tcW w:w="373"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账龄</w:t>
            </w:r>
          </w:p>
        </w:tc>
        <w:tc>
          <w:tcPr>
            <w:tcW w:w="536"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期后回款金额</w:t>
            </w:r>
          </w:p>
        </w:tc>
        <w:tc>
          <w:tcPr>
            <w:tcW w:w="511"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回款时间</w:t>
            </w:r>
          </w:p>
        </w:tc>
        <w:tc>
          <w:tcPr>
            <w:tcW w:w="420" w:type="pct"/>
            <w:tcBorders>
              <w:top w:val="single" w:color="auto" w:sz="4" w:space="0"/>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是否关联方</w:t>
            </w:r>
          </w:p>
        </w:tc>
      </w:tr>
      <w:tr>
        <w:tblPrEx>
          <w:tblCellMar>
            <w:top w:w="0" w:type="dxa"/>
            <w:left w:w="108" w:type="dxa"/>
            <w:bottom w:w="0" w:type="dxa"/>
            <w:right w:w="108" w:type="dxa"/>
          </w:tblCellMar>
        </w:tblPrEx>
        <w:trPr>
          <w:trHeight w:val="280" w:hRule="atLeast"/>
        </w:trPr>
        <w:tc>
          <w:tcPr>
            <w:tcW w:w="883" w:type="pct"/>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sz w:val="18"/>
                <w:szCs w:val="18"/>
              </w:rPr>
            </w:pPr>
            <w:r>
              <w:rPr>
                <w:rFonts w:hint="eastAsia" w:asciiTheme="minorEastAsia" w:hAnsiTheme="minorEastAsia"/>
                <w:sz w:val="18"/>
                <w:szCs w:val="18"/>
              </w:rPr>
              <w:t>苏州大学附属第一医院</w:t>
            </w:r>
          </w:p>
        </w:tc>
        <w:tc>
          <w:tcPr>
            <w:tcW w:w="1138"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医药配送药品、注射用卡络磺钠、注射用奥美拉唑钠、美索巴莫注射液等医药产品</w:t>
            </w:r>
          </w:p>
        </w:tc>
        <w:tc>
          <w:tcPr>
            <w:tcW w:w="55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3,270.82</w:t>
            </w:r>
          </w:p>
        </w:tc>
        <w:tc>
          <w:tcPr>
            <w:tcW w:w="58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asciiTheme="minorEastAsia" w:hAnsiTheme="minorEastAsia"/>
                <w:sz w:val="18"/>
                <w:szCs w:val="18"/>
              </w:rPr>
              <w:t>3.63%</w:t>
            </w:r>
          </w:p>
        </w:tc>
        <w:tc>
          <w:tcPr>
            <w:tcW w:w="37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6个月</w:t>
            </w:r>
          </w:p>
        </w:tc>
        <w:tc>
          <w:tcPr>
            <w:tcW w:w="536"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2,769.30</w:t>
            </w:r>
          </w:p>
        </w:tc>
        <w:tc>
          <w:tcPr>
            <w:tcW w:w="51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023</w:t>
            </w:r>
            <w:r>
              <w:rPr>
                <w:rFonts w:hint="eastAsia" w:asciiTheme="minorEastAsia" w:hAnsiTheme="minorEastAsia"/>
                <w:sz w:val="18"/>
                <w:szCs w:val="18"/>
              </w:rPr>
              <w:t>年1月-</w:t>
            </w:r>
            <w:r>
              <w:rPr>
                <w:rFonts w:asciiTheme="minorEastAsia" w:hAnsiTheme="minorEastAsia"/>
                <w:sz w:val="18"/>
                <w:szCs w:val="18"/>
              </w:rPr>
              <w:t>5</w:t>
            </w:r>
            <w:r>
              <w:rPr>
                <w:rFonts w:hint="eastAsia" w:asciiTheme="minorEastAsia" w:hAnsiTheme="minorEastAsia"/>
                <w:sz w:val="18"/>
                <w:szCs w:val="18"/>
              </w:rPr>
              <w:t>月</w:t>
            </w:r>
          </w:p>
        </w:tc>
        <w:tc>
          <w:tcPr>
            <w:tcW w:w="420"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否</w:t>
            </w:r>
          </w:p>
        </w:tc>
      </w:tr>
      <w:tr>
        <w:tblPrEx>
          <w:tblCellMar>
            <w:top w:w="0" w:type="dxa"/>
            <w:left w:w="108" w:type="dxa"/>
            <w:bottom w:w="0" w:type="dxa"/>
            <w:right w:w="108" w:type="dxa"/>
          </w:tblCellMar>
        </w:tblPrEx>
        <w:trPr>
          <w:trHeight w:val="280" w:hRule="atLeast"/>
        </w:trPr>
        <w:tc>
          <w:tcPr>
            <w:tcW w:w="883" w:type="pct"/>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sz w:val="18"/>
                <w:szCs w:val="18"/>
              </w:rPr>
            </w:pPr>
            <w:r>
              <w:rPr>
                <w:rFonts w:hint="eastAsia" w:asciiTheme="minorEastAsia" w:hAnsiTheme="minorEastAsia"/>
                <w:sz w:val="18"/>
                <w:szCs w:val="18"/>
              </w:rPr>
              <w:t>博瑞生物医药泰兴市有限公司</w:t>
            </w:r>
          </w:p>
        </w:tc>
        <w:tc>
          <w:tcPr>
            <w:tcW w:w="1138"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医药中间体等</w:t>
            </w:r>
          </w:p>
        </w:tc>
        <w:tc>
          <w:tcPr>
            <w:tcW w:w="55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2,701.72</w:t>
            </w:r>
          </w:p>
        </w:tc>
        <w:tc>
          <w:tcPr>
            <w:tcW w:w="58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asciiTheme="minorEastAsia" w:hAnsiTheme="minorEastAsia"/>
                <w:sz w:val="18"/>
                <w:szCs w:val="18"/>
              </w:rPr>
              <w:t>3.00%</w:t>
            </w:r>
          </w:p>
        </w:tc>
        <w:tc>
          <w:tcPr>
            <w:tcW w:w="37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90天</w:t>
            </w:r>
          </w:p>
        </w:tc>
        <w:tc>
          <w:tcPr>
            <w:tcW w:w="536"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2,701.72</w:t>
            </w:r>
          </w:p>
        </w:tc>
        <w:tc>
          <w:tcPr>
            <w:tcW w:w="51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023</w:t>
            </w:r>
            <w:r>
              <w:rPr>
                <w:rFonts w:hint="eastAsia" w:asciiTheme="minorEastAsia" w:hAnsiTheme="minorEastAsia"/>
                <w:sz w:val="18"/>
                <w:szCs w:val="18"/>
              </w:rPr>
              <w:t>年1月-</w:t>
            </w:r>
            <w:r>
              <w:rPr>
                <w:rFonts w:asciiTheme="minorEastAsia" w:hAnsiTheme="minorEastAsia"/>
                <w:sz w:val="18"/>
                <w:szCs w:val="18"/>
              </w:rPr>
              <w:t>3</w:t>
            </w:r>
            <w:r>
              <w:rPr>
                <w:rFonts w:hint="eastAsia" w:asciiTheme="minorEastAsia" w:hAnsiTheme="minorEastAsia"/>
                <w:sz w:val="18"/>
                <w:szCs w:val="18"/>
              </w:rPr>
              <w:t>月</w:t>
            </w:r>
          </w:p>
        </w:tc>
        <w:tc>
          <w:tcPr>
            <w:tcW w:w="420"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否</w:t>
            </w:r>
          </w:p>
        </w:tc>
      </w:tr>
      <w:tr>
        <w:tblPrEx>
          <w:tblCellMar>
            <w:top w:w="0" w:type="dxa"/>
            <w:left w:w="108" w:type="dxa"/>
            <w:bottom w:w="0" w:type="dxa"/>
            <w:right w:w="108" w:type="dxa"/>
          </w:tblCellMar>
        </w:tblPrEx>
        <w:trPr>
          <w:trHeight w:val="280" w:hRule="atLeast"/>
        </w:trPr>
        <w:tc>
          <w:tcPr>
            <w:tcW w:w="883" w:type="pct"/>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sz w:val="18"/>
                <w:szCs w:val="18"/>
              </w:rPr>
            </w:pPr>
            <w:r>
              <w:rPr>
                <w:rFonts w:hint="eastAsia" w:asciiTheme="minorEastAsia" w:hAnsiTheme="minorEastAsia"/>
                <w:sz w:val="18"/>
                <w:szCs w:val="18"/>
              </w:rPr>
              <w:t>苏州大学附属儿童医院</w:t>
            </w:r>
          </w:p>
        </w:tc>
        <w:tc>
          <w:tcPr>
            <w:tcW w:w="1138"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医药配送药品、匹多莫德口服溶液、注射用卡络磺钠等药品</w:t>
            </w:r>
          </w:p>
        </w:tc>
        <w:tc>
          <w:tcPr>
            <w:tcW w:w="55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2,627.23</w:t>
            </w:r>
          </w:p>
        </w:tc>
        <w:tc>
          <w:tcPr>
            <w:tcW w:w="58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asciiTheme="minorEastAsia" w:hAnsiTheme="minorEastAsia"/>
                <w:sz w:val="18"/>
                <w:szCs w:val="18"/>
              </w:rPr>
              <w:t>2.92%</w:t>
            </w:r>
          </w:p>
        </w:tc>
        <w:tc>
          <w:tcPr>
            <w:tcW w:w="37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7个月</w:t>
            </w:r>
          </w:p>
        </w:tc>
        <w:tc>
          <w:tcPr>
            <w:tcW w:w="536"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1,102.55</w:t>
            </w:r>
          </w:p>
        </w:tc>
        <w:tc>
          <w:tcPr>
            <w:tcW w:w="51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023</w:t>
            </w:r>
            <w:r>
              <w:rPr>
                <w:rFonts w:hint="eastAsia" w:asciiTheme="minorEastAsia" w:hAnsiTheme="minorEastAsia"/>
                <w:sz w:val="18"/>
                <w:szCs w:val="18"/>
              </w:rPr>
              <w:t>年1月-</w:t>
            </w:r>
            <w:r>
              <w:rPr>
                <w:rFonts w:asciiTheme="minorEastAsia" w:hAnsiTheme="minorEastAsia"/>
                <w:sz w:val="18"/>
                <w:szCs w:val="18"/>
              </w:rPr>
              <w:t>5</w:t>
            </w:r>
            <w:r>
              <w:rPr>
                <w:rFonts w:hint="eastAsia" w:asciiTheme="minorEastAsia" w:hAnsiTheme="minorEastAsia"/>
                <w:sz w:val="18"/>
                <w:szCs w:val="18"/>
              </w:rPr>
              <w:t>月</w:t>
            </w:r>
          </w:p>
        </w:tc>
        <w:tc>
          <w:tcPr>
            <w:tcW w:w="420"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否</w:t>
            </w:r>
          </w:p>
        </w:tc>
      </w:tr>
      <w:tr>
        <w:tblPrEx>
          <w:tblCellMar>
            <w:top w:w="0" w:type="dxa"/>
            <w:left w:w="108" w:type="dxa"/>
            <w:bottom w:w="0" w:type="dxa"/>
            <w:right w:w="108" w:type="dxa"/>
          </w:tblCellMar>
        </w:tblPrEx>
        <w:trPr>
          <w:trHeight w:val="520" w:hRule="atLeast"/>
        </w:trPr>
        <w:tc>
          <w:tcPr>
            <w:tcW w:w="883" w:type="pct"/>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sz w:val="18"/>
                <w:szCs w:val="18"/>
              </w:rPr>
            </w:pPr>
            <w:r>
              <w:rPr>
                <w:rFonts w:hint="eastAsia" w:asciiTheme="minorEastAsia" w:hAnsiTheme="minorEastAsia"/>
                <w:sz w:val="18"/>
                <w:szCs w:val="18"/>
              </w:rPr>
              <w:t>核工业总医院（苏州大学附属第二医院）</w:t>
            </w:r>
          </w:p>
        </w:tc>
        <w:tc>
          <w:tcPr>
            <w:tcW w:w="1138"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医药配送药品、美索巴莫注射液、重组人粒细胞刺激因子注射液等药品</w:t>
            </w:r>
          </w:p>
        </w:tc>
        <w:tc>
          <w:tcPr>
            <w:tcW w:w="55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2,568.68</w:t>
            </w:r>
          </w:p>
        </w:tc>
        <w:tc>
          <w:tcPr>
            <w:tcW w:w="58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asciiTheme="minorEastAsia" w:hAnsiTheme="minorEastAsia"/>
                <w:sz w:val="18"/>
                <w:szCs w:val="18"/>
              </w:rPr>
              <w:t>2.85%</w:t>
            </w:r>
          </w:p>
        </w:tc>
        <w:tc>
          <w:tcPr>
            <w:tcW w:w="37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7个月</w:t>
            </w:r>
          </w:p>
        </w:tc>
        <w:tc>
          <w:tcPr>
            <w:tcW w:w="536"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2,033.83</w:t>
            </w:r>
          </w:p>
        </w:tc>
        <w:tc>
          <w:tcPr>
            <w:tcW w:w="51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023</w:t>
            </w:r>
            <w:r>
              <w:rPr>
                <w:rFonts w:hint="eastAsia" w:asciiTheme="minorEastAsia" w:hAnsiTheme="minorEastAsia"/>
                <w:sz w:val="18"/>
                <w:szCs w:val="18"/>
              </w:rPr>
              <w:t>年1月-</w:t>
            </w:r>
            <w:r>
              <w:rPr>
                <w:rFonts w:asciiTheme="minorEastAsia" w:hAnsiTheme="minorEastAsia"/>
                <w:sz w:val="18"/>
                <w:szCs w:val="18"/>
              </w:rPr>
              <w:t>5</w:t>
            </w:r>
            <w:r>
              <w:rPr>
                <w:rFonts w:hint="eastAsia" w:asciiTheme="minorEastAsia" w:hAnsiTheme="minorEastAsia"/>
                <w:sz w:val="18"/>
                <w:szCs w:val="18"/>
              </w:rPr>
              <w:t>月</w:t>
            </w:r>
          </w:p>
        </w:tc>
        <w:tc>
          <w:tcPr>
            <w:tcW w:w="420"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否</w:t>
            </w:r>
          </w:p>
        </w:tc>
      </w:tr>
      <w:tr>
        <w:tblPrEx>
          <w:tblCellMar>
            <w:top w:w="0" w:type="dxa"/>
            <w:left w:w="108" w:type="dxa"/>
            <w:bottom w:w="0" w:type="dxa"/>
            <w:right w:w="108" w:type="dxa"/>
          </w:tblCellMar>
        </w:tblPrEx>
        <w:trPr>
          <w:trHeight w:val="280" w:hRule="atLeast"/>
        </w:trPr>
        <w:tc>
          <w:tcPr>
            <w:tcW w:w="883" w:type="pct"/>
            <w:tcBorders>
              <w:top w:val="nil"/>
              <w:left w:val="single" w:color="auto" w:sz="4" w:space="0"/>
              <w:bottom w:val="single" w:color="auto" w:sz="4" w:space="0"/>
              <w:right w:val="single" w:color="auto" w:sz="4" w:space="0"/>
            </w:tcBorders>
            <w:shd w:val="clear" w:color="auto" w:fill="auto"/>
            <w:vAlign w:val="center"/>
          </w:tcPr>
          <w:p>
            <w:pPr>
              <w:rPr>
                <w:rFonts w:asciiTheme="minorEastAsia" w:hAnsiTheme="minorEastAsia"/>
                <w:sz w:val="18"/>
                <w:szCs w:val="18"/>
              </w:rPr>
            </w:pPr>
            <w:r>
              <w:rPr>
                <w:rFonts w:hint="eastAsia" w:asciiTheme="minorEastAsia" w:hAnsiTheme="minorEastAsia"/>
                <w:sz w:val="18"/>
                <w:szCs w:val="18"/>
              </w:rPr>
              <w:t>江苏苏博康医药有限公司</w:t>
            </w:r>
          </w:p>
        </w:tc>
        <w:tc>
          <w:tcPr>
            <w:tcW w:w="1138"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配送业务</w:t>
            </w:r>
          </w:p>
        </w:tc>
        <w:tc>
          <w:tcPr>
            <w:tcW w:w="55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1,975.12</w:t>
            </w:r>
          </w:p>
        </w:tc>
        <w:tc>
          <w:tcPr>
            <w:tcW w:w="58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asciiTheme="minorEastAsia" w:hAnsiTheme="minorEastAsia"/>
                <w:sz w:val="18"/>
                <w:szCs w:val="18"/>
              </w:rPr>
              <w:t>2.19%</w:t>
            </w:r>
          </w:p>
        </w:tc>
        <w:tc>
          <w:tcPr>
            <w:tcW w:w="37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asciiTheme="minorEastAsia" w:hAnsiTheme="minorEastAsia"/>
                <w:sz w:val="18"/>
                <w:szCs w:val="18"/>
              </w:rPr>
              <w:t>90</w:t>
            </w:r>
            <w:r>
              <w:rPr>
                <w:rFonts w:hint="eastAsia" w:asciiTheme="minorEastAsia" w:hAnsiTheme="minorEastAsia"/>
                <w:sz w:val="18"/>
                <w:szCs w:val="18"/>
              </w:rPr>
              <w:t>天</w:t>
            </w:r>
          </w:p>
        </w:tc>
        <w:tc>
          <w:tcPr>
            <w:tcW w:w="536"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1,975.12</w:t>
            </w:r>
          </w:p>
        </w:tc>
        <w:tc>
          <w:tcPr>
            <w:tcW w:w="51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2</w:t>
            </w:r>
            <w:r>
              <w:rPr>
                <w:rFonts w:asciiTheme="minorEastAsia" w:hAnsiTheme="minorEastAsia"/>
                <w:sz w:val="18"/>
                <w:szCs w:val="18"/>
              </w:rPr>
              <w:t>023</w:t>
            </w:r>
            <w:r>
              <w:rPr>
                <w:rFonts w:hint="eastAsia" w:asciiTheme="minorEastAsia" w:hAnsiTheme="minorEastAsia"/>
                <w:sz w:val="18"/>
                <w:szCs w:val="18"/>
              </w:rPr>
              <w:t>年1月-</w:t>
            </w:r>
            <w:r>
              <w:rPr>
                <w:rFonts w:asciiTheme="minorEastAsia" w:hAnsiTheme="minorEastAsia"/>
                <w:sz w:val="18"/>
                <w:szCs w:val="18"/>
              </w:rPr>
              <w:t>2</w:t>
            </w:r>
            <w:r>
              <w:rPr>
                <w:rFonts w:hint="eastAsia" w:asciiTheme="minorEastAsia" w:hAnsiTheme="minorEastAsia"/>
                <w:sz w:val="18"/>
                <w:szCs w:val="18"/>
              </w:rPr>
              <w:t>月</w:t>
            </w:r>
          </w:p>
        </w:tc>
        <w:tc>
          <w:tcPr>
            <w:tcW w:w="420"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r>
              <w:rPr>
                <w:rFonts w:hint="eastAsia" w:asciiTheme="minorEastAsia" w:hAnsiTheme="minorEastAsia"/>
                <w:sz w:val="18"/>
                <w:szCs w:val="18"/>
              </w:rPr>
              <w:t>否</w:t>
            </w:r>
          </w:p>
        </w:tc>
      </w:tr>
      <w:tr>
        <w:tblPrEx>
          <w:tblCellMar>
            <w:top w:w="0" w:type="dxa"/>
            <w:left w:w="108" w:type="dxa"/>
            <w:bottom w:w="0" w:type="dxa"/>
            <w:right w:w="108" w:type="dxa"/>
          </w:tblCellMar>
        </w:tblPrEx>
        <w:trPr>
          <w:trHeight w:val="280" w:hRule="atLeast"/>
        </w:trPr>
        <w:tc>
          <w:tcPr>
            <w:tcW w:w="883" w:type="pct"/>
            <w:tcBorders>
              <w:top w:val="nil"/>
              <w:left w:val="single" w:color="auto" w:sz="4" w:space="0"/>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 xml:space="preserve"> 合计 </w:t>
            </w:r>
          </w:p>
        </w:tc>
        <w:tc>
          <w:tcPr>
            <w:tcW w:w="1138" w:type="pct"/>
            <w:tcBorders>
              <w:top w:val="nil"/>
              <w:left w:val="nil"/>
              <w:bottom w:val="single" w:color="auto" w:sz="4" w:space="0"/>
              <w:right w:val="single" w:color="auto" w:sz="4" w:space="0"/>
            </w:tcBorders>
            <w:shd w:val="clear" w:color="auto" w:fill="auto"/>
            <w:noWrap/>
            <w:vAlign w:val="center"/>
          </w:tcPr>
          <w:p>
            <w:pPr>
              <w:rPr>
                <w:rFonts w:asciiTheme="minorEastAsia" w:hAnsiTheme="minorEastAsia"/>
                <w:sz w:val="18"/>
                <w:szCs w:val="18"/>
              </w:rPr>
            </w:pPr>
            <w:r>
              <w:rPr>
                <w:rFonts w:hint="eastAsia" w:asciiTheme="minorEastAsia" w:hAnsiTheme="minorEastAsia"/>
                <w:sz w:val="18"/>
                <w:szCs w:val="18"/>
              </w:rPr>
              <w:t>　</w:t>
            </w:r>
          </w:p>
        </w:tc>
        <w:tc>
          <w:tcPr>
            <w:tcW w:w="552"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13,143.56</w:t>
            </w:r>
          </w:p>
        </w:tc>
        <w:tc>
          <w:tcPr>
            <w:tcW w:w="58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asciiTheme="minorEastAsia" w:hAnsiTheme="minorEastAsia"/>
                <w:sz w:val="18"/>
                <w:szCs w:val="18"/>
              </w:rPr>
              <w:t>14.59%</w:t>
            </w:r>
          </w:p>
        </w:tc>
        <w:tc>
          <w:tcPr>
            <w:tcW w:w="373"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p>
        </w:tc>
        <w:tc>
          <w:tcPr>
            <w:tcW w:w="536" w:type="pct"/>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sz w:val="18"/>
                <w:szCs w:val="18"/>
              </w:rPr>
            </w:pPr>
            <w:r>
              <w:rPr>
                <w:rFonts w:hint="eastAsia" w:asciiTheme="minorEastAsia" w:hAnsiTheme="minorEastAsia"/>
                <w:sz w:val="18"/>
                <w:szCs w:val="18"/>
              </w:rPr>
              <w:t>10,582.52</w:t>
            </w:r>
          </w:p>
        </w:tc>
        <w:tc>
          <w:tcPr>
            <w:tcW w:w="511"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p>
        </w:tc>
        <w:tc>
          <w:tcPr>
            <w:tcW w:w="420" w:type="pct"/>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sz w:val="18"/>
                <w:szCs w:val="18"/>
              </w:rPr>
            </w:pPr>
          </w:p>
        </w:tc>
      </w:tr>
    </w:tbl>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2022年度由于受市场环境影响，</w:t>
      </w:r>
      <w:r>
        <w:rPr>
          <w:rFonts w:hint="eastAsia" w:asciiTheme="minorEastAsia" w:hAnsiTheme="minorEastAsia"/>
          <w:sz w:val="24"/>
          <w:szCs w:val="24"/>
        </w:rPr>
        <w:t>医院门诊量减少，医院周转资金缓慢，导致</w:t>
      </w:r>
      <w:r>
        <w:rPr>
          <w:rFonts w:asciiTheme="minorEastAsia" w:hAnsiTheme="minorEastAsia"/>
          <w:sz w:val="24"/>
          <w:szCs w:val="24"/>
        </w:rPr>
        <w:t>医药销售的医院类客户普遍回款困难，</w:t>
      </w:r>
      <w:r>
        <w:rPr>
          <w:rFonts w:hint="eastAsia" w:asciiTheme="minorEastAsia" w:hAnsiTheme="minorEastAsia"/>
          <w:sz w:val="24"/>
          <w:szCs w:val="24"/>
        </w:rPr>
        <w:t>回款周期</w:t>
      </w:r>
      <w:r>
        <w:rPr>
          <w:rFonts w:asciiTheme="minorEastAsia" w:hAnsiTheme="minorEastAsia"/>
          <w:sz w:val="24"/>
          <w:szCs w:val="24"/>
        </w:rPr>
        <w:t>较长，另外公司2022年销售额</w:t>
      </w:r>
      <w:r>
        <w:rPr>
          <w:rFonts w:hint="eastAsia" w:asciiTheme="minorEastAsia" w:hAnsiTheme="minorEastAsia"/>
          <w:sz w:val="24"/>
          <w:szCs w:val="24"/>
        </w:rPr>
        <w:t>有所</w:t>
      </w:r>
      <w:r>
        <w:rPr>
          <w:rFonts w:asciiTheme="minorEastAsia" w:hAnsiTheme="minorEastAsia"/>
          <w:sz w:val="24"/>
          <w:szCs w:val="24"/>
        </w:rPr>
        <w:t>增长，导致期末应收账款金额</w:t>
      </w:r>
      <w:r>
        <w:rPr>
          <w:rFonts w:hint="eastAsia" w:asciiTheme="minorEastAsia" w:hAnsiTheme="minorEastAsia"/>
          <w:sz w:val="24"/>
          <w:szCs w:val="24"/>
        </w:rPr>
        <w:t>相应增加</w:t>
      </w:r>
      <w:r>
        <w:rPr>
          <w:rFonts w:asciiTheme="minorEastAsia" w:hAnsiTheme="minorEastAsia"/>
          <w:sz w:val="24"/>
          <w:szCs w:val="24"/>
        </w:rPr>
        <w:t>，</w:t>
      </w:r>
      <w:r>
        <w:rPr>
          <w:rFonts w:hint="eastAsia" w:asciiTheme="minorEastAsia" w:hAnsiTheme="minorEastAsia"/>
          <w:sz w:val="24"/>
          <w:szCs w:val="24"/>
        </w:rPr>
        <w:t>新增应收账款余额</w:t>
      </w:r>
      <w:r>
        <w:rPr>
          <w:rFonts w:asciiTheme="minorEastAsia" w:hAnsiTheme="minorEastAsia"/>
          <w:sz w:val="24"/>
          <w:szCs w:val="24"/>
        </w:rPr>
        <w:t>均在信用期内，期后信用期内均已回款。</w:t>
      </w:r>
      <w:r>
        <w:rPr>
          <w:rFonts w:hint="eastAsia" w:asciiTheme="minorEastAsia" w:hAnsiTheme="minorEastAsia"/>
          <w:sz w:val="24"/>
          <w:szCs w:val="24"/>
        </w:rPr>
        <w:t>2</w:t>
      </w:r>
      <w:r>
        <w:rPr>
          <w:rFonts w:asciiTheme="minorEastAsia" w:hAnsiTheme="minorEastAsia"/>
          <w:sz w:val="24"/>
          <w:szCs w:val="24"/>
        </w:rPr>
        <w:t>022</w:t>
      </w:r>
      <w:r>
        <w:rPr>
          <w:rFonts w:hint="eastAsia" w:asciiTheme="minorEastAsia" w:hAnsiTheme="minorEastAsia"/>
          <w:sz w:val="24"/>
          <w:szCs w:val="24"/>
        </w:rPr>
        <w:t>年末应收账款占营业收入比例较高具有商业合理性。</w:t>
      </w:r>
    </w:p>
    <w:p>
      <w:pPr>
        <w:tabs>
          <w:tab w:val="left" w:pos="567"/>
        </w:tabs>
        <w:spacing w:line="360" w:lineRule="auto"/>
        <w:ind w:left="424" w:leftChars="202" w:firstLine="480" w:firstLineChars="200"/>
        <w:rPr>
          <w:rFonts w:asciiTheme="minorEastAsia" w:hAnsiTheme="minorEastAsia"/>
          <w:sz w:val="24"/>
          <w:szCs w:val="24"/>
        </w:rPr>
      </w:pP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（二）披露预期信用损失法下坏账准备计提的测算过程及依据，并结合公司坏账计提政策、同行业可比公司情况等说明本期坏账计提同比减少的原因，相关坏账计提是否充分</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公司信用政策</w:t>
      </w:r>
      <w:r>
        <w:rPr>
          <w:rFonts w:hint="eastAsia" w:asciiTheme="minorEastAsia" w:hAnsiTheme="minorEastAsia"/>
          <w:sz w:val="24"/>
          <w:szCs w:val="24"/>
        </w:rPr>
        <w:t>情况</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公司对医药业务</w:t>
      </w:r>
      <w:r>
        <w:rPr>
          <w:rFonts w:hint="eastAsia" w:asciiTheme="minorEastAsia" w:hAnsiTheme="minorEastAsia"/>
          <w:sz w:val="24"/>
          <w:szCs w:val="24"/>
        </w:rPr>
        <w:t>按与客户签订的回款期限作为信用期</w:t>
      </w:r>
      <w:r>
        <w:rPr>
          <w:rFonts w:asciiTheme="minorEastAsia" w:hAnsiTheme="minorEastAsia"/>
          <w:sz w:val="24"/>
          <w:szCs w:val="24"/>
        </w:rPr>
        <w:t>，其他业务在账务核算上不单独区分信用期，95%以上的应收账款均能在1年内回款；对逾期3年以上的款项一般全额计提损失。</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预期信用损失模型</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对于由《企业会计准则第14号——收入》规范的交易形成的不含重大融资成分的应收款项，企业运用简化计量方法，不考虑信用风险是否显著增加而划分所处阶段，直接按照相当于整个存续期内的预期信用损失金额计量损失准备。</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预期信用损失是以违约概率为权重的、金融工具现金流缺口(即合同现金流量与预期收到的现金流量之间的差额)的现值的加权平均值。新金融工具准则并未规定统一的预期信用损失计提方法，公司根据自身的业务特点和经验数据设计合适的预期信用损失计量模型，设计模型时充分考虑下列要素：无偏概率加权平均金额、货币时间价值和能够以合理成本即可获取的、合理且有依据的关于过去事项、当前状况以及未来经济状况预测的信息。</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使用逾期账龄与违约损失率对照表确定该应收账款组合的预期信用损失。对照表以应收账款各逾期账龄的历史违约损失率为基础，并根据前瞻性估计予以调整。根据对历史数据的分析，公司应收账款损失率并无明显周期性特征，除非经济形势发生较大动荡，公司的回款情况均保持稳定。</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公司预计近期内国内经济形势仍保持稳定，公司的销售及回款政策也未发生重大变化，用迁徙率模型计算历史损失率，并将历史损失率加前瞻性调整后作为本期末的预期信用损失率。</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因本公司下属各子公司为独立核算主体，具有各自不同的信用风险特征，采用相同的模型不同的应收账款数据，计算出各自的预期信用损失率。现以本公司最大子公司江苏吴中医药集团有限公司为例，列示具体计算过程如下：</w:t>
      </w:r>
    </w:p>
    <w:p>
      <w:pPr>
        <w:tabs>
          <w:tab w:val="left" w:pos="567"/>
        </w:tabs>
        <w:spacing w:line="360" w:lineRule="auto"/>
        <w:ind w:left="424" w:leftChars="202"/>
        <w:rPr>
          <w:rFonts w:asciiTheme="minorEastAsia" w:hAnsiTheme="minorEastAsia"/>
          <w:sz w:val="24"/>
          <w:szCs w:val="24"/>
        </w:rPr>
      </w:pPr>
      <w:r>
        <w:rPr>
          <w:rFonts w:asciiTheme="minorEastAsia" w:hAnsiTheme="minorEastAsia"/>
          <w:sz w:val="24"/>
          <w:szCs w:val="24"/>
        </w:rPr>
        <w:t>（1）近5年各年末的逾期账龄分布情况如下：</w:t>
      </w:r>
      <w:r>
        <w:rPr>
          <w:rFonts w:asciiTheme="minorEastAsia" w:hAnsiTheme="minorEastAsia"/>
          <w:sz w:val="24"/>
          <w:szCs w:val="24"/>
        </w:rPr>
        <w:tab/>
      </w:r>
    </w:p>
    <w:p>
      <w:pPr>
        <w:tabs>
          <w:tab w:val="left" w:pos="567"/>
        </w:tabs>
        <w:spacing w:line="360" w:lineRule="auto"/>
        <w:ind w:left="424" w:leftChars="202"/>
        <w:jc w:val="right"/>
        <w:rPr>
          <w:rFonts w:asciiTheme="minorEastAsia" w:hAnsiTheme="minorEastAsia"/>
          <w:sz w:val="24"/>
          <w:szCs w:val="24"/>
        </w:rPr>
      </w:pPr>
      <w:r>
        <w:rPr>
          <w:rFonts w:asciiTheme="minorEastAsia" w:hAnsiTheme="minorEastAsia"/>
          <w:sz w:val="24"/>
          <w:szCs w:val="24"/>
        </w:rPr>
        <w:t>单位：元</w:t>
      </w:r>
    </w:p>
    <w:tbl>
      <w:tblPr>
        <w:tblStyle w:val="8"/>
        <w:tblW w:w="847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1386"/>
        <w:gridCol w:w="1611"/>
        <w:gridCol w:w="1476"/>
        <w:gridCol w:w="1414"/>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109"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应收账款账龄</w:t>
            </w:r>
          </w:p>
        </w:tc>
        <w:tc>
          <w:tcPr>
            <w:tcW w:w="1386"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2018年</w:t>
            </w:r>
          </w:p>
        </w:tc>
        <w:tc>
          <w:tcPr>
            <w:tcW w:w="1611"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2019年</w:t>
            </w:r>
          </w:p>
        </w:tc>
        <w:tc>
          <w:tcPr>
            <w:tcW w:w="1476"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2020年</w:t>
            </w:r>
          </w:p>
        </w:tc>
        <w:tc>
          <w:tcPr>
            <w:tcW w:w="1414"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2021年</w:t>
            </w:r>
          </w:p>
        </w:tc>
        <w:tc>
          <w:tcPr>
            <w:tcW w:w="1476"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2022年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09"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1年以内</w:t>
            </w:r>
          </w:p>
        </w:tc>
        <w:tc>
          <w:tcPr>
            <w:tcW w:w="138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66,982,846.42</w:t>
            </w:r>
          </w:p>
        </w:tc>
        <w:tc>
          <w:tcPr>
            <w:tcW w:w="1611"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93,884,216.25</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102,953,138.12</w:t>
            </w:r>
          </w:p>
        </w:tc>
        <w:tc>
          <w:tcPr>
            <w:tcW w:w="1414"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71,983,994.92</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124,573,925.56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trPr>
        <w:tc>
          <w:tcPr>
            <w:tcW w:w="1109"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其中：信用期以内</w:t>
            </w:r>
          </w:p>
        </w:tc>
        <w:tc>
          <w:tcPr>
            <w:tcW w:w="138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41,260,711.16</w:t>
            </w:r>
          </w:p>
        </w:tc>
        <w:tc>
          <w:tcPr>
            <w:tcW w:w="1611"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62,304,339.94</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81,855,803.91</w:t>
            </w:r>
          </w:p>
        </w:tc>
        <w:tc>
          <w:tcPr>
            <w:tcW w:w="1414"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49,921,674.62</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92,114,405.89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1109"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信用期外至1年</w:t>
            </w:r>
          </w:p>
        </w:tc>
        <w:tc>
          <w:tcPr>
            <w:tcW w:w="138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25,722,135.26</w:t>
            </w:r>
          </w:p>
        </w:tc>
        <w:tc>
          <w:tcPr>
            <w:tcW w:w="1611"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31,579,876.31</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21,097,334.21</w:t>
            </w:r>
          </w:p>
        </w:tc>
        <w:tc>
          <w:tcPr>
            <w:tcW w:w="1414"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22,062,320.30</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32,459,519.67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09"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1-2年</w:t>
            </w:r>
          </w:p>
        </w:tc>
        <w:tc>
          <w:tcPr>
            <w:tcW w:w="138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5,820.00</w:t>
            </w:r>
          </w:p>
        </w:tc>
        <w:tc>
          <w:tcPr>
            <w:tcW w:w="1611"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2,425,088.21</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3,989,065.36</w:t>
            </w:r>
          </w:p>
        </w:tc>
        <w:tc>
          <w:tcPr>
            <w:tcW w:w="1414"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2,464,298.23</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3,382,632.99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09"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2-3年</w:t>
            </w:r>
          </w:p>
        </w:tc>
        <w:tc>
          <w:tcPr>
            <w:tcW w:w="138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6,065.00</w:t>
            </w:r>
          </w:p>
        </w:tc>
        <w:tc>
          <w:tcPr>
            <w:tcW w:w="1611"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5,820.00</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436,324.11</w:t>
            </w:r>
          </w:p>
        </w:tc>
        <w:tc>
          <w:tcPr>
            <w:tcW w:w="1414"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1,117,471.19</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1,004,172.10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09"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3-4年</w:t>
            </w:r>
          </w:p>
        </w:tc>
        <w:tc>
          <w:tcPr>
            <w:tcW w:w="138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1611"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6,065.00</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1414"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340,036.05</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1,047,686.53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09"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4-5年</w:t>
            </w:r>
          </w:p>
        </w:tc>
        <w:tc>
          <w:tcPr>
            <w:tcW w:w="138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1611"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1414"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339,812.26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09"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5年以上</w:t>
            </w:r>
          </w:p>
        </w:tc>
        <w:tc>
          <w:tcPr>
            <w:tcW w:w="138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126,550.00</w:t>
            </w:r>
          </w:p>
        </w:tc>
        <w:tc>
          <w:tcPr>
            <w:tcW w:w="1611"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126,550.00</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1414"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1109"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合计</w:t>
            </w:r>
          </w:p>
        </w:tc>
        <w:tc>
          <w:tcPr>
            <w:tcW w:w="138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67,121,281.42</w:t>
            </w:r>
          </w:p>
        </w:tc>
        <w:tc>
          <w:tcPr>
            <w:tcW w:w="1611"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96,447,739.46</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107,378,527.59</w:t>
            </w:r>
          </w:p>
        </w:tc>
        <w:tc>
          <w:tcPr>
            <w:tcW w:w="1414"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75,905,800.39</w:t>
            </w:r>
          </w:p>
        </w:tc>
        <w:tc>
          <w:tcPr>
            <w:tcW w:w="1476"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130,348,229.44</w:t>
            </w:r>
          </w:p>
        </w:tc>
      </w:tr>
    </w:tbl>
    <w:p>
      <w:pPr>
        <w:tabs>
          <w:tab w:val="left" w:pos="567"/>
        </w:tabs>
        <w:spacing w:line="360" w:lineRule="auto"/>
        <w:ind w:left="424" w:leftChars="202"/>
        <w:rPr>
          <w:rFonts w:asciiTheme="minorEastAsia" w:hAnsiTheme="minorEastAsia"/>
          <w:sz w:val="24"/>
          <w:szCs w:val="24"/>
        </w:rPr>
      </w:pPr>
      <w:r>
        <w:rPr>
          <w:rFonts w:asciiTheme="minorEastAsia" w:hAnsiTheme="minorEastAsia"/>
          <w:sz w:val="24"/>
          <w:szCs w:val="24"/>
        </w:rPr>
        <w:t>（2）计算各账龄段的平均迁徙率如下：</w:t>
      </w:r>
    </w:p>
    <w:tbl>
      <w:tblPr>
        <w:tblStyle w:val="8"/>
        <w:tblW w:w="8489"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1404"/>
        <w:gridCol w:w="1660"/>
        <w:gridCol w:w="1420"/>
        <w:gridCol w:w="1420"/>
        <w:gridCol w:w="1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25"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应收账款账龄</w:t>
            </w:r>
          </w:p>
        </w:tc>
        <w:tc>
          <w:tcPr>
            <w:tcW w:w="1404"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注释</w:t>
            </w:r>
          </w:p>
        </w:tc>
        <w:tc>
          <w:tcPr>
            <w:tcW w:w="1660"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2018-2019年迁徙率（%）</w:t>
            </w:r>
          </w:p>
        </w:tc>
        <w:tc>
          <w:tcPr>
            <w:tcW w:w="1420"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2019-2020年迁徙率（%）</w:t>
            </w:r>
          </w:p>
        </w:tc>
        <w:tc>
          <w:tcPr>
            <w:tcW w:w="1420"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2020-2021年迁徙率（%）</w:t>
            </w:r>
          </w:p>
        </w:tc>
        <w:tc>
          <w:tcPr>
            <w:tcW w:w="1460"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三年平均迁徙率（%）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信用期以内</w:t>
            </w:r>
          </w:p>
        </w:tc>
        <w:tc>
          <w:tcPr>
            <w:tcW w:w="1404"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a</w:t>
            </w:r>
          </w:p>
        </w:tc>
        <w:tc>
          <w:tcPr>
            <w:tcW w:w="16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76.54</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33.86</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26.95</w:t>
            </w:r>
          </w:p>
        </w:tc>
        <w:tc>
          <w:tcPr>
            <w:tcW w:w="14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45.78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2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信用期外至1年</w:t>
            </w:r>
          </w:p>
        </w:tc>
        <w:tc>
          <w:tcPr>
            <w:tcW w:w="1404"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b</w:t>
            </w:r>
          </w:p>
        </w:tc>
        <w:tc>
          <w:tcPr>
            <w:tcW w:w="16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9.43</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12.63</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11.68</w:t>
            </w:r>
          </w:p>
        </w:tc>
        <w:tc>
          <w:tcPr>
            <w:tcW w:w="14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1-2年</w:t>
            </w:r>
          </w:p>
        </w:tc>
        <w:tc>
          <w:tcPr>
            <w:tcW w:w="1404"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c</w:t>
            </w:r>
          </w:p>
        </w:tc>
        <w:tc>
          <w:tcPr>
            <w:tcW w:w="16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100.00</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17.99</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28.01</w:t>
            </w:r>
          </w:p>
        </w:tc>
        <w:tc>
          <w:tcPr>
            <w:tcW w:w="14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48.67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2-3年</w:t>
            </w:r>
          </w:p>
        </w:tc>
        <w:tc>
          <w:tcPr>
            <w:tcW w:w="1404"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d</w:t>
            </w:r>
          </w:p>
        </w:tc>
        <w:tc>
          <w:tcPr>
            <w:tcW w:w="16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100.00</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0.00</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77.93</w:t>
            </w:r>
          </w:p>
        </w:tc>
        <w:tc>
          <w:tcPr>
            <w:tcW w:w="14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59.31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3-4年</w:t>
            </w:r>
          </w:p>
        </w:tc>
        <w:tc>
          <w:tcPr>
            <w:tcW w:w="1404"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e</w:t>
            </w:r>
          </w:p>
        </w:tc>
        <w:tc>
          <w:tcPr>
            <w:tcW w:w="16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100.00</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0.00</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100.00</w:t>
            </w:r>
          </w:p>
        </w:tc>
        <w:tc>
          <w:tcPr>
            <w:tcW w:w="14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66.67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4-5年</w:t>
            </w:r>
          </w:p>
        </w:tc>
        <w:tc>
          <w:tcPr>
            <w:tcW w:w="1404"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f</w:t>
            </w:r>
          </w:p>
        </w:tc>
        <w:tc>
          <w:tcPr>
            <w:tcW w:w="16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100.00</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0.00</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100.00</w:t>
            </w:r>
          </w:p>
        </w:tc>
        <w:tc>
          <w:tcPr>
            <w:tcW w:w="14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66</w:t>
            </w:r>
            <w:r>
              <w:rPr>
                <w:rFonts w:hint="eastAsia" w:cs="宋体" w:asciiTheme="minorEastAsia" w:hAnsiTheme="minorEastAsia"/>
                <w:color w:val="000000"/>
                <w:kern w:val="0"/>
                <w:sz w:val="18"/>
                <w:szCs w:val="18"/>
              </w:rPr>
              <w:t>.</w:t>
            </w:r>
            <w:r>
              <w:rPr>
                <w:rFonts w:cs="宋体" w:asciiTheme="minorEastAsia" w:hAnsiTheme="minorEastAsia"/>
                <w:color w:val="000000"/>
                <w:kern w:val="0"/>
                <w:sz w:val="18"/>
                <w:szCs w:val="18"/>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12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5年以上</w:t>
            </w:r>
          </w:p>
        </w:tc>
        <w:tc>
          <w:tcPr>
            <w:tcW w:w="1404"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g</w:t>
            </w:r>
          </w:p>
        </w:tc>
        <w:tc>
          <w:tcPr>
            <w:tcW w:w="16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100.00</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0.00</w:t>
            </w:r>
          </w:p>
        </w:tc>
        <w:tc>
          <w:tcPr>
            <w:tcW w:w="142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100.00</w:t>
            </w:r>
          </w:p>
        </w:tc>
        <w:tc>
          <w:tcPr>
            <w:tcW w:w="1460" w:type="dxa"/>
            <w:shd w:val="clear" w:color="auto" w:fill="auto"/>
            <w:vAlign w:val="center"/>
          </w:tcPr>
          <w:p>
            <w:pPr>
              <w:widowControl/>
              <w:tabs>
                <w:tab w:val="left" w:pos="567"/>
              </w:tabs>
              <w:jc w:val="right"/>
              <w:rPr>
                <w:rFonts w:cs="宋体" w:asciiTheme="minorEastAsia" w:hAnsiTheme="minorEastAsia"/>
                <w:color w:val="000000"/>
                <w:kern w:val="0"/>
                <w:sz w:val="18"/>
                <w:szCs w:val="18"/>
              </w:rPr>
            </w:pPr>
            <w:r>
              <w:rPr>
                <w:rFonts w:cs="宋体" w:asciiTheme="minorEastAsia" w:hAnsiTheme="minorEastAsia"/>
                <w:color w:val="000000"/>
                <w:kern w:val="0"/>
                <w:sz w:val="18"/>
                <w:szCs w:val="18"/>
              </w:rPr>
              <w:t>66.67</w:t>
            </w:r>
          </w:p>
        </w:tc>
      </w:tr>
    </w:tbl>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注：迁徙率为上年末该逾期账龄段余额结转至下一年仍未回收金额(即下一年的下一账龄段余额占上年末该账龄段余额的比率)。另外此处假设历史数据中各年度逾期3年以上的应收款均未收回，结转到下一年度，故迁徙率为100%</w:t>
      </w:r>
    </w:p>
    <w:p>
      <w:pPr>
        <w:tabs>
          <w:tab w:val="left" w:pos="567"/>
        </w:tabs>
        <w:spacing w:line="360" w:lineRule="auto"/>
        <w:ind w:left="424" w:leftChars="202"/>
        <w:rPr>
          <w:rFonts w:asciiTheme="minorEastAsia" w:hAnsiTheme="minorEastAsia"/>
          <w:sz w:val="24"/>
          <w:szCs w:val="24"/>
        </w:rPr>
      </w:pPr>
      <w:r>
        <w:rPr>
          <w:rFonts w:asciiTheme="minorEastAsia" w:hAnsiTheme="minorEastAsia"/>
          <w:sz w:val="24"/>
          <w:szCs w:val="24"/>
        </w:rPr>
        <w:t>（3）按平均迁徙率计算历史损失率和预期信用损失率如下：</w:t>
      </w:r>
    </w:p>
    <w:tbl>
      <w:tblPr>
        <w:tblStyle w:val="8"/>
        <w:tblW w:w="8381"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5"/>
        <w:gridCol w:w="1620"/>
        <w:gridCol w:w="1905"/>
        <w:gridCol w:w="29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93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逾期账龄</w:t>
            </w:r>
          </w:p>
        </w:tc>
        <w:tc>
          <w:tcPr>
            <w:tcW w:w="1620"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计算公式</w:t>
            </w:r>
          </w:p>
        </w:tc>
        <w:tc>
          <w:tcPr>
            <w:tcW w:w="190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历史损失率（%）</w:t>
            </w:r>
          </w:p>
        </w:tc>
        <w:tc>
          <w:tcPr>
            <w:tcW w:w="2921"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前瞻性调整后预期信用损失率（%）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3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信用期以内</w:t>
            </w:r>
          </w:p>
        </w:tc>
        <w:tc>
          <w:tcPr>
            <w:tcW w:w="1620"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a*b*c*d*e*f*g</w:t>
            </w:r>
          </w:p>
        </w:tc>
        <w:tc>
          <w:tcPr>
            <w:tcW w:w="1905"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0</w:t>
            </w:r>
            <w:r>
              <w:rPr>
                <w:rFonts w:hint="eastAsia" w:cs="宋体" w:asciiTheme="minorEastAsia" w:hAnsiTheme="minorEastAsia"/>
                <w:color w:val="000000"/>
                <w:kern w:val="0"/>
                <w:sz w:val="18"/>
                <w:szCs w:val="18"/>
              </w:rPr>
              <w:t>.</w:t>
            </w:r>
            <w:r>
              <w:rPr>
                <w:rFonts w:cs="宋体" w:asciiTheme="minorEastAsia" w:hAnsiTheme="minorEastAsia"/>
                <w:color w:val="000000"/>
                <w:kern w:val="0"/>
                <w:sz w:val="18"/>
                <w:szCs w:val="18"/>
              </w:rPr>
              <w:t>44</w:t>
            </w:r>
          </w:p>
        </w:tc>
        <w:tc>
          <w:tcPr>
            <w:tcW w:w="2921"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93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信用期外至1年</w:t>
            </w:r>
          </w:p>
        </w:tc>
        <w:tc>
          <w:tcPr>
            <w:tcW w:w="1620"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b*c*d*e*f*g</w:t>
            </w:r>
          </w:p>
        </w:tc>
        <w:tc>
          <w:tcPr>
            <w:tcW w:w="1905"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0</w:t>
            </w:r>
            <w:r>
              <w:rPr>
                <w:rFonts w:hint="eastAsia" w:cs="宋体" w:asciiTheme="minorEastAsia" w:hAnsiTheme="minorEastAsia"/>
                <w:color w:val="000000"/>
                <w:kern w:val="0"/>
                <w:sz w:val="18"/>
                <w:szCs w:val="18"/>
              </w:rPr>
              <w:t>.</w:t>
            </w:r>
            <w:r>
              <w:rPr>
                <w:rFonts w:cs="宋体" w:asciiTheme="minorEastAsia" w:hAnsiTheme="minorEastAsia"/>
                <w:color w:val="000000"/>
                <w:kern w:val="0"/>
                <w:sz w:val="18"/>
                <w:szCs w:val="18"/>
              </w:rPr>
              <w:t>96</w:t>
            </w:r>
          </w:p>
        </w:tc>
        <w:tc>
          <w:tcPr>
            <w:tcW w:w="2921"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3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1-2年</w:t>
            </w:r>
          </w:p>
        </w:tc>
        <w:tc>
          <w:tcPr>
            <w:tcW w:w="1620"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c*d*e*f*g</w:t>
            </w:r>
          </w:p>
        </w:tc>
        <w:tc>
          <w:tcPr>
            <w:tcW w:w="1905"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8</w:t>
            </w:r>
            <w:r>
              <w:rPr>
                <w:rFonts w:hint="eastAsia" w:cs="宋体" w:asciiTheme="minorEastAsia" w:hAnsiTheme="minorEastAsia"/>
                <w:color w:val="000000"/>
                <w:kern w:val="0"/>
                <w:sz w:val="18"/>
                <w:szCs w:val="18"/>
              </w:rPr>
              <w:t>.</w:t>
            </w:r>
            <w:r>
              <w:rPr>
                <w:rFonts w:cs="宋体" w:asciiTheme="minorEastAsia" w:hAnsiTheme="minorEastAsia"/>
                <w:color w:val="000000"/>
                <w:kern w:val="0"/>
                <w:sz w:val="18"/>
                <w:szCs w:val="18"/>
              </w:rPr>
              <w:t>55</w:t>
            </w:r>
          </w:p>
        </w:tc>
        <w:tc>
          <w:tcPr>
            <w:tcW w:w="2921"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3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2-3年</w:t>
            </w:r>
          </w:p>
        </w:tc>
        <w:tc>
          <w:tcPr>
            <w:tcW w:w="1620"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d*e*f*g</w:t>
            </w:r>
          </w:p>
        </w:tc>
        <w:tc>
          <w:tcPr>
            <w:tcW w:w="1905"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17</w:t>
            </w:r>
            <w:r>
              <w:rPr>
                <w:rFonts w:hint="eastAsia" w:cs="宋体" w:asciiTheme="minorEastAsia" w:hAnsiTheme="minorEastAsia"/>
                <w:color w:val="000000"/>
                <w:kern w:val="0"/>
                <w:sz w:val="18"/>
                <w:szCs w:val="18"/>
              </w:rPr>
              <w:t>.</w:t>
            </w:r>
            <w:r>
              <w:rPr>
                <w:rFonts w:cs="宋体" w:asciiTheme="minorEastAsia" w:hAnsiTheme="minorEastAsia"/>
                <w:color w:val="000000"/>
                <w:kern w:val="0"/>
                <w:sz w:val="18"/>
                <w:szCs w:val="18"/>
              </w:rPr>
              <w:t>57</w:t>
            </w:r>
          </w:p>
        </w:tc>
        <w:tc>
          <w:tcPr>
            <w:tcW w:w="2921"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3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3-4年</w:t>
            </w:r>
          </w:p>
        </w:tc>
        <w:tc>
          <w:tcPr>
            <w:tcW w:w="1620"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e*f*g</w:t>
            </w:r>
          </w:p>
        </w:tc>
        <w:tc>
          <w:tcPr>
            <w:tcW w:w="1905"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29</w:t>
            </w:r>
            <w:r>
              <w:rPr>
                <w:rFonts w:hint="eastAsia" w:cs="宋体" w:asciiTheme="minorEastAsia" w:hAnsiTheme="minorEastAsia"/>
                <w:color w:val="000000"/>
                <w:kern w:val="0"/>
                <w:sz w:val="18"/>
                <w:szCs w:val="18"/>
              </w:rPr>
              <w:t>.</w:t>
            </w:r>
            <w:r>
              <w:rPr>
                <w:rFonts w:cs="宋体" w:asciiTheme="minorEastAsia" w:hAnsiTheme="minorEastAsia"/>
                <w:color w:val="000000"/>
                <w:kern w:val="0"/>
                <w:sz w:val="18"/>
                <w:szCs w:val="18"/>
              </w:rPr>
              <w:t>63</w:t>
            </w:r>
          </w:p>
        </w:tc>
        <w:tc>
          <w:tcPr>
            <w:tcW w:w="2921"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3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4-5年</w:t>
            </w:r>
          </w:p>
        </w:tc>
        <w:tc>
          <w:tcPr>
            <w:tcW w:w="1620"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f*g</w:t>
            </w:r>
          </w:p>
        </w:tc>
        <w:tc>
          <w:tcPr>
            <w:tcW w:w="1905"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44</w:t>
            </w:r>
            <w:r>
              <w:rPr>
                <w:rFonts w:hint="eastAsia" w:cs="宋体" w:asciiTheme="minorEastAsia" w:hAnsiTheme="minorEastAsia"/>
                <w:color w:val="000000"/>
                <w:kern w:val="0"/>
                <w:sz w:val="18"/>
                <w:szCs w:val="18"/>
              </w:rPr>
              <w:t>.</w:t>
            </w:r>
            <w:r>
              <w:rPr>
                <w:rFonts w:cs="宋体" w:asciiTheme="minorEastAsia" w:hAnsiTheme="minorEastAsia"/>
                <w:color w:val="000000"/>
                <w:kern w:val="0"/>
                <w:sz w:val="18"/>
                <w:szCs w:val="18"/>
              </w:rPr>
              <w:t>44</w:t>
            </w:r>
          </w:p>
        </w:tc>
        <w:tc>
          <w:tcPr>
            <w:tcW w:w="2921"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935"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5年以上</w:t>
            </w:r>
          </w:p>
        </w:tc>
        <w:tc>
          <w:tcPr>
            <w:tcW w:w="1620" w:type="dxa"/>
            <w:shd w:val="clear" w:color="auto" w:fill="auto"/>
            <w:vAlign w:val="center"/>
          </w:tcPr>
          <w:p>
            <w:pPr>
              <w:widowControl/>
              <w:tabs>
                <w:tab w:val="left" w:pos="567"/>
              </w:tabs>
              <w:jc w:val="left"/>
              <w:rPr>
                <w:rFonts w:cs="宋体" w:asciiTheme="minorEastAsia" w:hAnsiTheme="minorEastAsia"/>
                <w:color w:val="000000"/>
                <w:kern w:val="0"/>
                <w:sz w:val="18"/>
                <w:szCs w:val="18"/>
              </w:rPr>
            </w:pPr>
            <w:r>
              <w:rPr>
                <w:rFonts w:cs="宋体" w:asciiTheme="minorEastAsia" w:hAnsiTheme="minorEastAsia"/>
                <w:color w:val="000000"/>
                <w:kern w:val="0"/>
                <w:sz w:val="18"/>
                <w:szCs w:val="18"/>
              </w:rPr>
              <w:t>g</w:t>
            </w:r>
          </w:p>
        </w:tc>
        <w:tc>
          <w:tcPr>
            <w:tcW w:w="1905"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66.67</w:t>
            </w:r>
          </w:p>
        </w:tc>
        <w:tc>
          <w:tcPr>
            <w:tcW w:w="2921" w:type="dxa"/>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100</w:t>
            </w:r>
          </w:p>
        </w:tc>
      </w:tr>
    </w:tbl>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因公司下属各子公司为独立核算主体，具有各自不同的信用风险特征，采用相同的模型不同的应收账款数据，计算出各自的预期信用损失率并据此计提应收账款坏账准备，合并口径坏账准备为单体数据的加计汇总，不对合并层面坏账比例做统一调整，按汇总数列报。</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3、结合公司坏账计提政策、同行业可比公司情况等说明本期坏账计提同比减少的原因，相关坏账计提是否充分</w:t>
      </w:r>
    </w:p>
    <w:p>
      <w:pPr>
        <w:tabs>
          <w:tab w:val="left" w:pos="567"/>
        </w:tabs>
        <w:kinsoku w:val="0"/>
        <w:overflowPunct w:val="0"/>
        <w:autoSpaceDE w:val="0"/>
        <w:autoSpaceDN w:val="0"/>
        <w:spacing w:line="360" w:lineRule="auto"/>
        <w:ind w:left="424" w:leftChars="202"/>
        <w:rPr>
          <w:rFonts w:asciiTheme="minorEastAsia" w:hAnsiTheme="minorEastAsia"/>
          <w:sz w:val="24"/>
          <w:szCs w:val="24"/>
        </w:rPr>
      </w:pPr>
      <w:r>
        <w:rPr>
          <w:rFonts w:asciiTheme="minorEastAsia" w:hAnsiTheme="minorEastAsia"/>
          <w:sz w:val="24"/>
          <w:szCs w:val="24"/>
        </w:rPr>
        <w:t>（1）公司近两年计提坏账准备对比列示如下：</w:t>
      </w:r>
    </w:p>
    <w:p>
      <w:pPr>
        <w:tabs>
          <w:tab w:val="left" w:pos="567"/>
        </w:tabs>
        <w:kinsoku w:val="0"/>
        <w:overflowPunct w:val="0"/>
        <w:autoSpaceDE w:val="0"/>
        <w:autoSpaceDN w:val="0"/>
        <w:spacing w:line="360" w:lineRule="auto"/>
        <w:ind w:left="424" w:leftChars="202"/>
        <w:jc w:val="right"/>
        <w:rPr>
          <w:rFonts w:asciiTheme="minorEastAsia" w:hAnsiTheme="minorEastAsia"/>
          <w:sz w:val="24"/>
          <w:szCs w:val="24"/>
        </w:rPr>
      </w:pPr>
      <w:r>
        <w:rPr>
          <w:rFonts w:asciiTheme="minorEastAsia" w:hAnsiTheme="minorEastAsia"/>
          <w:sz w:val="24"/>
          <w:szCs w:val="24"/>
        </w:rPr>
        <w:t>单位：元</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6"/>
        <w:gridCol w:w="1476"/>
        <w:gridCol w:w="1386"/>
        <w:gridCol w:w="756"/>
        <w:gridCol w:w="1476"/>
        <w:gridCol w:w="138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84" w:type="pct"/>
            <w:vMerge w:val="restar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账龄</w:t>
            </w:r>
          </w:p>
        </w:tc>
        <w:tc>
          <w:tcPr>
            <w:tcW w:w="2092" w:type="pct"/>
            <w:gridSpan w:val="3"/>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2022年末</w:t>
            </w:r>
          </w:p>
        </w:tc>
        <w:tc>
          <w:tcPr>
            <w:tcW w:w="2024" w:type="pct"/>
            <w:gridSpan w:val="3"/>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2021年末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4" w:type="pct"/>
            <w:vMerge w:val="continue"/>
            <w:vAlign w:val="center"/>
          </w:tcPr>
          <w:p>
            <w:pPr>
              <w:widowControl/>
              <w:tabs>
                <w:tab w:val="left" w:pos="567"/>
              </w:tabs>
              <w:jc w:val="left"/>
              <w:rPr>
                <w:rFonts w:cs="宋体" w:asciiTheme="minorEastAsia" w:hAnsiTheme="minorEastAsia"/>
                <w:color w:val="000000"/>
                <w:kern w:val="0"/>
                <w:sz w:val="18"/>
                <w:szCs w:val="18"/>
              </w:rPr>
            </w:pPr>
          </w:p>
        </w:tc>
        <w:tc>
          <w:tcPr>
            <w:tcW w:w="820"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账面余额</w:t>
            </w:r>
          </w:p>
        </w:tc>
        <w:tc>
          <w:tcPr>
            <w:tcW w:w="770"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坏账准备</w:t>
            </w:r>
          </w:p>
        </w:tc>
        <w:tc>
          <w:tcPr>
            <w:tcW w:w="502"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计提比例(%)</w:t>
            </w:r>
          </w:p>
        </w:tc>
        <w:tc>
          <w:tcPr>
            <w:tcW w:w="820"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应收账款</w:t>
            </w:r>
          </w:p>
        </w:tc>
        <w:tc>
          <w:tcPr>
            <w:tcW w:w="770"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坏账准备</w:t>
            </w:r>
          </w:p>
        </w:tc>
        <w:tc>
          <w:tcPr>
            <w:tcW w:w="434" w:type="pct"/>
            <w:shd w:val="clear" w:color="auto" w:fill="auto"/>
            <w:vAlign w:val="center"/>
          </w:tcPr>
          <w:p>
            <w:pPr>
              <w:widowControl/>
              <w:tabs>
                <w:tab w:val="left" w:pos="567"/>
              </w:tabs>
              <w:jc w:val="center"/>
              <w:rPr>
                <w:rFonts w:cs="宋体" w:asciiTheme="minorEastAsia" w:hAnsiTheme="minorEastAsia"/>
                <w:color w:val="000000"/>
                <w:kern w:val="0"/>
                <w:sz w:val="18"/>
                <w:szCs w:val="18"/>
              </w:rPr>
            </w:pPr>
            <w:r>
              <w:rPr>
                <w:rFonts w:cs="宋体" w:asciiTheme="minorEastAsia" w:hAnsiTheme="minorEastAsia"/>
                <w:color w:val="000000"/>
                <w:kern w:val="0"/>
                <w:sz w:val="18"/>
                <w:szCs w:val="18"/>
              </w:rPr>
              <w:t>计提比例（%）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884" w:type="pct"/>
            <w:shd w:val="clear" w:color="auto" w:fill="auto"/>
          </w:tcPr>
          <w:p>
            <w:pPr>
              <w:widowControl/>
              <w:tabs>
                <w:tab w:val="left" w:pos="567"/>
              </w:tabs>
              <w:jc w:val="left"/>
              <w:rPr>
                <w:rFonts w:cs="宋体" w:asciiTheme="minorEastAsia" w:hAnsiTheme="minorEastAsia"/>
                <w:color w:val="000000"/>
                <w:kern w:val="0"/>
                <w:sz w:val="18"/>
                <w:szCs w:val="18"/>
              </w:rPr>
            </w:pPr>
            <w:r>
              <w:rPr>
                <w:rFonts w:asciiTheme="minorEastAsia" w:hAnsiTheme="minorEastAsia"/>
                <w:sz w:val="18"/>
                <w:szCs w:val="18"/>
              </w:rPr>
              <w:t>1年以内分项</w:t>
            </w:r>
          </w:p>
        </w:tc>
        <w:tc>
          <w:tcPr>
            <w:tcW w:w="820" w:type="pct"/>
            <w:shd w:val="clear" w:color="auto" w:fill="auto"/>
          </w:tcPr>
          <w:p>
            <w:pPr>
              <w:widowControl/>
              <w:tabs>
                <w:tab w:val="left" w:pos="567"/>
              </w:tabs>
              <w:jc w:val="right"/>
              <w:rPr>
                <w:rFonts w:cs="宋体" w:asciiTheme="minorEastAsia" w:hAnsiTheme="minorEastAsia"/>
                <w:color w:val="000000"/>
                <w:kern w:val="0"/>
                <w:sz w:val="18"/>
                <w:szCs w:val="18"/>
              </w:rPr>
            </w:pP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p>
        </w:tc>
        <w:tc>
          <w:tcPr>
            <w:tcW w:w="502" w:type="pct"/>
            <w:shd w:val="clear" w:color="auto" w:fill="auto"/>
          </w:tcPr>
          <w:p>
            <w:pPr>
              <w:widowControl/>
              <w:tabs>
                <w:tab w:val="left" w:pos="567"/>
              </w:tabs>
              <w:jc w:val="right"/>
              <w:rPr>
                <w:rFonts w:cs="宋体" w:asciiTheme="minorEastAsia" w:hAnsiTheme="minorEastAsia"/>
                <w:color w:val="000000"/>
                <w:kern w:val="0"/>
                <w:sz w:val="18"/>
                <w:szCs w:val="18"/>
              </w:rPr>
            </w:pPr>
          </w:p>
        </w:tc>
        <w:tc>
          <w:tcPr>
            <w:tcW w:w="820" w:type="pct"/>
            <w:shd w:val="clear" w:color="auto" w:fill="auto"/>
          </w:tcPr>
          <w:p>
            <w:pPr>
              <w:widowControl/>
              <w:tabs>
                <w:tab w:val="left" w:pos="567"/>
              </w:tabs>
              <w:jc w:val="right"/>
              <w:rPr>
                <w:rFonts w:cs="宋体" w:asciiTheme="minorEastAsia" w:hAnsiTheme="minorEastAsia"/>
                <w:color w:val="000000"/>
                <w:kern w:val="0"/>
                <w:sz w:val="18"/>
                <w:szCs w:val="18"/>
              </w:rPr>
            </w:pP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p>
        </w:tc>
        <w:tc>
          <w:tcPr>
            <w:tcW w:w="434" w:type="pct"/>
            <w:shd w:val="clear" w:color="auto" w:fill="auto"/>
          </w:tcPr>
          <w:p>
            <w:pPr>
              <w:widowControl/>
              <w:tabs>
                <w:tab w:val="left" w:pos="567"/>
              </w:tabs>
              <w:jc w:val="right"/>
              <w:rPr>
                <w:rFonts w:cs="宋体" w:asciiTheme="minorEastAsia" w:hAnsiTheme="minorEastAsia"/>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4" w:type="pct"/>
            <w:shd w:val="clear" w:color="auto" w:fill="auto"/>
          </w:tcPr>
          <w:p>
            <w:pPr>
              <w:widowControl/>
              <w:tabs>
                <w:tab w:val="left" w:pos="567"/>
              </w:tabs>
              <w:jc w:val="left"/>
              <w:rPr>
                <w:rFonts w:cs="宋体" w:asciiTheme="minorEastAsia" w:hAnsiTheme="minorEastAsia"/>
                <w:color w:val="000000"/>
                <w:kern w:val="0"/>
                <w:sz w:val="18"/>
                <w:szCs w:val="18"/>
              </w:rPr>
            </w:pPr>
            <w:r>
              <w:rPr>
                <w:rFonts w:asciiTheme="minorEastAsia" w:hAnsiTheme="minorEastAsia"/>
                <w:sz w:val="18"/>
                <w:szCs w:val="18"/>
              </w:rPr>
              <w:t>其中：信用期以内</w:t>
            </w:r>
          </w:p>
        </w:tc>
        <w:tc>
          <w:tcPr>
            <w:tcW w:w="82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785,637,501.34</w:t>
            </w: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3,928,187.51</w:t>
            </w:r>
          </w:p>
        </w:tc>
        <w:tc>
          <w:tcPr>
            <w:tcW w:w="502"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0.50</w:t>
            </w:r>
          </w:p>
        </w:tc>
        <w:tc>
          <w:tcPr>
            <w:tcW w:w="82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635,164,642.06</w:t>
            </w: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3,173,488.20</w:t>
            </w:r>
          </w:p>
        </w:tc>
        <w:tc>
          <w:tcPr>
            <w:tcW w:w="434"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84" w:type="pct"/>
            <w:shd w:val="clear" w:color="auto" w:fill="auto"/>
          </w:tcPr>
          <w:p>
            <w:pPr>
              <w:widowControl/>
              <w:tabs>
                <w:tab w:val="left" w:pos="567"/>
              </w:tabs>
              <w:jc w:val="left"/>
              <w:rPr>
                <w:rFonts w:cs="宋体" w:asciiTheme="minorEastAsia" w:hAnsiTheme="minorEastAsia"/>
                <w:color w:val="000000"/>
                <w:kern w:val="0"/>
                <w:sz w:val="18"/>
                <w:szCs w:val="18"/>
              </w:rPr>
            </w:pPr>
            <w:r>
              <w:rPr>
                <w:rFonts w:asciiTheme="minorEastAsia" w:hAnsiTheme="minorEastAsia"/>
                <w:sz w:val="18"/>
                <w:szCs w:val="18"/>
              </w:rPr>
              <w:t>信用期至1年</w:t>
            </w:r>
          </w:p>
        </w:tc>
        <w:tc>
          <w:tcPr>
            <w:tcW w:w="82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75,170,763.85</w:t>
            </w: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2,874,718.10</w:t>
            </w:r>
          </w:p>
        </w:tc>
        <w:tc>
          <w:tcPr>
            <w:tcW w:w="502"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3.82</w:t>
            </w:r>
          </w:p>
        </w:tc>
        <w:tc>
          <w:tcPr>
            <w:tcW w:w="82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129,164,433.52</w:t>
            </w: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4,354,231.56</w:t>
            </w:r>
          </w:p>
        </w:tc>
        <w:tc>
          <w:tcPr>
            <w:tcW w:w="434"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84" w:type="pct"/>
            <w:shd w:val="clear" w:color="auto" w:fill="auto"/>
          </w:tcPr>
          <w:p>
            <w:pPr>
              <w:widowControl/>
              <w:tabs>
                <w:tab w:val="left" w:pos="567"/>
              </w:tabs>
              <w:jc w:val="left"/>
              <w:rPr>
                <w:rFonts w:cs="宋体" w:asciiTheme="minorEastAsia" w:hAnsiTheme="minorEastAsia"/>
                <w:color w:val="000000"/>
                <w:kern w:val="0"/>
                <w:sz w:val="18"/>
                <w:szCs w:val="18"/>
              </w:rPr>
            </w:pPr>
            <w:r>
              <w:rPr>
                <w:rFonts w:asciiTheme="minorEastAsia" w:hAnsiTheme="minorEastAsia"/>
                <w:sz w:val="18"/>
                <w:szCs w:val="18"/>
              </w:rPr>
              <w:t>1-2年</w:t>
            </w:r>
          </w:p>
        </w:tc>
        <w:tc>
          <w:tcPr>
            <w:tcW w:w="82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5,266,912.54</w:t>
            </w: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638,457.99</w:t>
            </w:r>
          </w:p>
        </w:tc>
        <w:tc>
          <w:tcPr>
            <w:tcW w:w="502"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12.12</w:t>
            </w:r>
          </w:p>
        </w:tc>
        <w:tc>
          <w:tcPr>
            <w:tcW w:w="82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2,800,447.21</w:t>
            </w: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280,044.72</w:t>
            </w:r>
          </w:p>
        </w:tc>
        <w:tc>
          <w:tcPr>
            <w:tcW w:w="434"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84" w:type="pct"/>
            <w:shd w:val="clear" w:color="auto" w:fill="auto"/>
          </w:tcPr>
          <w:p>
            <w:pPr>
              <w:widowControl/>
              <w:tabs>
                <w:tab w:val="left" w:pos="567"/>
              </w:tabs>
              <w:jc w:val="left"/>
              <w:rPr>
                <w:rFonts w:cs="宋体" w:asciiTheme="minorEastAsia" w:hAnsiTheme="minorEastAsia"/>
                <w:color w:val="000000"/>
                <w:kern w:val="0"/>
                <w:sz w:val="18"/>
                <w:szCs w:val="18"/>
              </w:rPr>
            </w:pPr>
            <w:r>
              <w:rPr>
                <w:rFonts w:asciiTheme="minorEastAsia" w:hAnsiTheme="minorEastAsia"/>
                <w:sz w:val="18"/>
                <w:szCs w:val="18"/>
              </w:rPr>
              <w:t>2-3年</w:t>
            </w:r>
          </w:p>
        </w:tc>
        <w:tc>
          <w:tcPr>
            <w:tcW w:w="82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1,121,839.44</w:t>
            </w: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439,710.75</w:t>
            </w:r>
          </w:p>
        </w:tc>
        <w:tc>
          <w:tcPr>
            <w:tcW w:w="502"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39.20</w:t>
            </w:r>
          </w:p>
        </w:tc>
        <w:tc>
          <w:tcPr>
            <w:tcW w:w="820" w:type="pct"/>
            <w:shd w:val="clear" w:color="auto" w:fill="auto"/>
          </w:tcPr>
          <w:p>
            <w:pPr>
              <w:widowControl/>
              <w:tabs>
                <w:tab w:val="left" w:pos="567"/>
              </w:tabs>
              <w:jc w:val="right"/>
              <w:rPr>
                <w:rFonts w:cs="宋体" w:asciiTheme="minorEastAsia" w:hAnsiTheme="minorEastAsia"/>
                <w:color w:val="000000"/>
                <w:kern w:val="0"/>
                <w:sz w:val="18"/>
                <w:szCs w:val="18"/>
                <w:highlight w:val="yellow"/>
              </w:rPr>
            </w:pPr>
            <w:r>
              <w:rPr>
                <w:rFonts w:asciiTheme="minorEastAsia" w:hAnsiTheme="minorEastAsia"/>
                <w:sz w:val="18"/>
                <w:szCs w:val="18"/>
              </w:rPr>
              <w:t>1,095,523.40</w:t>
            </w: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449,169.31</w:t>
            </w:r>
          </w:p>
        </w:tc>
        <w:tc>
          <w:tcPr>
            <w:tcW w:w="434"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41.00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84" w:type="pct"/>
            <w:shd w:val="clear" w:color="auto" w:fill="auto"/>
          </w:tcPr>
          <w:p>
            <w:pPr>
              <w:widowControl/>
              <w:tabs>
                <w:tab w:val="left" w:pos="567"/>
              </w:tabs>
              <w:jc w:val="left"/>
              <w:rPr>
                <w:rFonts w:cs="宋体" w:asciiTheme="minorEastAsia" w:hAnsiTheme="minorEastAsia"/>
                <w:color w:val="000000"/>
                <w:kern w:val="0"/>
                <w:sz w:val="18"/>
                <w:szCs w:val="18"/>
              </w:rPr>
            </w:pPr>
            <w:r>
              <w:rPr>
                <w:rFonts w:asciiTheme="minorEastAsia" w:hAnsiTheme="minorEastAsia"/>
                <w:sz w:val="18"/>
                <w:szCs w:val="18"/>
              </w:rPr>
              <w:t>3年以上</w:t>
            </w:r>
          </w:p>
        </w:tc>
        <w:tc>
          <w:tcPr>
            <w:tcW w:w="82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2,981,272.91</w:t>
            </w: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2,981,272.91</w:t>
            </w:r>
          </w:p>
        </w:tc>
        <w:tc>
          <w:tcPr>
            <w:tcW w:w="502"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100.00</w:t>
            </w:r>
          </w:p>
        </w:tc>
        <w:tc>
          <w:tcPr>
            <w:tcW w:w="82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1,783,206.26</w:t>
            </w:r>
          </w:p>
        </w:tc>
        <w:tc>
          <w:tcPr>
            <w:tcW w:w="770"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1,783,206.26</w:t>
            </w:r>
          </w:p>
        </w:tc>
        <w:tc>
          <w:tcPr>
            <w:tcW w:w="434" w:type="pct"/>
            <w:shd w:val="clear" w:color="auto" w:fill="auto"/>
          </w:tcPr>
          <w:p>
            <w:pPr>
              <w:widowControl/>
              <w:tabs>
                <w:tab w:val="left" w:pos="567"/>
              </w:tabs>
              <w:jc w:val="right"/>
              <w:rPr>
                <w:rFonts w:cs="宋体" w:asciiTheme="minorEastAsia" w:hAnsiTheme="minorEastAsia"/>
                <w:color w:val="000000"/>
                <w:kern w:val="0"/>
                <w:sz w:val="18"/>
                <w:szCs w:val="18"/>
              </w:rPr>
            </w:pPr>
            <w:r>
              <w:rPr>
                <w:rFonts w:asciiTheme="minorEastAsia" w:hAnsiTheme="minorEastAsia"/>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84" w:type="pct"/>
            <w:shd w:val="clear" w:color="auto" w:fill="auto"/>
            <w:vAlign w:val="center"/>
          </w:tcPr>
          <w:p>
            <w:pPr>
              <w:widowControl/>
              <w:tabs>
                <w:tab w:val="left" w:pos="567"/>
              </w:tabs>
              <w:jc w:val="left"/>
              <w:rPr>
                <w:rFonts w:asciiTheme="minorEastAsia" w:hAnsiTheme="minorEastAsia"/>
                <w:sz w:val="18"/>
                <w:szCs w:val="18"/>
              </w:rPr>
            </w:pPr>
            <w:r>
              <w:rPr>
                <w:rFonts w:hint="eastAsia" w:asciiTheme="minorEastAsia" w:hAnsiTheme="minorEastAsia"/>
                <w:sz w:val="18"/>
                <w:szCs w:val="18"/>
              </w:rPr>
              <w:t>小计</w:t>
            </w:r>
          </w:p>
        </w:tc>
        <w:tc>
          <w:tcPr>
            <w:tcW w:w="820" w:type="pct"/>
            <w:shd w:val="clear" w:color="auto" w:fill="auto"/>
            <w:vAlign w:val="center"/>
          </w:tcPr>
          <w:p>
            <w:pPr>
              <w:widowControl/>
              <w:tabs>
                <w:tab w:val="left" w:pos="567"/>
              </w:tabs>
              <w:jc w:val="right"/>
              <w:rPr>
                <w:rFonts w:asciiTheme="minorEastAsia" w:hAnsiTheme="minorEastAsia"/>
                <w:sz w:val="18"/>
                <w:szCs w:val="18"/>
              </w:rPr>
            </w:pPr>
            <w:r>
              <w:rPr>
                <w:rFonts w:hint="eastAsia" w:asciiTheme="minorEastAsia" w:hAnsiTheme="minorEastAsia"/>
                <w:sz w:val="18"/>
                <w:szCs w:val="18"/>
              </w:rPr>
              <w:t>870,178,290.08</w:t>
            </w:r>
          </w:p>
        </w:tc>
        <w:tc>
          <w:tcPr>
            <w:tcW w:w="770" w:type="pct"/>
            <w:shd w:val="clear" w:color="auto" w:fill="auto"/>
            <w:vAlign w:val="center"/>
          </w:tcPr>
          <w:p>
            <w:pPr>
              <w:widowControl/>
              <w:tabs>
                <w:tab w:val="left" w:pos="567"/>
              </w:tabs>
              <w:jc w:val="right"/>
              <w:rPr>
                <w:rFonts w:asciiTheme="minorEastAsia" w:hAnsiTheme="minorEastAsia"/>
                <w:sz w:val="18"/>
                <w:szCs w:val="18"/>
              </w:rPr>
            </w:pPr>
            <w:r>
              <w:rPr>
                <w:rFonts w:hint="eastAsia" w:asciiTheme="minorEastAsia" w:hAnsiTheme="minorEastAsia"/>
                <w:sz w:val="18"/>
                <w:szCs w:val="18"/>
              </w:rPr>
              <w:t>10,862,347.26</w:t>
            </w:r>
          </w:p>
        </w:tc>
        <w:tc>
          <w:tcPr>
            <w:tcW w:w="502" w:type="pct"/>
            <w:shd w:val="clear" w:color="auto" w:fill="auto"/>
            <w:vAlign w:val="center"/>
          </w:tcPr>
          <w:p>
            <w:pPr>
              <w:widowControl/>
              <w:tabs>
                <w:tab w:val="left" w:pos="567"/>
              </w:tabs>
              <w:jc w:val="right"/>
              <w:rPr>
                <w:rFonts w:asciiTheme="minorEastAsia" w:hAnsiTheme="minorEastAsia"/>
                <w:sz w:val="18"/>
                <w:szCs w:val="18"/>
              </w:rPr>
            </w:pPr>
            <w:r>
              <w:rPr>
                <w:rFonts w:hint="eastAsia" w:asciiTheme="minorEastAsia" w:hAnsiTheme="minorEastAsia"/>
                <w:sz w:val="18"/>
                <w:szCs w:val="18"/>
              </w:rPr>
              <w:t>1.25</w:t>
            </w:r>
          </w:p>
        </w:tc>
        <w:tc>
          <w:tcPr>
            <w:tcW w:w="820" w:type="pct"/>
            <w:shd w:val="clear" w:color="auto" w:fill="auto"/>
            <w:vAlign w:val="center"/>
          </w:tcPr>
          <w:p>
            <w:pPr>
              <w:widowControl/>
              <w:tabs>
                <w:tab w:val="left" w:pos="567"/>
              </w:tabs>
              <w:jc w:val="right"/>
              <w:rPr>
                <w:rFonts w:asciiTheme="minorEastAsia" w:hAnsiTheme="minorEastAsia"/>
                <w:sz w:val="18"/>
                <w:szCs w:val="18"/>
              </w:rPr>
            </w:pPr>
            <w:r>
              <w:rPr>
                <w:rFonts w:hint="eastAsia" w:asciiTheme="minorEastAsia" w:hAnsiTheme="minorEastAsia"/>
                <w:sz w:val="18"/>
                <w:szCs w:val="18"/>
              </w:rPr>
              <w:t>770,008,252.45</w:t>
            </w:r>
          </w:p>
        </w:tc>
        <w:tc>
          <w:tcPr>
            <w:tcW w:w="770" w:type="pct"/>
            <w:shd w:val="clear" w:color="auto" w:fill="auto"/>
            <w:vAlign w:val="center"/>
          </w:tcPr>
          <w:p>
            <w:pPr>
              <w:widowControl/>
              <w:tabs>
                <w:tab w:val="left" w:pos="567"/>
              </w:tabs>
              <w:jc w:val="right"/>
              <w:rPr>
                <w:rFonts w:asciiTheme="minorEastAsia" w:hAnsiTheme="minorEastAsia"/>
                <w:sz w:val="18"/>
                <w:szCs w:val="18"/>
              </w:rPr>
            </w:pPr>
            <w:r>
              <w:rPr>
                <w:rFonts w:hint="eastAsia" w:asciiTheme="minorEastAsia" w:hAnsiTheme="minorEastAsia"/>
                <w:sz w:val="18"/>
                <w:szCs w:val="18"/>
              </w:rPr>
              <w:t>10,040,140.05</w:t>
            </w:r>
          </w:p>
        </w:tc>
        <w:tc>
          <w:tcPr>
            <w:tcW w:w="434" w:type="pct"/>
            <w:shd w:val="clear" w:color="auto" w:fill="auto"/>
            <w:vAlign w:val="center"/>
          </w:tcPr>
          <w:p>
            <w:pPr>
              <w:widowControl/>
              <w:tabs>
                <w:tab w:val="left" w:pos="567"/>
              </w:tabs>
              <w:jc w:val="right"/>
              <w:rPr>
                <w:rFonts w:asciiTheme="minorEastAsia" w:hAnsiTheme="minorEastAsia"/>
                <w:sz w:val="18"/>
                <w:szCs w:val="18"/>
              </w:rPr>
            </w:pPr>
            <w:r>
              <w:rPr>
                <w:rFonts w:hint="eastAsia" w:asciiTheme="minorEastAsia" w:hAnsiTheme="minorEastAsia"/>
                <w:sz w:val="18"/>
                <w:szCs w:val="18"/>
              </w:rPr>
              <w:t>1.30</w:t>
            </w:r>
          </w:p>
        </w:tc>
      </w:tr>
    </w:tbl>
    <w:p>
      <w:pPr>
        <w:tabs>
          <w:tab w:val="left" w:pos="567"/>
        </w:tabs>
        <w:kinsoku w:val="0"/>
        <w:overflowPunct w:val="0"/>
        <w:autoSpaceDE w:val="0"/>
        <w:autoSpaceDN w:val="0"/>
        <w:spacing w:line="360" w:lineRule="auto"/>
        <w:ind w:firstLine="360" w:firstLineChars="200"/>
        <w:jc w:val="left"/>
        <w:rPr>
          <w:rFonts w:asciiTheme="minorEastAsia" w:hAnsiTheme="minorEastAsia"/>
          <w:sz w:val="18"/>
          <w:szCs w:val="18"/>
        </w:rPr>
      </w:pPr>
      <w:r>
        <w:rPr>
          <w:rFonts w:hint="eastAsia" w:asciiTheme="minorEastAsia" w:hAnsiTheme="minorEastAsia"/>
          <w:sz w:val="18"/>
          <w:szCs w:val="18"/>
        </w:rPr>
        <w:t>注：公司贸易业务信用期为9</w:t>
      </w:r>
      <w:r>
        <w:rPr>
          <w:rFonts w:asciiTheme="minorEastAsia" w:hAnsiTheme="minorEastAsia"/>
          <w:sz w:val="18"/>
          <w:szCs w:val="18"/>
        </w:rPr>
        <w:t>0</w:t>
      </w:r>
      <w:r>
        <w:rPr>
          <w:rFonts w:hint="eastAsia" w:asciiTheme="minorEastAsia" w:hAnsiTheme="minorEastAsia"/>
          <w:sz w:val="18"/>
          <w:szCs w:val="18"/>
        </w:rPr>
        <w:t>天，</w:t>
      </w:r>
      <w:r>
        <w:rPr>
          <w:rFonts w:asciiTheme="minorEastAsia" w:hAnsiTheme="minorEastAsia"/>
          <w:sz w:val="18"/>
          <w:szCs w:val="18"/>
        </w:rPr>
        <w:t>医药业务</w:t>
      </w:r>
      <w:r>
        <w:rPr>
          <w:rFonts w:hint="eastAsia" w:asciiTheme="minorEastAsia" w:hAnsiTheme="minorEastAsia"/>
          <w:sz w:val="18"/>
          <w:szCs w:val="18"/>
        </w:rPr>
        <w:t>按与客户签订的回款期限作为信用期。</w:t>
      </w:r>
    </w:p>
    <w:p>
      <w:pPr>
        <w:tabs>
          <w:tab w:val="left" w:pos="567"/>
        </w:tabs>
        <w:kinsoku w:val="0"/>
        <w:overflowPunct w:val="0"/>
        <w:autoSpaceDE w:val="0"/>
        <w:autoSpaceDN w:val="0"/>
        <w:spacing w:line="360" w:lineRule="auto"/>
        <w:ind w:firstLine="480" w:firstLineChars="200"/>
        <w:jc w:val="left"/>
        <w:rPr>
          <w:rFonts w:asciiTheme="minorEastAsia" w:hAnsiTheme="minorEastAsia"/>
          <w:sz w:val="24"/>
          <w:szCs w:val="24"/>
        </w:rPr>
      </w:pPr>
      <w:r>
        <w:rPr>
          <w:rFonts w:asciiTheme="minorEastAsia" w:hAnsiTheme="minorEastAsia"/>
          <w:sz w:val="24"/>
          <w:szCs w:val="24"/>
        </w:rPr>
        <w:t>两年相比，计提坏账比例分别为1.25%和1.30%，计提比例略有下降。本期坏账计提同比减少</w:t>
      </w:r>
      <w:r>
        <w:rPr>
          <w:rFonts w:hint="eastAsia" w:asciiTheme="minorEastAsia" w:hAnsiTheme="minorEastAsia"/>
          <w:sz w:val="24"/>
          <w:szCs w:val="24"/>
        </w:rPr>
        <w:t>主要原因为</w:t>
      </w:r>
      <w:r>
        <w:rPr>
          <w:rFonts w:asciiTheme="minorEastAsia" w:hAnsiTheme="minorEastAsia"/>
          <w:sz w:val="24"/>
          <w:szCs w:val="24"/>
        </w:rPr>
        <w:t>本期信用期内应收账款增加较多，根据历史数据测算的预计信用减值损失率为0.5%，导致坏账计提比例同比略有下降。</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（2）与同行业公司相比，</w:t>
      </w:r>
      <w:r>
        <w:rPr>
          <w:rFonts w:hint="eastAsia" w:asciiTheme="minorEastAsia" w:hAnsiTheme="minorEastAsia"/>
          <w:sz w:val="24"/>
          <w:szCs w:val="24"/>
        </w:rPr>
        <w:t>查询了</w:t>
      </w:r>
      <w:r>
        <w:rPr>
          <w:rFonts w:asciiTheme="minorEastAsia" w:hAnsiTheme="minorEastAsia"/>
          <w:sz w:val="24"/>
          <w:szCs w:val="24"/>
        </w:rPr>
        <w:t>上交所2023年1月1日至2023年4月30日之间医药行业上市公司发布的年度报告，统计了账龄组合法下计提坏账准备的比例，列表如下：</w:t>
      </w:r>
    </w:p>
    <w:p>
      <w:pPr>
        <w:tabs>
          <w:tab w:val="left" w:pos="567"/>
        </w:tabs>
        <w:spacing w:line="360" w:lineRule="auto"/>
        <w:ind w:left="424" w:leftChars="202"/>
        <w:jc w:val="right"/>
        <w:rPr>
          <w:rFonts w:asciiTheme="minorEastAsia" w:hAnsiTheme="minorEastAsia"/>
          <w:sz w:val="24"/>
          <w:szCs w:val="24"/>
        </w:rPr>
      </w:pPr>
      <w:r>
        <w:rPr>
          <w:rFonts w:asciiTheme="minorEastAsia" w:hAnsiTheme="minorEastAsia"/>
          <w:sz w:val="24"/>
          <w:szCs w:val="24"/>
        </w:rPr>
        <w:t>单位：元</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1"/>
        <w:gridCol w:w="2765"/>
        <w:gridCol w:w="1824"/>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80" w:type="pct"/>
            <w:shd w:val="clear" w:color="auto" w:fill="auto"/>
            <w:vAlign w:val="center"/>
          </w:tcPr>
          <w:p>
            <w:pPr>
              <w:tabs>
                <w:tab w:val="left" w:pos="567"/>
              </w:tabs>
              <w:jc w:val="center"/>
              <w:rPr>
                <w:rFonts w:asciiTheme="minorEastAsia" w:hAnsiTheme="minorEastAsia"/>
                <w:kern w:val="0"/>
                <w:sz w:val="21"/>
                <w:szCs w:val="21"/>
              </w:rPr>
            </w:pPr>
            <w:r>
              <w:rPr>
                <w:rFonts w:asciiTheme="minorEastAsia" w:hAnsiTheme="minorEastAsia"/>
                <w:kern w:val="0"/>
                <w:sz w:val="21"/>
                <w:szCs w:val="21"/>
              </w:rPr>
              <w:t>单位简称</w:t>
            </w:r>
          </w:p>
        </w:tc>
        <w:tc>
          <w:tcPr>
            <w:tcW w:w="1622" w:type="pct"/>
            <w:shd w:val="clear" w:color="auto" w:fill="auto"/>
            <w:vAlign w:val="center"/>
          </w:tcPr>
          <w:p>
            <w:pPr>
              <w:tabs>
                <w:tab w:val="left" w:pos="567"/>
              </w:tabs>
              <w:jc w:val="center"/>
              <w:rPr>
                <w:rFonts w:asciiTheme="minorEastAsia" w:hAnsiTheme="minorEastAsia"/>
                <w:kern w:val="0"/>
                <w:sz w:val="21"/>
                <w:szCs w:val="21"/>
              </w:rPr>
            </w:pPr>
            <w:r>
              <w:rPr>
                <w:rFonts w:asciiTheme="minorEastAsia" w:hAnsiTheme="minorEastAsia"/>
                <w:kern w:val="0"/>
                <w:sz w:val="21"/>
                <w:szCs w:val="21"/>
              </w:rPr>
              <w:t>账龄组合应收账款金额</w:t>
            </w:r>
          </w:p>
        </w:tc>
        <w:tc>
          <w:tcPr>
            <w:tcW w:w="1070" w:type="pct"/>
            <w:shd w:val="clear" w:color="auto" w:fill="auto"/>
            <w:vAlign w:val="center"/>
          </w:tcPr>
          <w:p>
            <w:pPr>
              <w:tabs>
                <w:tab w:val="left" w:pos="567"/>
              </w:tabs>
              <w:jc w:val="center"/>
              <w:rPr>
                <w:rFonts w:asciiTheme="minorEastAsia" w:hAnsiTheme="minorEastAsia"/>
                <w:kern w:val="0"/>
                <w:sz w:val="21"/>
                <w:szCs w:val="21"/>
              </w:rPr>
            </w:pPr>
            <w:r>
              <w:rPr>
                <w:rFonts w:asciiTheme="minorEastAsia" w:hAnsiTheme="minorEastAsia"/>
                <w:kern w:val="0"/>
                <w:sz w:val="21"/>
                <w:szCs w:val="21"/>
              </w:rPr>
              <w:t>坏账准备</w:t>
            </w:r>
          </w:p>
        </w:tc>
        <w:tc>
          <w:tcPr>
            <w:tcW w:w="1028" w:type="pct"/>
            <w:shd w:val="clear" w:color="auto" w:fill="auto"/>
            <w:vAlign w:val="center"/>
          </w:tcPr>
          <w:p>
            <w:pPr>
              <w:tabs>
                <w:tab w:val="left" w:pos="567"/>
              </w:tabs>
              <w:jc w:val="center"/>
              <w:rPr>
                <w:rFonts w:asciiTheme="minorEastAsia" w:hAnsiTheme="minorEastAsia"/>
                <w:kern w:val="0"/>
                <w:sz w:val="21"/>
                <w:szCs w:val="21"/>
              </w:rPr>
            </w:pPr>
            <w:r>
              <w:rPr>
                <w:rFonts w:asciiTheme="minorEastAsia" w:hAnsiTheme="minorEastAsia"/>
                <w:kern w:val="0"/>
                <w:sz w:val="21"/>
                <w:szCs w:val="21"/>
              </w:rPr>
              <w:t>计提比例(%)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80" w:type="pct"/>
            <w:shd w:val="clear" w:color="auto" w:fill="auto"/>
            <w:vAlign w:val="center"/>
          </w:tcPr>
          <w:p>
            <w:pPr>
              <w:tabs>
                <w:tab w:val="left" w:pos="567"/>
              </w:tabs>
              <w:jc w:val="center"/>
              <w:rPr>
                <w:rFonts w:asciiTheme="minorEastAsia" w:hAnsiTheme="minorEastAsia"/>
                <w:color w:val="333333"/>
                <w:kern w:val="0"/>
                <w:sz w:val="21"/>
                <w:szCs w:val="21"/>
              </w:rPr>
            </w:pPr>
            <w:r>
              <w:rPr>
                <w:rFonts w:hint="eastAsia" w:asciiTheme="minorEastAsia" w:hAnsiTheme="minorEastAsia"/>
                <w:color w:val="333333"/>
                <w:kern w:val="0"/>
                <w:sz w:val="21"/>
                <w:szCs w:val="21"/>
              </w:rPr>
              <w:t>哈药股份</w:t>
            </w:r>
          </w:p>
        </w:tc>
        <w:tc>
          <w:tcPr>
            <w:tcW w:w="1622" w:type="pct"/>
            <w:shd w:val="clear" w:color="auto" w:fill="auto"/>
            <w:vAlign w:val="center"/>
          </w:tcPr>
          <w:p>
            <w:pPr>
              <w:tabs>
                <w:tab w:val="left" w:pos="567"/>
              </w:tabs>
              <w:jc w:val="right"/>
              <w:rPr>
                <w:rFonts w:asciiTheme="minorEastAsia" w:hAnsiTheme="minorEastAsia"/>
                <w:color w:val="333333"/>
                <w:kern w:val="0"/>
                <w:sz w:val="21"/>
                <w:szCs w:val="21"/>
              </w:rPr>
            </w:pPr>
            <w:r>
              <w:rPr>
                <w:rFonts w:hint="eastAsia" w:asciiTheme="minorEastAsia" w:hAnsiTheme="minorEastAsia"/>
                <w:color w:val="333333"/>
                <w:kern w:val="0"/>
                <w:sz w:val="21"/>
                <w:szCs w:val="21"/>
              </w:rPr>
              <w:t>4,382,360,556.98</w:t>
            </w:r>
          </w:p>
        </w:tc>
        <w:tc>
          <w:tcPr>
            <w:tcW w:w="1070" w:type="pct"/>
            <w:shd w:val="clear" w:color="auto" w:fill="auto"/>
            <w:vAlign w:val="center"/>
          </w:tcPr>
          <w:p>
            <w:pPr>
              <w:tabs>
                <w:tab w:val="left" w:pos="567"/>
              </w:tabs>
              <w:jc w:val="right"/>
              <w:rPr>
                <w:rFonts w:asciiTheme="minorEastAsia" w:hAnsiTheme="minorEastAsia"/>
                <w:color w:val="333333"/>
                <w:kern w:val="0"/>
                <w:sz w:val="21"/>
                <w:szCs w:val="21"/>
              </w:rPr>
            </w:pPr>
            <w:r>
              <w:rPr>
                <w:rFonts w:hint="eastAsia" w:asciiTheme="minorEastAsia" w:hAnsiTheme="minorEastAsia"/>
                <w:color w:val="333333"/>
                <w:kern w:val="0"/>
                <w:sz w:val="21"/>
                <w:szCs w:val="21"/>
              </w:rPr>
              <w:t>298,271,286.06</w:t>
            </w:r>
          </w:p>
        </w:tc>
        <w:tc>
          <w:tcPr>
            <w:tcW w:w="1028" w:type="pct"/>
            <w:shd w:val="clear" w:color="auto" w:fill="auto"/>
            <w:vAlign w:val="center"/>
          </w:tcPr>
          <w:p>
            <w:pPr>
              <w:tabs>
                <w:tab w:val="left" w:pos="567"/>
              </w:tabs>
              <w:jc w:val="center"/>
              <w:rPr>
                <w:rFonts w:asciiTheme="minorEastAsia" w:hAnsiTheme="minorEastAsia"/>
                <w:color w:val="333333"/>
                <w:kern w:val="0"/>
                <w:sz w:val="21"/>
                <w:szCs w:val="21"/>
              </w:rPr>
            </w:pPr>
            <w:r>
              <w:rPr>
                <w:rFonts w:hint="eastAsia" w:asciiTheme="minorEastAsia" w:hAnsiTheme="minorEastAsia"/>
                <w:color w:val="333333"/>
                <w:kern w:val="0"/>
                <w:sz w:val="21"/>
                <w:szCs w:val="21"/>
              </w:rP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80" w:type="pct"/>
            <w:shd w:val="clear" w:color="auto" w:fill="auto"/>
            <w:vAlign w:val="center"/>
          </w:tcPr>
          <w:p>
            <w:pPr>
              <w:tabs>
                <w:tab w:val="left" w:pos="567"/>
              </w:tabs>
              <w:jc w:val="center"/>
              <w:rPr>
                <w:rFonts w:asciiTheme="minorEastAsia" w:hAnsiTheme="minorEastAsia"/>
                <w:color w:val="333333"/>
                <w:kern w:val="0"/>
                <w:sz w:val="21"/>
                <w:szCs w:val="21"/>
              </w:rPr>
            </w:pPr>
            <w:r>
              <w:rPr>
                <w:rFonts w:hint="eastAsia" w:asciiTheme="minorEastAsia" w:hAnsiTheme="minorEastAsia"/>
                <w:color w:val="333333"/>
                <w:kern w:val="0"/>
                <w:sz w:val="21"/>
                <w:szCs w:val="21"/>
              </w:rPr>
              <w:t>白云山</w:t>
            </w:r>
          </w:p>
        </w:tc>
        <w:tc>
          <w:tcPr>
            <w:tcW w:w="1622" w:type="pct"/>
            <w:shd w:val="clear" w:color="auto" w:fill="auto"/>
            <w:vAlign w:val="center"/>
          </w:tcPr>
          <w:p>
            <w:pPr>
              <w:tabs>
                <w:tab w:val="left" w:pos="567"/>
              </w:tabs>
              <w:jc w:val="right"/>
              <w:rPr>
                <w:rFonts w:asciiTheme="minorEastAsia" w:hAnsiTheme="minorEastAsia"/>
                <w:color w:val="333333"/>
                <w:kern w:val="0"/>
                <w:sz w:val="21"/>
                <w:szCs w:val="21"/>
              </w:rPr>
            </w:pPr>
            <w:r>
              <w:rPr>
                <w:rFonts w:hint="eastAsia" w:asciiTheme="minorEastAsia" w:hAnsiTheme="minorEastAsia"/>
                <w:color w:val="333333"/>
                <w:kern w:val="0"/>
                <w:sz w:val="21"/>
                <w:szCs w:val="21"/>
              </w:rPr>
              <w:t>15,124,128,733.26</w:t>
            </w:r>
          </w:p>
        </w:tc>
        <w:tc>
          <w:tcPr>
            <w:tcW w:w="1070" w:type="pct"/>
            <w:shd w:val="clear" w:color="auto" w:fill="auto"/>
            <w:vAlign w:val="center"/>
          </w:tcPr>
          <w:p>
            <w:pPr>
              <w:tabs>
                <w:tab w:val="left" w:pos="567"/>
              </w:tabs>
              <w:jc w:val="right"/>
              <w:rPr>
                <w:rFonts w:asciiTheme="minorEastAsia" w:hAnsiTheme="minorEastAsia"/>
                <w:color w:val="333333"/>
                <w:kern w:val="0"/>
                <w:sz w:val="21"/>
                <w:szCs w:val="21"/>
              </w:rPr>
            </w:pPr>
            <w:r>
              <w:rPr>
                <w:rFonts w:hint="eastAsia" w:asciiTheme="minorEastAsia" w:hAnsiTheme="minorEastAsia"/>
                <w:color w:val="333333"/>
                <w:kern w:val="0"/>
                <w:sz w:val="21"/>
                <w:szCs w:val="21"/>
              </w:rPr>
              <w:t>290,664,087.20</w:t>
            </w:r>
          </w:p>
        </w:tc>
        <w:tc>
          <w:tcPr>
            <w:tcW w:w="1028" w:type="pct"/>
            <w:shd w:val="clear" w:color="auto" w:fill="auto"/>
            <w:vAlign w:val="center"/>
          </w:tcPr>
          <w:p>
            <w:pPr>
              <w:tabs>
                <w:tab w:val="left" w:pos="567"/>
              </w:tabs>
              <w:jc w:val="center"/>
              <w:rPr>
                <w:rFonts w:asciiTheme="minorEastAsia" w:hAnsiTheme="minorEastAsia"/>
                <w:color w:val="333333"/>
                <w:kern w:val="0"/>
                <w:sz w:val="21"/>
                <w:szCs w:val="21"/>
              </w:rPr>
            </w:pPr>
            <w:r>
              <w:rPr>
                <w:rFonts w:hint="eastAsia" w:asciiTheme="minorEastAsia" w:hAnsiTheme="minorEastAsia"/>
                <w:color w:val="333333"/>
                <w:kern w:val="0"/>
                <w:sz w:val="21"/>
                <w:szCs w:val="21"/>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80" w:type="pct"/>
            <w:shd w:val="clear" w:color="auto" w:fill="auto"/>
            <w:vAlign w:val="center"/>
          </w:tcPr>
          <w:p>
            <w:pPr>
              <w:tabs>
                <w:tab w:val="left" w:pos="567"/>
              </w:tabs>
              <w:jc w:val="center"/>
              <w:rPr>
                <w:rFonts w:asciiTheme="minorEastAsia" w:hAnsiTheme="minorEastAsia"/>
                <w:color w:val="333333"/>
                <w:kern w:val="0"/>
                <w:sz w:val="21"/>
                <w:szCs w:val="21"/>
              </w:rPr>
            </w:pPr>
            <w:r>
              <w:rPr>
                <w:rFonts w:hint="eastAsia" w:asciiTheme="minorEastAsia" w:hAnsiTheme="minorEastAsia"/>
                <w:color w:val="333333"/>
                <w:kern w:val="0"/>
                <w:sz w:val="21"/>
                <w:szCs w:val="21"/>
              </w:rPr>
              <w:t>江中药业</w:t>
            </w:r>
          </w:p>
        </w:tc>
        <w:tc>
          <w:tcPr>
            <w:tcW w:w="1622" w:type="pct"/>
            <w:shd w:val="clear" w:color="auto" w:fill="auto"/>
            <w:vAlign w:val="center"/>
          </w:tcPr>
          <w:p>
            <w:pPr>
              <w:tabs>
                <w:tab w:val="left" w:pos="567"/>
              </w:tabs>
              <w:jc w:val="right"/>
              <w:rPr>
                <w:rFonts w:asciiTheme="minorEastAsia" w:hAnsiTheme="minorEastAsia"/>
                <w:color w:val="333333"/>
                <w:kern w:val="0"/>
                <w:sz w:val="21"/>
                <w:szCs w:val="21"/>
              </w:rPr>
            </w:pPr>
            <w:r>
              <w:rPr>
                <w:rFonts w:hint="eastAsia" w:asciiTheme="minorEastAsia" w:hAnsiTheme="minorEastAsia"/>
                <w:color w:val="333333"/>
                <w:kern w:val="0"/>
                <w:sz w:val="21"/>
                <w:szCs w:val="21"/>
              </w:rPr>
              <w:t>317,551,119.44</w:t>
            </w:r>
          </w:p>
        </w:tc>
        <w:tc>
          <w:tcPr>
            <w:tcW w:w="1070" w:type="pct"/>
            <w:shd w:val="clear" w:color="auto" w:fill="auto"/>
            <w:vAlign w:val="center"/>
          </w:tcPr>
          <w:p>
            <w:pPr>
              <w:tabs>
                <w:tab w:val="left" w:pos="567"/>
              </w:tabs>
              <w:jc w:val="right"/>
              <w:rPr>
                <w:rFonts w:asciiTheme="minorEastAsia" w:hAnsiTheme="minorEastAsia"/>
                <w:color w:val="333333"/>
                <w:kern w:val="0"/>
                <w:sz w:val="21"/>
                <w:szCs w:val="21"/>
              </w:rPr>
            </w:pPr>
            <w:r>
              <w:rPr>
                <w:rFonts w:hint="eastAsia" w:asciiTheme="minorEastAsia" w:hAnsiTheme="minorEastAsia"/>
                <w:color w:val="333333"/>
                <w:kern w:val="0"/>
                <w:sz w:val="21"/>
                <w:szCs w:val="21"/>
              </w:rPr>
              <w:t>12,061,264.10</w:t>
            </w:r>
          </w:p>
        </w:tc>
        <w:tc>
          <w:tcPr>
            <w:tcW w:w="1028" w:type="pct"/>
            <w:shd w:val="clear" w:color="auto" w:fill="auto"/>
            <w:vAlign w:val="center"/>
          </w:tcPr>
          <w:p>
            <w:pPr>
              <w:tabs>
                <w:tab w:val="left" w:pos="567"/>
              </w:tabs>
              <w:jc w:val="center"/>
              <w:rPr>
                <w:rFonts w:asciiTheme="minorEastAsia" w:hAnsiTheme="minorEastAsia"/>
                <w:color w:val="333333"/>
                <w:kern w:val="0"/>
                <w:sz w:val="21"/>
                <w:szCs w:val="21"/>
              </w:rPr>
            </w:pPr>
            <w:r>
              <w:rPr>
                <w:rFonts w:hint="eastAsia" w:asciiTheme="minorEastAsia" w:hAnsiTheme="minorEastAsia"/>
                <w:color w:val="333333"/>
                <w:kern w:val="0"/>
                <w:sz w:val="21"/>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80" w:type="pct"/>
            <w:shd w:val="clear" w:color="auto" w:fill="auto"/>
            <w:vAlign w:val="center"/>
          </w:tcPr>
          <w:p>
            <w:pPr>
              <w:tabs>
                <w:tab w:val="left" w:pos="567"/>
              </w:tabs>
              <w:jc w:val="center"/>
              <w:rPr>
                <w:rFonts w:asciiTheme="minorEastAsia" w:hAnsiTheme="minorEastAsia"/>
                <w:color w:val="333333"/>
                <w:kern w:val="0"/>
                <w:sz w:val="21"/>
                <w:szCs w:val="21"/>
              </w:rPr>
            </w:pPr>
            <w:r>
              <w:rPr>
                <w:rFonts w:hint="eastAsia" w:asciiTheme="minorEastAsia" w:hAnsiTheme="minorEastAsia"/>
                <w:color w:val="333333"/>
                <w:kern w:val="0"/>
                <w:sz w:val="21"/>
                <w:szCs w:val="21"/>
              </w:rPr>
              <w:t>华润双鹤</w:t>
            </w:r>
          </w:p>
        </w:tc>
        <w:tc>
          <w:tcPr>
            <w:tcW w:w="1622" w:type="pct"/>
            <w:shd w:val="clear" w:color="auto" w:fill="auto"/>
            <w:vAlign w:val="center"/>
          </w:tcPr>
          <w:p>
            <w:pPr>
              <w:tabs>
                <w:tab w:val="left" w:pos="567"/>
              </w:tabs>
              <w:jc w:val="right"/>
              <w:rPr>
                <w:rFonts w:asciiTheme="minorEastAsia" w:hAnsiTheme="minorEastAsia"/>
                <w:color w:val="333333"/>
                <w:kern w:val="0"/>
                <w:sz w:val="21"/>
                <w:szCs w:val="21"/>
              </w:rPr>
            </w:pPr>
            <w:r>
              <w:rPr>
                <w:rFonts w:hint="eastAsia" w:asciiTheme="minorEastAsia" w:hAnsiTheme="minorEastAsia"/>
                <w:color w:val="333333"/>
                <w:kern w:val="0"/>
                <w:sz w:val="21"/>
                <w:szCs w:val="21"/>
              </w:rPr>
              <w:t>1,379,383,853.81</w:t>
            </w:r>
          </w:p>
        </w:tc>
        <w:tc>
          <w:tcPr>
            <w:tcW w:w="1070" w:type="pct"/>
            <w:shd w:val="clear" w:color="auto" w:fill="auto"/>
            <w:vAlign w:val="center"/>
          </w:tcPr>
          <w:p>
            <w:pPr>
              <w:tabs>
                <w:tab w:val="left" w:pos="567"/>
              </w:tabs>
              <w:jc w:val="right"/>
              <w:rPr>
                <w:rFonts w:asciiTheme="minorEastAsia" w:hAnsiTheme="minorEastAsia"/>
                <w:color w:val="333333"/>
                <w:kern w:val="0"/>
                <w:sz w:val="21"/>
                <w:szCs w:val="21"/>
              </w:rPr>
            </w:pPr>
            <w:r>
              <w:rPr>
                <w:rFonts w:hint="eastAsia" w:asciiTheme="minorEastAsia" w:hAnsiTheme="minorEastAsia"/>
                <w:color w:val="333333"/>
                <w:kern w:val="0"/>
                <w:sz w:val="21"/>
                <w:szCs w:val="21"/>
              </w:rPr>
              <w:t>91,905,137.28</w:t>
            </w:r>
          </w:p>
        </w:tc>
        <w:tc>
          <w:tcPr>
            <w:tcW w:w="1028" w:type="pct"/>
            <w:shd w:val="clear" w:color="auto" w:fill="auto"/>
            <w:vAlign w:val="center"/>
          </w:tcPr>
          <w:p>
            <w:pPr>
              <w:tabs>
                <w:tab w:val="left" w:pos="567"/>
              </w:tabs>
              <w:jc w:val="center"/>
              <w:rPr>
                <w:rFonts w:asciiTheme="minorEastAsia" w:hAnsiTheme="minorEastAsia"/>
                <w:color w:val="333333"/>
                <w:kern w:val="0"/>
                <w:sz w:val="21"/>
                <w:szCs w:val="21"/>
              </w:rPr>
            </w:pPr>
            <w:r>
              <w:rPr>
                <w:rFonts w:hint="eastAsia" w:asciiTheme="minorEastAsia" w:hAnsiTheme="minorEastAsia"/>
                <w:color w:val="333333"/>
                <w:kern w:val="0"/>
                <w:sz w:val="21"/>
                <w:szCs w:val="21"/>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280" w:type="pct"/>
            <w:shd w:val="clear" w:color="auto" w:fill="auto"/>
            <w:vAlign w:val="center"/>
          </w:tcPr>
          <w:p>
            <w:pPr>
              <w:tabs>
                <w:tab w:val="left" w:pos="567"/>
              </w:tabs>
              <w:jc w:val="center"/>
              <w:rPr>
                <w:rFonts w:asciiTheme="minorEastAsia" w:hAnsiTheme="minorEastAsia"/>
                <w:color w:val="333333"/>
                <w:kern w:val="0"/>
                <w:sz w:val="21"/>
                <w:szCs w:val="21"/>
              </w:rPr>
            </w:pPr>
            <w:r>
              <w:rPr>
                <w:rFonts w:hint="eastAsia" w:asciiTheme="minorEastAsia" w:hAnsiTheme="minorEastAsia"/>
                <w:color w:val="333333"/>
                <w:kern w:val="0"/>
                <w:sz w:val="21"/>
                <w:szCs w:val="21"/>
              </w:rPr>
              <w:t>西藏药业</w:t>
            </w:r>
          </w:p>
        </w:tc>
        <w:tc>
          <w:tcPr>
            <w:tcW w:w="1622" w:type="pct"/>
            <w:shd w:val="clear" w:color="auto" w:fill="auto"/>
            <w:vAlign w:val="center"/>
          </w:tcPr>
          <w:p>
            <w:pPr>
              <w:tabs>
                <w:tab w:val="left" w:pos="567"/>
              </w:tabs>
              <w:jc w:val="right"/>
              <w:rPr>
                <w:rFonts w:asciiTheme="minorEastAsia" w:hAnsiTheme="minorEastAsia"/>
                <w:color w:val="333333"/>
                <w:kern w:val="0"/>
                <w:sz w:val="21"/>
                <w:szCs w:val="21"/>
              </w:rPr>
            </w:pPr>
            <w:r>
              <w:rPr>
                <w:rFonts w:hint="eastAsia" w:asciiTheme="minorEastAsia" w:hAnsiTheme="minorEastAsia"/>
                <w:color w:val="333333"/>
                <w:kern w:val="0"/>
                <w:sz w:val="21"/>
                <w:szCs w:val="21"/>
              </w:rPr>
              <w:t>446,989,106.48</w:t>
            </w:r>
          </w:p>
        </w:tc>
        <w:tc>
          <w:tcPr>
            <w:tcW w:w="1070" w:type="pct"/>
            <w:shd w:val="clear" w:color="auto" w:fill="auto"/>
            <w:vAlign w:val="center"/>
          </w:tcPr>
          <w:p>
            <w:pPr>
              <w:tabs>
                <w:tab w:val="left" w:pos="567"/>
              </w:tabs>
              <w:jc w:val="right"/>
              <w:rPr>
                <w:rFonts w:asciiTheme="minorEastAsia" w:hAnsiTheme="minorEastAsia"/>
                <w:color w:val="333333"/>
                <w:kern w:val="0"/>
                <w:sz w:val="21"/>
                <w:szCs w:val="21"/>
              </w:rPr>
            </w:pPr>
            <w:r>
              <w:rPr>
                <w:rFonts w:hint="eastAsia" w:asciiTheme="minorEastAsia" w:hAnsiTheme="minorEastAsia"/>
                <w:color w:val="333333"/>
                <w:kern w:val="0"/>
                <w:sz w:val="21"/>
                <w:szCs w:val="21"/>
              </w:rPr>
              <w:t>246,071.64</w:t>
            </w:r>
          </w:p>
        </w:tc>
        <w:tc>
          <w:tcPr>
            <w:tcW w:w="1028" w:type="pct"/>
            <w:shd w:val="clear" w:color="auto" w:fill="auto"/>
            <w:vAlign w:val="center"/>
          </w:tcPr>
          <w:p>
            <w:pPr>
              <w:tabs>
                <w:tab w:val="left" w:pos="567"/>
              </w:tabs>
              <w:jc w:val="center"/>
              <w:rPr>
                <w:rFonts w:asciiTheme="minorEastAsia" w:hAnsiTheme="minorEastAsia"/>
                <w:color w:val="333333"/>
                <w:kern w:val="0"/>
                <w:sz w:val="21"/>
                <w:szCs w:val="21"/>
              </w:rPr>
            </w:pPr>
            <w:r>
              <w:rPr>
                <w:rFonts w:hint="eastAsia" w:asciiTheme="minorEastAsia" w:hAnsiTheme="minorEastAsia"/>
                <w:color w:val="333333"/>
                <w:kern w:val="0"/>
                <w:sz w:val="21"/>
                <w:szCs w:val="21"/>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80" w:type="pct"/>
            <w:shd w:val="clear" w:color="auto" w:fill="auto"/>
            <w:vAlign w:val="center"/>
          </w:tcPr>
          <w:p>
            <w:pPr>
              <w:tabs>
                <w:tab w:val="left" w:pos="567"/>
              </w:tabs>
              <w:jc w:val="center"/>
              <w:rPr>
                <w:rFonts w:asciiTheme="minorEastAsia" w:hAnsiTheme="minorEastAsia"/>
                <w:kern w:val="0"/>
                <w:sz w:val="21"/>
                <w:szCs w:val="21"/>
              </w:rPr>
            </w:pPr>
            <w:r>
              <w:rPr>
                <w:rFonts w:hint="eastAsia" w:asciiTheme="minorEastAsia" w:hAnsiTheme="minorEastAsia"/>
                <w:color w:val="000000"/>
                <w:kern w:val="0"/>
                <w:sz w:val="21"/>
                <w:szCs w:val="21"/>
              </w:rPr>
              <w:t>平均值</w:t>
            </w:r>
          </w:p>
        </w:tc>
        <w:tc>
          <w:tcPr>
            <w:tcW w:w="1622" w:type="pct"/>
            <w:shd w:val="clear" w:color="auto" w:fill="auto"/>
            <w:vAlign w:val="center"/>
          </w:tcPr>
          <w:p>
            <w:pPr>
              <w:tabs>
                <w:tab w:val="left" w:pos="567"/>
              </w:tabs>
              <w:jc w:val="right"/>
              <w:rPr>
                <w:rFonts w:asciiTheme="minorEastAsia" w:hAnsiTheme="minorEastAsia"/>
                <w:kern w:val="0"/>
                <w:sz w:val="21"/>
                <w:szCs w:val="21"/>
              </w:rPr>
            </w:pPr>
          </w:p>
        </w:tc>
        <w:tc>
          <w:tcPr>
            <w:tcW w:w="1070" w:type="pct"/>
            <w:shd w:val="clear" w:color="auto" w:fill="auto"/>
            <w:vAlign w:val="center"/>
          </w:tcPr>
          <w:p>
            <w:pPr>
              <w:tabs>
                <w:tab w:val="left" w:pos="567"/>
              </w:tabs>
              <w:jc w:val="right"/>
              <w:rPr>
                <w:rFonts w:asciiTheme="minorEastAsia" w:hAnsiTheme="minorEastAsia"/>
                <w:kern w:val="0"/>
                <w:sz w:val="21"/>
                <w:szCs w:val="21"/>
              </w:rPr>
            </w:pPr>
          </w:p>
        </w:tc>
        <w:tc>
          <w:tcPr>
            <w:tcW w:w="1028" w:type="pct"/>
            <w:shd w:val="clear" w:color="auto" w:fill="auto"/>
            <w:vAlign w:val="center"/>
          </w:tcPr>
          <w:p>
            <w:pPr>
              <w:tabs>
                <w:tab w:val="left" w:pos="567"/>
              </w:tabs>
              <w:jc w:val="center"/>
              <w:rPr>
                <w:rFonts w:asciiTheme="minorEastAsia" w:hAnsiTheme="minorEastAsia"/>
                <w:kern w:val="0"/>
                <w:sz w:val="21"/>
                <w:szCs w:val="21"/>
              </w:rPr>
            </w:pPr>
            <w:r>
              <w:rPr>
                <w:rFonts w:asciiTheme="minorEastAsia" w:hAnsiTheme="minorEastAsia"/>
                <w:color w:val="333333"/>
                <w:kern w:val="0"/>
                <w:sz w:val="21"/>
                <w:szCs w:val="21"/>
              </w:rPr>
              <w:t>3</w:t>
            </w:r>
            <w:r>
              <w:rPr>
                <w:rFonts w:hint="eastAsia" w:asciiTheme="minorEastAsia" w:hAnsiTheme="minorEastAsia"/>
                <w:color w:val="333333"/>
                <w:kern w:val="0"/>
                <w:sz w:val="21"/>
                <w:szCs w:val="21"/>
              </w:rPr>
              <w:t>.</w:t>
            </w:r>
            <w:r>
              <w:rPr>
                <w:rFonts w:asciiTheme="minorEastAsia" w:hAnsiTheme="minorEastAsia"/>
                <w:color w:val="333333"/>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80" w:type="pct"/>
            <w:shd w:val="clear" w:color="auto" w:fill="auto"/>
            <w:vAlign w:val="center"/>
          </w:tcPr>
          <w:p>
            <w:pPr>
              <w:tabs>
                <w:tab w:val="left" w:pos="567"/>
              </w:tabs>
              <w:jc w:val="center"/>
              <w:rPr>
                <w:rFonts w:asciiTheme="minorEastAsia" w:hAnsiTheme="minorEastAsia"/>
                <w:kern w:val="0"/>
                <w:sz w:val="21"/>
                <w:szCs w:val="21"/>
              </w:rPr>
            </w:pPr>
            <w:r>
              <w:rPr>
                <w:rFonts w:asciiTheme="minorEastAsia" w:hAnsiTheme="minorEastAsia"/>
                <w:color w:val="000000"/>
                <w:kern w:val="0"/>
                <w:sz w:val="21"/>
                <w:szCs w:val="21"/>
              </w:rPr>
              <w:t>江苏吴中</w:t>
            </w:r>
          </w:p>
        </w:tc>
        <w:tc>
          <w:tcPr>
            <w:tcW w:w="1622" w:type="pct"/>
            <w:shd w:val="clear" w:color="auto" w:fill="auto"/>
            <w:vAlign w:val="center"/>
          </w:tcPr>
          <w:p>
            <w:pPr>
              <w:tabs>
                <w:tab w:val="left" w:pos="567"/>
              </w:tabs>
              <w:jc w:val="right"/>
              <w:rPr>
                <w:rFonts w:asciiTheme="minorEastAsia" w:hAnsiTheme="minorEastAsia"/>
                <w:kern w:val="0"/>
                <w:sz w:val="21"/>
                <w:szCs w:val="21"/>
              </w:rPr>
            </w:pPr>
            <w:r>
              <w:rPr>
                <w:rFonts w:asciiTheme="minorEastAsia" w:hAnsiTheme="minorEastAsia"/>
                <w:color w:val="333333"/>
                <w:kern w:val="0"/>
                <w:sz w:val="21"/>
                <w:szCs w:val="21"/>
              </w:rPr>
              <w:t>870,178,290.08</w:t>
            </w:r>
          </w:p>
        </w:tc>
        <w:tc>
          <w:tcPr>
            <w:tcW w:w="1070" w:type="pct"/>
            <w:shd w:val="clear" w:color="auto" w:fill="auto"/>
            <w:vAlign w:val="center"/>
          </w:tcPr>
          <w:p>
            <w:pPr>
              <w:tabs>
                <w:tab w:val="left" w:pos="567"/>
              </w:tabs>
              <w:jc w:val="right"/>
              <w:rPr>
                <w:rFonts w:asciiTheme="minorEastAsia" w:hAnsiTheme="minorEastAsia"/>
                <w:kern w:val="0"/>
                <w:sz w:val="21"/>
                <w:szCs w:val="21"/>
              </w:rPr>
            </w:pPr>
            <w:r>
              <w:rPr>
                <w:rFonts w:asciiTheme="minorEastAsia" w:hAnsiTheme="minorEastAsia"/>
                <w:color w:val="333333"/>
                <w:kern w:val="0"/>
                <w:sz w:val="21"/>
                <w:szCs w:val="21"/>
              </w:rPr>
              <w:t>10,862,347.26</w:t>
            </w:r>
          </w:p>
        </w:tc>
        <w:tc>
          <w:tcPr>
            <w:tcW w:w="1028" w:type="pct"/>
            <w:shd w:val="clear" w:color="auto" w:fill="auto"/>
            <w:vAlign w:val="center"/>
          </w:tcPr>
          <w:p>
            <w:pPr>
              <w:tabs>
                <w:tab w:val="left" w:pos="567"/>
              </w:tabs>
              <w:jc w:val="center"/>
              <w:rPr>
                <w:rFonts w:asciiTheme="minorEastAsia" w:hAnsiTheme="minorEastAsia"/>
                <w:kern w:val="0"/>
                <w:sz w:val="21"/>
                <w:szCs w:val="21"/>
              </w:rPr>
            </w:pPr>
            <w:r>
              <w:rPr>
                <w:rFonts w:asciiTheme="minorEastAsia" w:hAnsiTheme="minorEastAsia"/>
                <w:color w:val="333333"/>
                <w:kern w:val="0"/>
                <w:sz w:val="21"/>
                <w:szCs w:val="21"/>
              </w:rPr>
              <w:t>1.25</w:t>
            </w:r>
          </w:p>
        </w:tc>
      </w:tr>
    </w:tbl>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由上表，已公告行业内上市公司应收账款坏账比例</w:t>
      </w:r>
      <w:r>
        <w:rPr>
          <w:rFonts w:hint="eastAsia" w:asciiTheme="minorEastAsia" w:hAnsiTheme="minorEastAsia"/>
          <w:sz w:val="24"/>
          <w:szCs w:val="24"/>
        </w:rPr>
        <w:t>平均值</w:t>
      </w:r>
      <w:r>
        <w:rPr>
          <w:rFonts w:asciiTheme="minorEastAsia" w:hAnsiTheme="minorEastAsia"/>
          <w:sz w:val="24"/>
          <w:szCs w:val="24"/>
        </w:rPr>
        <w:t>为3</w:t>
      </w:r>
      <w:r>
        <w:rPr>
          <w:rFonts w:hint="eastAsia" w:asciiTheme="minorEastAsia" w:hAnsiTheme="minorEastAsia"/>
          <w:sz w:val="24"/>
          <w:szCs w:val="24"/>
        </w:rPr>
        <w:t>.</w:t>
      </w:r>
      <w:r>
        <w:rPr>
          <w:rFonts w:asciiTheme="minorEastAsia" w:hAnsiTheme="minorEastAsia"/>
          <w:sz w:val="24"/>
          <w:szCs w:val="24"/>
        </w:rPr>
        <w:t>20%，本公司坏账比例低于</w:t>
      </w:r>
      <w:r>
        <w:rPr>
          <w:rFonts w:hint="eastAsia" w:asciiTheme="minorEastAsia" w:hAnsiTheme="minorEastAsia"/>
          <w:sz w:val="24"/>
          <w:szCs w:val="24"/>
        </w:rPr>
        <w:t>平均</w:t>
      </w:r>
      <w:r>
        <w:rPr>
          <w:rFonts w:asciiTheme="minorEastAsia" w:hAnsiTheme="minorEastAsia"/>
          <w:sz w:val="24"/>
          <w:szCs w:val="24"/>
        </w:rPr>
        <w:t>值，</w:t>
      </w:r>
      <w:r>
        <w:rPr>
          <w:rFonts w:hint="eastAsia" w:asciiTheme="minorEastAsia" w:hAnsiTheme="minorEastAsia"/>
          <w:sz w:val="24"/>
          <w:szCs w:val="24"/>
        </w:rPr>
        <w:t>主要系本公司坏账比例较低的信用期余额占比较高（占比为9</w:t>
      </w:r>
      <w:r>
        <w:rPr>
          <w:rFonts w:asciiTheme="minorEastAsia" w:hAnsiTheme="minorEastAsia"/>
          <w:sz w:val="24"/>
          <w:szCs w:val="24"/>
        </w:rPr>
        <w:t>0</w:t>
      </w:r>
      <w:r>
        <w:rPr>
          <w:rFonts w:hint="eastAsia" w:asciiTheme="minorEastAsia" w:hAnsiTheme="minorEastAsia"/>
          <w:sz w:val="24"/>
          <w:szCs w:val="24"/>
        </w:rPr>
        <w:t>.</w:t>
      </w:r>
      <w:r>
        <w:rPr>
          <w:rFonts w:asciiTheme="minorEastAsia" w:hAnsiTheme="minorEastAsia"/>
          <w:sz w:val="24"/>
          <w:szCs w:val="24"/>
        </w:rPr>
        <w:t>28</w:t>
      </w:r>
      <w:r>
        <w:rPr>
          <w:rFonts w:hint="eastAsia" w:asciiTheme="minorEastAsia" w:hAnsiTheme="minorEastAsia"/>
          <w:sz w:val="24"/>
          <w:szCs w:val="24"/>
        </w:rPr>
        <w:t>%），</w:t>
      </w:r>
      <w:r>
        <w:rPr>
          <w:rFonts w:asciiTheme="minorEastAsia" w:hAnsiTheme="minorEastAsia"/>
          <w:sz w:val="24"/>
          <w:szCs w:val="24"/>
        </w:rPr>
        <w:t>与同行业公司整体水平不存在较大差异。</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公司执行新金融工具准则后，对下属各个主体的预期信用损失率根据历史数据进行了严格的测算，并充分考虑了影响未来信用损失的前瞻性调整因素，符合企业会计准则相关规定。</w:t>
      </w:r>
    </w:p>
    <w:p>
      <w:pPr>
        <w:tabs>
          <w:tab w:val="left" w:pos="567"/>
        </w:tabs>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会计师核查意见：</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会计师</w:t>
      </w:r>
      <w:r>
        <w:rPr>
          <w:rFonts w:asciiTheme="minorEastAsia" w:hAnsiTheme="minorEastAsia"/>
          <w:sz w:val="24"/>
          <w:szCs w:val="24"/>
        </w:rPr>
        <w:t>对江苏吴中2022年度财务报表审计过程中针对应收账款减值实施的审计程序主要包括：</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1</w:t>
      </w:r>
      <w:r>
        <w:rPr>
          <w:rFonts w:hint="eastAsia" w:asciiTheme="minorEastAsia" w:hAnsiTheme="minorEastAsia"/>
          <w:sz w:val="24"/>
          <w:szCs w:val="24"/>
        </w:rPr>
        <w:t>、</w:t>
      </w:r>
      <w:r>
        <w:rPr>
          <w:rFonts w:asciiTheme="minorEastAsia" w:hAnsiTheme="minorEastAsia"/>
          <w:sz w:val="24"/>
          <w:szCs w:val="24"/>
        </w:rPr>
        <w:t>了解与应收账款减值相关的关键内部控制，评价这些控制的设计，确定其是否得到执行，并测试相关内部控制的运行有效性；</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w:t>
      </w:r>
      <w:r>
        <w:rPr>
          <w:rFonts w:hint="eastAsia" w:asciiTheme="minorEastAsia" w:hAnsiTheme="minorEastAsia"/>
          <w:sz w:val="24"/>
          <w:szCs w:val="24"/>
        </w:rPr>
        <w:t>、</w:t>
      </w:r>
      <w:r>
        <w:rPr>
          <w:rFonts w:asciiTheme="minorEastAsia" w:hAnsiTheme="minorEastAsia"/>
          <w:sz w:val="24"/>
          <w:szCs w:val="24"/>
        </w:rPr>
        <w:t>复核以前年度已计提坏账准备的应收账款的后续实际核销或转回情况，评价管理层过往预测的准确性；</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3</w:t>
      </w:r>
      <w:r>
        <w:rPr>
          <w:rFonts w:hint="eastAsia" w:asciiTheme="minorEastAsia" w:hAnsiTheme="minorEastAsia"/>
          <w:sz w:val="24"/>
          <w:szCs w:val="24"/>
        </w:rPr>
        <w:t>、</w:t>
      </w:r>
      <w:r>
        <w:rPr>
          <w:rFonts w:asciiTheme="minorEastAsia" w:hAnsiTheme="minorEastAsia"/>
          <w:sz w:val="24"/>
          <w:szCs w:val="24"/>
        </w:rPr>
        <w:t>复核管理层对应收账款进行信用风险评估的相关考虑和客观证据，评价管理层是否恰当识别各项应收账款的信用风险特征；</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4</w:t>
      </w:r>
      <w:r>
        <w:rPr>
          <w:rFonts w:hint="eastAsia" w:asciiTheme="minorEastAsia" w:hAnsiTheme="minorEastAsia"/>
          <w:sz w:val="24"/>
          <w:szCs w:val="24"/>
        </w:rPr>
        <w:t>、</w:t>
      </w:r>
      <w:r>
        <w:rPr>
          <w:rFonts w:asciiTheme="minorEastAsia" w:hAnsiTheme="minorEastAsia"/>
          <w:sz w:val="24"/>
          <w:szCs w:val="24"/>
        </w:rPr>
        <w:t>对于以单项为基础计量预期信用损失的应收账款，获取并检查管理层对预期收取现金流量的预测，评价在预测中使用的关键假设的合理性和数据的准确性，并与获取的外部证据进行核对；</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5</w:t>
      </w:r>
      <w:r>
        <w:rPr>
          <w:rFonts w:hint="eastAsia" w:asciiTheme="minorEastAsia" w:hAnsiTheme="minorEastAsia"/>
          <w:sz w:val="24"/>
          <w:szCs w:val="24"/>
        </w:rPr>
        <w:t>、</w:t>
      </w:r>
      <w:r>
        <w:rPr>
          <w:rFonts w:asciiTheme="minorEastAsia" w:hAnsiTheme="minorEastAsia"/>
          <w:sz w:val="24"/>
          <w:szCs w:val="24"/>
        </w:rPr>
        <w:t>对于采用组合为基础计量预期信用损失的应收账款，评价管理层按信用风险特征划分组合的合理性；评价管理层根据历史信用损失经验及前瞻性估计确定的应收账款账龄与预期信用损失率对照表的合理性；测试管理层使用数据的准确性和完整性以及对坏账准备的计算是否准确；</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6</w:t>
      </w:r>
      <w:r>
        <w:rPr>
          <w:rFonts w:hint="eastAsia" w:asciiTheme="minorEastAsia" w:hAnsiTheme="minorEastAsia"/>
          <w:sz w:val="24"/>
          <w:szCs w:val="24"/>
        </w:rPr>
        <w:t>、</w:t>
      </w:r>
      <w:r>
        <w:rPr>
          <w:rFonts w:asciiTheme="minorEastAsia" w:hAnsiTheme="minorEastAsia"/>
          <w:sz w:val="24"/>
          <w:szCs w:val="24"/>
        </w:rPr>
        <w:t>检查与应收账款减值相关的信息是否已在财务报表中作出恰当列报。</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经核查，会计师认为：</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（1）公司应收账款占比较高符合公司实际经营情况，具备商业合理性；</w:t>
      </w:r>
    </w:p>
    <w:p>
      <w:pPr>
        <w:tabs>
          <w:tab w:val="left" w:pos="567"/>
        </w:tabs>
        <w:spacing w:line="360" w:lineRule="auto"/>
        <w:ind w:firstLine="480" w:firstLineChars="200"/>
        <w:rPr>
          <w:rFonts w:asciiTheme="minorEastAsia" w:hAnsiTheme="minorEastAsia"/>
          <w:sz w:val="24"/>
          <w:szCs w:val="24"/>
        </w:rPr>
      </w:pPr>
      <w:bookmarkStart w:id="2" w:name="_GoBack"/>
      <w:bookmarkEnd w:id="2"/>
      <w:r>
        <w:rPr>
          <w:rFonts w:hint="eastAsia" w:asciiTheme="minorEastAsia" w:hAnsiTheme="minorEastAsia"/>
          <w:sz w:val="24"/>
          <w:szCs w:val="24"/>
        </w:rPr>
        <w:t>（2）公司本期坏账计提同比减少系信用期内余额增加8%左右导致，预计信用减值损失计算过程符合会计准则相关规定，未见计提不充分的情形。</w:t>
      </w:r>
    </w:p>
    <w:p>
      <w:pPr>
        <w:tabs>
          <w:tab w:val="left" w:pos="567"/>
        </w:tabs>
        <w:spacing w:line="360" w:lineRule="auto"/>
        <w:ind w:firstLine="482" w:firstLineChars="200"/>
        <w:outlineLvl w:val="0"/>
        <w:rPr>
          <w:rFonts w:asciiTheme="minorEastAsia" w:hAnsiTheme="minorEastAsia"/>
          <w:b/>
          <w:sz w:val="24"/>
          <w:szCs w:val="24"/>
        </w:rPr>
      </w:pPr>
    </w:p>
    <w:p>
      <w:pPr>
        <w:tabs>
          <w:tab w:val="left" w:pos="567"/>
        </w:tabs>
        <w:spacing w:line="360" w:lineRule="auto"/>
        <w:ind w:firstLine="482" w:firstLineChars="200"/>
        <w:outlineLvl w:val="0"/>
        <w:rPr>
          <w:rFonts w:asciiTheme="minorEastAsia" w:hAnsiTheme="minorEastAsia"/>
          <w:b/>
          <w:sz w:val="24"/>
          <w:szCs w:val="24"/>
        </w:rPr>
      </w:pPr>
      <w:r>
        <w:rPr>
          <w:rFonts w:asciiTheme="minorEastAsia" w:hAnsiTheme="minorEastAsia"/>
          <w:b/>
          <w:sz w:val="24"/>
          <w:szCs w:val="24"/>
        </w:rPr>
        <w:t>七、根据公司前期公告，公司2022年度审计机构由中汇会计师事务所变更为中兴财光华会计师事务所，变更原因为为适应公司业务发展和未来审计的需要。</w:t>
      </w:r>
    </w:p>
    <w:p>
      <w:pPr>
        <w:tabs>
          <w:tab w:val="left" w:pos="567"/>
        </w:tabs>
        <w:spacing w:line="360" w:lineRule="auto"/>
        <w:ind w:firstLine="482" w:firstLineChars="200"/>
        <w:rPr>
          <w:rFonts w:asciiTheme="minorEastAsia" w:hAnsiTheme="minorEastAsia"/>
          <w:b/>
          <w:sz w:val="24"/>
          <w:szCs w:val="24"/>
        </w:rPr>
      </w:pPr>
      <w:r>
        <w:rPr>
          <w:rFonts w:asciiTheme="minorEastAsia" w:hAnsiTheme="minorEastAsia"/>
          <w:b/>
          <w:sz w:val="24"/>
          <w:szCs w:val="24"/>
        </w:rPr>
        <w:t>请公司补充披露：(</w:t>
      </w:r>
      <w:r>
        <w:rPr>
          <w:rFonts w:hint="eastAsia" w:asciiTheme="minorEastAsia" w:hAnsiTheme="minorEastAsia"/>
          <w:b/>
          <w:sz w:val="24"/>
          <w:szCs w:val="24"/>
        </w:rPr>
        <w:t>一</w:t>
      </w:r>
      <w:r>
        <w:rPr>
          <w:rFonts w:asciiTheme="minorEastAsia" w:hAnsiTheme="minorEastAsia"/>
          <w:b/>
          <w:sz w:val="24"/>
          <w:szCs w:val="24"/>
        </w:rPr>
        <w:t>)公司业务发展和审计需要与更换会计师事务所的因果关系；(</w:t>
      </w:r>
      <w:r>
        <w:rPr>
          <w:rFonts w:hint="eastAsia" w:asciiTheme="minorEastAsia" w:hAnsiTheme="minorEastAsia"/>
          <w:b/>
          <w:sz w:val="24"/>
          <w:szCs w:val="24"/>
        </w:rPr>
        <w:t>二</w:t>
      </w:r>
      <w:r>
        <w:rPr>
          <w:rFonts w:asciiTheme="minorEastAsia" w:hAnsiTheme="minorEastAsia"/>
          <w:b/>
          <w:sz w:val="24"/>
          <w:szCs w:val="24"/>
        </w:rPr>
        <w:t>)公司是否与前任会计师事务所就相关事项存在重大分歧。请现任会计师说明与前任审计机构的沟通情况，明确相关程序是否符合审计准则的相关要求，并说明对上市公司开展年度审计工作计划、时间安排及年报中列示的关键审计程序的实际执行情况。</w:t>
      </w:r>
    </w:p>
    <w:p>
      <w:pPr>
        <w:tabs>
          <w:tab w:val="left" w:pos="567"/>
        </w:tabs>
        <w:spacing w:line="360" w:lineRule="auto"/>
        <w:ind w:firstLine="482" w:firstLineChars="200"/>
        <w:rPr>
          <w:rFonts w:asciiTheme="minorEastAsia" w:hAnsiTheme="minorEastAsia"/>
          <w:b/>
          <w:sz w:val="24"/>
          <w:szCs w:val="24"/>
        </w:rPr>
      </w:pPr>
      <w:r>
        <w:rPr>
          <w:rFonts w:hint="eastAsia" w:asciiTheme="minorEastAsia" w:hAnsiTheme="minorEastAsia"/>
          <w:b/>
          <w:sz w:val="24"/>
          <w:szCs w:val="24"/>
        </w:rPr>
        <w:t>公司回复：</w:t>
      </w:r>
    </w:p>
    <w:p>
      <w:pPr>
        <w:tabs>
          <w:tab w:val="left" w:pos="567"/>
        </w:tabs>
        <w:spacing w:line="360" w:lineRule="auto"/>
        <w:ind w:firstLine="482" w:firstLineChars="200"/>
        <w:outlineLvl w:val="1"/>
        <w:rPr>
          <w:rFonts w:asciiTheme="minorEastAsia" w:hAnsiTheme="minorEastAsia"/>
          <w:b/>
          <w:sz w:val="24"/>
          <w:szCs w:val="24"/>
        </w:rPr>
      </w:pPr>
      <w:r>
        <w:rPr>
          <w:rFonts w:asciiTheme="minorEastAsia" w:hAnsiTheme="minorEastAsia"/>
          <w:b/>
          <w:sz w:val="24"/>
          <w:szCs w:val="24"/>
        </w:rPr>
        <w:t>(</w:t>
      </w:r>
      <w:r>
        <w:rPr>
          <w:rFonts w:hint="eastAsia" w:asciiTheme="minorEastAsia" w:hAnsiTheme="minorEastAsia"/>
          <w:b/>
          <w:sz w:val="24"/>
          <w:szCs w:val="24"/>
        </w:rPr>
        <w:t>一</w:t>
      </w:r>
      <w:r>
        <w:rPr>
          <w:rFonts w:asciiTheme="minorEastAsia" w:hAnsiTheme="minorEastAsia"/>
          <w:b/>
          <w:sz w:val="24"/>
          <w:szCs w:val="24"/>
        </w:rPr>
        <w:t>)公司业务发展和审计需要与更换会计师事务所的因果关系</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022</w:t>
      </w:r>
      <w:r>
        <w:rPr>
          <w:rFonts w:hint="eastAsia" w:asciiTheme="minorEastAsia" w:hAnsiTheme="minorEastAsia"/>
          <w:sz w:val="24"/>
          <w:szCs w:val="24"/>
        </w:rPr>
        <w:t>年度更换会计师的主要原因有以下两方面：</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1、定增的进度和配合度方面</w:t>
      </w:r>
      <w:r>
        <w:rPr>
          <w:rFonts w:hint="eastAsia" w:asciiTheme="minorEastAsia" w:hAnsiTheme="minorEastAsia"/>
          <w:sz w:val="24"/>
          <w:szCs w:val="24"/>
        </w:rPr>
        <w:t>。</w:t>
      </w:r>
      <w:r>
        <w:rPr>
          <w:rFonts w:asciiTheme="minorEastAsia" w:hAnsiTheme="minorEastAsia"/>
          <w:sz w:val="24"/>
          <w:szCs w:val="24"/>
        </w:rPr>
        <w:t>公司目前正在开展向特定对象发行A股股票事项，且计划以2022年年度报告和2023年一季报数据为基准进行申报，要求会计师事务所配合度相对较高，前任会计师事务所服务的上市公司家数较多，在年报审计期间再增加定增项目相关工作，</w:t>
      </w:r>
      <w:r>
        <w:rPr>
          <w:rFonts w:hint="eastAsia" w:asciiTheme="minorEastAsia" w:hAnsiTheme="minorEastAsia"/>
          <w:sz w:val="24"/>
          <w:szCs w:val="24"/>
        </w:rPr>
        <w:t>人力资源及时间安排上无法保证充足的服务投入</w:t>
      </w:r>
      <w:r>
        <w:rPr>
          <w:rFonts w:asciiTheme="minorEastAsia" w:hAnsiTheme="minorEastAsia"/>
          <w:sz w:val="24"/>
          <w:szCs w:val="24"/>
        </w:rPr>
        <w:t>，服务质量很难得到</w:t>
      </w:r>
      <w:r>
        <w:rPr>
          <w:rFonts w:hint="eastAsia" w:asciiTheme="minorEastAsia" w:hAnsiTheme="minorEastAsia"/>
          <w:sz w:val="24"/>
          <w:szCs w:val="24"/>
        </w:rPr>
        <w:t>充足的</w:t>
      </w:r>
      <w:r>
        <w:rPr>
          <w:rFonts w:asciiTheme="minorEastAsia" w:hAnsiTheme="minorEastAsia"/>
          <w:sz w:val="24"/>
          <w:szCs w:val="24"/>
        </w:rPr>
        <w:t>保障，极大可能影响公司定增项目的推进进度。</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成本费用控制方面。公司原有业务分为医药板块、房地产板块、化工板块和贸易板块，近几年随着公司业务的不断调整，已逐步将房地产板块和化工板块进行剥离，业务规模和纳入合并报表范围的主体均有所减少。现任会计师事务所审计收费与公司目前的业务规模较为匹配，符合公司对成本费用的预算管理。</w:t>
      </w:r>
    </w:p>
    <w:p>
      <w:pPr>
        <w:tabs>
          <w:tab w:val="left" w:pos="567"/>
        </w:tabs>
        <w:spacing w:line="360" w:lineRule="auto"/>
        <w:ind w:firstLine="480" w:firstLineChars="200"/>
        <w:rPr>
          <w:rFonts w:asciiTheme="minorEastAsia" w:hAnsiTheme="minorEastAsia"/>
          <w:sz w:val="24"/>
          <w:szCs w:val="24"/>
        </w:rPr>
      </w:pPr>
    </w:p>
    <w:p>
      <w:pPr>
        <w:tabs>
          <w:tab w:val="left" w:pos="567"/>
        </w:tabs>
        <w:spacing w:line="360" w:lineRule="auto"/>
        <w:ind w:firstLine="482" w:firstLineChars="200"/>
        <w:outlineLvl w:val="1"/>
        <w:rPr>
          <w:rFonts w:asciiTheme="minorEastAsia" w:hAnsiTheme="minorEastAsia"/>
          <w:b/>
          <w:sz w:val="24"/>
          <w:szCs w:val="24"/>
        </w:rPr>
      </w:pPr>
      <w:r>
        <w:rPr>
          <w:rFonts w:hint="eastAsia" w:asciiTheme="minorEastAsia" w:hAnsiTheme="minorEastAsia"/>
          <w:b/>
          <w:sz w:val="24"/>
          <w:szCs w:val="24"/>
        </w:rPr>
        <w:t>（二）现任</w:t>
      </w:r>
      <w:r>
        <w:rPr>
          <w:rFonts w:asciiTheme="minorEastAsia" w:hAnsiTheme="minorEastAsia"/>
          <w:b/>
          <w:sz w:val="24"/>
          <w:szCs w:val="24"/>
        </w:rPr>
        <w:t>与前任审计机构的沟通情况，明确相关程序是否符合审计准则的相关要求</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按照《中国注册会计师审计准则第1153号——前任注册会计师与后任注册会计师的沟通》的规定，我所在征得公司同意后于2022年9月</w:t>
      </w:r>
      <w:r>
        <w:rPr>
          <w:rFonts w:hint="eastAsia" w:asciiTheme="minorEastAsia" w:hAnsiTheme="minorEastAsia"/>
          <w:sz w:val="24"/>
          <w:szCs w:val="24"/>
        </w:rPr>
        <w:t>2</w:t>
      </w:r>
      <w:r>
        <w:rPr>
          <w:rFonts w:asciiTheme="minorEastAsia" w:hAnsiTheme="minorEastAsia"/>
          <w:sz w:val="24"/>
          <w:szCs w:val="24"/>
        </w:rPr>
        <w:t>8</w:t>
      </w:r>
      <w:r>
        <w:rPr>
          <w:rFonts w:hint="eastAsia" w:asciiTheme="minorEastAsia" w:hAnsiTheme="minorEastAsia"/>
          <w:sz w:val="24"/>
          <w:szCs w:val="24"/>
        </w:rPr>
        <w:t>日</w:t>
      </w:r>
      <w:r>
        <w:rPr>
          <w:rFonts w:asciiTheme="minorEastAsia" w:hAnsiTheme="minorEastAsia"/>
          <w:sz w:val="24"/>
          <w:szCs w:val="24"/>
        </w:rPr>
        <w:t>向前任会计师中汇会计师事务所（特殊普通合伙）寄发沟通函，沟通的内容包括：(1)是否发现该公司管理层存在正直和诚信方面的问题；(2)贵所与该公司管理层在重大会计、审计等问题上存在的意见分歧；(3)贵所向该公司治理层通报的管理层舞弊、违反法律法规行为以及值得关注的内部控制缺陷；(4)贵所认为导致该公司变更会计师事务所的原因。我所于2022年10月</w:t>
      </w:r>
      <w:r>
        <w:rPr>
          <w:rFonts w:hint="eastAsia" w:asciiTheme="minorEastAsia" w:hAnsiTheme="minorEastAsia"/>
          <w:sz w:val="24"/>
          <w:szCs w:val="24"/>
        </w:rPr>
        <w:t>8日</w:t>
      </w:r>
      <w:r>
        <w:rPr>
          <w:rFonts w:asciiTheme="minorEastAsia" w:hAnsiTheme="minorEastAsia"/>
          <w:sz w:val="24"/>
          <w:szCs w:val="24"/>
        </w:rPr>
        <w:t>收到中汇所回函，回函告知：</w:t>
      </w:r>
      <w:r>
        <w:rPr>
          <w:rFonts w:hint="eastAsia" w:asciiTheme="minorEastAsia" w:hAnsiTheme="minorEastAsia"/>
          <w:sz w:val="24"/>
          <w:szCs w:val="24"/>
        </w:rPr>
        <w:t>(1)中汇所未发现公司管理层存在正直和诚信方面的问题；(2)中汇所与公司管理层在重大会计、审计等问题不存在的意见分歧；(3)中汇所在审计过程中，不存在需要向公司治理层通报的管理层舞弊、违反法律法规行为以及值得关注的内部控制缺陷。</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中汇所审计了江苏吴中医药发展股份有限公司2019年度、2020年度、2021年度财务报表审计，并出具了无保留意见审计报告。根据中汇所业务承接和保持方面的相关规定，综合考虑</w:t>
      </w:r>
      <w:r>
        <w:rPr>
          <w:rFonts w:hint="eastAsia" w:asciiTheme="minorEastAsia" w:hAnsiTheme="minorEastAsia"/>
          <w:sz w:val="24"/>
          <w:szCs w:val="24"/>
        </w:rPr>
        <w:t>中汇</w:t>
      </w:r>
      <w:r>
        <w:rPr>
          <w:rFonts w:asciiTheme="minorEastAsia" w:hAnsiTheme="minorEastAsia"/>
          <w:sz w:val="24"/>
          <w:szCs w:val="24"/>
        </w:rPr>
        <w:t>所人力资源配置和工作时间安排情况，经过评估，中汇所认为由于内部时间安排无法为江苏吴中医药发展股份有限公司提供2022年度财务报表的审计服务。</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对上市公司开展年度审计工作计划、时间安排及年报中列示的关键审计程序的实际执行情况</w:t>
      </w:r>
    </w:p>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项目组</w:t>
      </w:r>
      <w:r>
        <w:rPr>
          <w:rFonts w:asciiTheme="minorEastAsia" w:hAnsiTheme="minorEastAsia"/>
          <w:sz w:val="24"/>
          <w:szCs w:val="24"/>
        </w:rPr>
        <w:t>于2022年11月22日已经进场全面开展审计工作，已执行了解</w:t>
      </w:r>
      <w:r>
        <w:rPr>
          <w:rFonts w:hint="eastAsia" w:asciiTheme="minorEastAsia" w:hAnsiTheme="minorEastAsia"/>
          <w:sz w:val="24"/>
          <w:szCs w:val="24"/>
        </w:rPr>
        <w:t>公司</w:t>
      </w:r>
      <w:r>
        <w:rPr>
          <w:rFonts w:asciiTheme="minorEastAsia" w:hAnsiTheme="minorEastAsia"/>
          <w:sz w:val="24"/>
          <w:szCs w:val="24"/>
        </w:rPr>
        <w:t>及其环境、了解公司内部控制流程、对未审报表进行初步分析、关注并评价期初余额、编制总体审计策略及具体审计计划及分析性复核等程序。年度审计工作计划、时间安排如下：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68"/>
        <w:gridCol w:w="4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jc w:val="center"/>
              <w:rPr>
                <w:rFonts w:asciiTheme="minorEastAsia" w:hAnsiTheme="minorEastAsia"/>
                <w:color w:val="000000"/>
                <w:szCs w:val="21"/>
              </w:rPr>
            </w:pPr>
            <w:r>
              <w:rPr>
                <w:rFonts w:cs="宋体" w:asciiTheme="minorEastAsia" w:hAnsiTheme="minorEastAsia"/>
                <w:color w:val="000000"/>
                <w:szCs w:val="21"/>
              </w:rPr>
              <w:t>执行审计阶段</w:t>
            </w:r>
          </w:p>
        </w:tc>
        <w:tc>
          <w:tcPr>
            <w:tcW w:w="2847" w:type="pct"/>
            <w:vAlign w:val="center"/>
          </w:tcPr>
          <w:p>
            <w:pPr>
              <w:tabs>
                <w:tab w:val="left" w:pos="567"/>
              </w:tabs>
              <w:spacing w:line="300" w:lineRule="exact"/>
              <w:ind w:left="178" w:hanging="178" w:hangingChars="85"/>
              <w:jc w:val="center"/>
              <w:rPr>
                <w:rFonts w:asciiTheme="minorEastAsia" w:hAnsiTheme="minorEastAsia"/>
                <w:color w:val="000000"/>
                <w:szCs w:val="21"/>
              </w:rPr>
            </w:pPr>
            <w:r>
              <w:rPr>
                <w:rFonts w:cs="宋体" w:asciiTheme="minorEastAsia" w:hAnsiTheme="minorEastAsia"/>
                <w:color w:val="000000"/>
                <w:szCs w:val="21"/>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52" w:type="pct"/>
            <w:vAlign w:val="center"/>
          </w:tcPr>
          <w:p>
            <w:pPr>
              <w:tabs>
                <w:tab w:val="left" w:pos="567"/>
              </w:tabs>
              <w:spacing w:line="300" w:lineRule="exact"/>
              <w:ind w:left="178" w:hanging="178" w:hangingChars="85"/>
              <w:rPr>
                <w:rFonts w:asciiTheme="minorEastAsia" w:hAnsiTheme="minorEastAsia"/>
                <w:color w:val="000000"/>
                <w:szCs w:val="21"/>
              </w:rPr>
            </w:pPr>
            <w:r>
              <w:rPr>
                <w:rFonts w:cs="宋体" w:asciiTheme="minorEastAsia" w:hAnsiTheme="minorEastAsia"/>
                <w:szCs w:val="21"/>
              </w:rPr>
              <w:t>一、预审时间安排</w:t>
            </w:r>
          </w:p>
        </w:tc>
        <w:tc>
          <w:tcPr>
            <w:tcW w:w="2847" w:type="pct"/>
            <w:vAlign w:val="center"/>
          </w:tcPr>
          <w:p>
            <w:pPr>
              <w:tabs>
                <w:tab w:val="left" w:pos="567"/>
              </w:tabs>
              <w:spacing w:line="300" w:lineRule="exact"/>
              <w:ind w:left="178" w:hanging="178" w:hangingChars="85"/>
              <w:jc w:val="center"/>
              <w:rPr>
                <w:rFonts w:asciiTheme="minorEastAsia" w:hAnsiTheme="minor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52" w:type="pct"/>
            <w:vAlign w:val="center"/>
          </w:tcPr>
          <w:p>
            <w:pPr>
              <w:tabs>
                <w:tab w:val="left" w:pos="567"/>
              </w:tabs>
              <w:spacing w:line="300" w:lineRule="exact"/>
              <w:ind w:left="178" w:hanging="178" w:hangingChars="85"/>
              <w:rPr>
                <w:rFonts w:cs="宋体" w:asciiTheme="minorEastAsia" w:hAnsiTheme="minorEastAsia"/>
                <w:color w:val="000000"/>
                <w:szCs w:val="21"/>
              </w:rPr>
            </w:pPr>
            <w:r>
              <w:rPr>
                <w:rFonts w:cs="宋体" w:asciiTheme="minorEastAsia" w:hAnsiTheme="minorEastAsia"/>
                <w:szCs w:val="21"/>
              </w:rPr>
              <w:t>（一）预审相关事项沟通</w:t>
            </w:r>
          </w:p>
        </w:tc>
        <w:tc>
          <w:tcPr>
            <w:tcW w:w="2847" w:type="pct"/>
            <w:vAlign w:val="center"/>
          </w:tcPr>
          <w:p>
            <w:pPr>
              <w:tabs>
                <w:tab w:val="left" w:pos="567"/>
              </w:tabs>
              <w:spacing w:line="300" w:lineRule="exact"/>
              <w:ind w:left="178" w:hanging="178" w:hangingChars="85"/>
              <w:jc w:val="center"/>
              <w:rPr>
                <w:rFonts w:asciiTheme="minorEastAsia" w:hAnsiTheme="minorEastAsia"/>
                <w:color w:val="000000"/>
                <w:szCs w:val="21"/>
              </w:rPr>
            </w:pPr>
            <w:r>
              <w:rPr>
                <w:rFonts w:cs="宋体" w:asciiTheme="minorEastAsia" w:hAnsiTheme="minorEastAsia"/>
                <w:szCs w:val="21"/>
              </w:rPr>
              <w:t>2022年11月22日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asciiTheme="minorEastAsia" w:hAnsiTheme="minorEastAsia"/>
                <w:color w:val="000000"/>
                <w:szCs w:val="21"/>
              </w:rPr>
            </w:pPr>
            <w:r>
              <w:rPr>
                <w:rFonts w:cs="宋体" w:asciiTheme="minorEastAsia" w:hAnsiTheme="minorEastAsia"/>
                <w:szCs w:val="21"/>
              </w:rPr>
              <w:t>（二）审计外勤</w:t>
            </w:r>
          </w:p>
        </w:tc>
        <w:tc>
          <w:tcPr>
            <w:tcW w:w="2847" w:type="pct"/>
            <w:vAlign w:val="center"/>
          </w:tcPr>
          <w:p>
            <w:pPr>
              <w:tabs>
                <w:tab w:val="left" w:pos="567"/>
              </w:tabs>
              <w:spacing w:line="300" w:lineRule="exact"/>
              <w:ind w:left="178" w:hanging="178" w:hangingChars="85"/>
              <w:jc w:val="center"/>
              <w:rPr>
                <w:rFonts w:asciiTheme="minorEastAsia" w:hAnsiTheme="minorEastAsia"/>
                <w:color w:val="000000"/>
                <w:szCs w:val="21"/>
              </w:rPr>
            </w:pPr>
            <w:r>
              <w:rPr>
                <w:rFonts w:cs="宋体" w:asciiTheme="minorEastAsia" w:hAnsiTheme="minorEastAsia"/>
                <w:szCs w:val="21"/>
              </w:rPr>
              <w:t>2022.11.22-2022.12.31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cs="宋体" w:asciiTheme="minorEastAsia" w:hAnsiTheme="minorEastAsia"/>
                <w:color w:val="000000"/>
                <w:szCs w:val="21"/>
              </w:rPr>
            </w:pPr>
            <w:r>
              <w:rPr>
                <w:rFonts w:cs="宋体" w:asciiTheme="minorEastAsia" w:hAnsiTheme="minorEastAsia"/>
                <w:szCs w:val="21"/>
              </w:rPr>
              <w:t>了解被审计单位及其环境、风险评估</w:t>
            </w:r>
          </w:p>
        </w:tc>
        <w:tc>
          <w:tcPr>
            <w:tcW w:w="2847" w:type="pct"/>
            <w:vAlign w:val="center"/>
          </w:tcPr>
          <w:p>
            <w:pPr>
              <w:tabs>
                <w:tab w:val="left" w:pos="567"/>
              </w:tabs>
              <w:spacing w:line="300" w:lineRule="exact"/>
              <w:ind w:left="178" w:hanging="178" w:hangingChars="85"/>
              <w:jc w:val="center"/>
              <w:rPr>
                <w:rFonts w:asciiTheme="minorEastAsia" w:hAnsiTheme="minorEastAsia"/>
                <w:color w:val="000000"/>
                <w:szCs w:val="21"/>
              </w:rPr>
            </w:pPr>
            <w:r>
              <w:rPr>
                <w:rFonts w:asciiTheme="minorEastAsia" w:hAnsiTheme="minorEastAsia"/>
                <w:szCs w:val="21"/>
              </w:rPr>
              <w:t>2022.12.6-2022.12.31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asciiTheme="minorEastAsia" w:hAnsiTheme="minorEastAsia"/>
                <w:color w:val="000000"/>
                <w:szCs w:val="21"/>
              </w:rPr>
            </w:pPr>
            <w:r>
              <w:rPr>
                <w:rFonts w:cs="宋体" w:asciiTheme="minorEastAsia" w:hAnsiTheme="minorEastAsia"/>
                <w:szCs w:val="21"/>
              </w:rPr>
              <w:t>控制测试及部分实质性审计</w:t>
            </w:r>
          </w:p>
        </w:tc>
        <w:tc>
          <w:tcPr>
            <w:tcW w:w="2847" w:type="pct"/>
            <w:vAlign w:val="center"/>
          </w:tcPr>
          <w:p>
            <w:pPr>
              <w:tabs>
                <w:tab w:val="left" w:pos="567"/>
              </w:tabs>
              <w:spacing w:line="300" w:lineRule="exact"/>
              <w:ind w:left="178" w:hanging="178" w:hangingChars="85"/>
              <w:jc w:val="center"/>
              <w:rPr>
                <w:rFonts w:asciiTheme="minorEastAsia" w:hAnsiTheme="minorEastAsia"/>
                <w:color w:val="000000"/>
                <w:szCs w:val="21"/>
              </w:rPr>
            </w:pPr>
            <w:r>
              <w:rPr>
                <w:rFonts w:asciiTheme="minorEastAsia" w:hAnsiTheme="minorEastAsia"/>
                <w:szCs w:val="21"/>
              </w:rPr>
              <w:t>2022.12.11-2022.12.31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cs="宋体" w:asciiTheme="minorEastAsia" w:hAnsiTheme="minorEastAsia"/>
                <w:szCs w:val="21"/>
              </w:rPr>
            </w:pPr>
            <w:r>
              <w:rPr>
                <w:rFonts w:cs="宋体" w:asciiTheme="minorEastAsia" w:hAnsiTheme="minorEastAsia"/>
                <w:szCs w:val="21"/>
              </w:rPr>
              <w:t>预审中重大事项沟通</w:t>
            </w:r>
          </w:p>
        </w:tc>
        <w:tc>
          <w:tcPr>
            <w:tcW w:w="2847" w:type="pct"/>
            <w:vAlign w:val="center"/>
          </w:tcPr>
          <w:p>
            <w:pPr>
              <w:tabs>
                <w:tab w:val="left" w:pos="567"/>
              </w:tabs>
              <w:spacing w:line="300" w:lineRule="exact"/>
              <w:ind w:left="178" w:hanging="178" w:hangingChars="85"/>
              <w:jc w:val="center"/>
              <w:rPr>
                <w:rFonts w:asciiTheme="minorEastAsia" w:hAnsiTheme="minorEastAsia"/>
                <w:szCs w:val="21"/>
              </w:rPr>
            </w:pPr>
            <w:r>
              <w:rPr>
                <w:rFonts w:asciiTheme="minorEastAsia" w:hAnsiTheme="minorEastAsia"/>
                <w:szCs w:val="21"/>
              </w:rPr>
              <w:t>2022.12.25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cs="宋体" w:asciiTheme="minorEastAsia" w:hAnsiTheme="minorEastAsia"/>
                <w:szCs w:val="21"/>
              </w:rPr>
            </w:pPr>
            <w:r>
              <w:rPr>
                <w:rFonts w:cs="宋体" w:asciiTheme="minorEastAsia" w:hAnsiTheme="minorEastAsia"/>
                <w:szCs w:val="21"/>
              </w:rPr>
              <w:t>二、年审时间安排</w:t>
            </w:r>
          </w:p>
        </w:tc>
        <w:tc>
          <w:tcPr>
            <w:tcW w:w="2847" w:type="pct"/>
            <w:vAlign w:val="center"/>
          </w:tcPr>
          <w:p>
            <w:pPr>
              <w:tabs>
                <w:tab w:val="left" w:pos="567"/>
              </w:tabs>
              <w:spacing w:line="300" w:lineRule="exact"/>
              <w:ind w:left="178" w:hanging="178" w:hangingChars="85"/>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cs="宋体" w:asciiTheme="minorEastAsia" w:hAnsiTheme="minorEastAsia"/>
                <w:szCs w:val="21"/>
              </w:rPr>
            </w:pPr>
            <w:r>
              <w:rPr>
                <w:rFonts w:cs="宋体" w:asciiTheme="minorEastAsia" w:hAnsiTheme="minorEastAsia"/>
                <w:szCs w:val="21"/>
              </w:rPr>
              <w:t>（一）盘点</w:t>
            </w:r>
          </w:p>
        </w:tc>
        <w:tc>
          <w:tcPr>
            <w:tcW w:w="2847" w:type="pct"/>
            <w:vAlign w:val="center"/>
          </w:tcPr>
          <w:p>
            <w:pPr>
              <w:tabs>
                <w:tab w:val="left" w:pos="567"/>
              </w:tabs>
              <w:spacing w:line="300" w:lineRule="exact"/>
              <w:ind w:left="178" w:hanging="178" w:hangingChars="85"/>
              <w:jc w:val="center"/>
              <w:rPr>
                <w:rFonts w:asciiTheme="minorEastAsia" w:hAnsiTheme="minorEastAsia"/>
                <w:szCs w:val="21"/>
              </w:rPr>
            </w:pPr>
            <w:r>
              <w:rPr>
                <w:rFonts w:asciiTheme="minorEastAsia" w:hAnsiTheme="minorEastAsia"/>
                <w:szCs w:val="21"/>
              </w:rPr>
              <w:t>2022.12.28-2022.12.30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cs="宋体" w:asciiTheme="minorEastAsia" w:hAnsiTheme="minorEastAsia"/>
                <w:szCs w:val="21"/>
              </w:rPr>
            </w:pPr>
            <w:r>
              <w:rPr>
                <w:rFonts w:cs="宋体" w:asciiTheme="minorEastAsia" w:hAnsiTheme="minorEastAsia"/>
                <w:szCs w:val="21"/>
              </w:rPr>
              <w:t>（二）审计外勤</w:t>
            </w:r>
          </w:p>
        </w:tc>
        <w:tc>
          <w:tcPr>
            <w:tcW w:w="2847" w:type="pct"/>
            <w:vAlign w:val="center"/>
          </w:tcPr>
          <w:p>
            <w:pPr>
              <w:tabs>
                <w:tab w:val="left" w:pos="567"/>
              </w:tabs>
              <w:spacing w:line="300" w:lineRule="exact"/>
              <w:ind w:left="178" w:hanging="178" w:hangingChars="85"/>
              <w:jc w:val="center"/>
              <w:rPr>
                <w:rFonts w:asciiTheme="minorEastAsia" w:hAnsiTheme="minorEastAsia"/>
                <w:szCs w:val="21"/>
              </w:rPr>
            </w:pPr>
            <w:r>
              <w:rPr>
                <w:rFonts w:asciiTheme="minorEastAsia" w:hAnsiTheme="minorEastAsia"/>
                <w:szCs w:val="21"/>
              </w:rPr>
              <w:t>2023.1.5-2023.2.18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cs="宋体" w:asciiTheme="minorEastAsia" w:hAnsiTheme="minorEastAsia"/>
                <w:szCs w:val="21"/>
              </w:rPr>
            </w:pPr>
            <w:r>
              <w:rPr>
                <w:rFonts w:cs="宋体" w:asciiTheme="minorEastAsia" w:hAnsiTheme="minorEastAsia"/>
                <w:szCs w:val="21"/>
              </w:rPr>
              <w:t>（三）合并及报告编制</w:t>
            </w:r>
          </w:p>
        </w:tc>
        <w:tc>
          <w:tcPr>
            <w:tcW w:w="2847" w:type="pct"/>
            <w:vAlign w:val="center"/>
          </w:tcPr>
          <w:p>
            <w:pPr>
              <w:tabs>
                <w:tab w:val="left" w:pos="567"/>
              </w:tabs>
              <w:spacing w:line="300" w:lineRule="exact"/>
              <w:ind w:left="178" w:hanging="178" w:hangingChars="85"/>
              <w:jc w:val="center"/>
              <w:rPr>
                <w:rFonts w:asciiTheme="minorEastAsia" w:hAnsiTheme="minorEastAsia"/>
                <w:szCs w:val="21"/>
              </w:rPr>
            </w:pPr>
            <w:r>
              <w:rPr>
                <w:rFonts w:asciiTheme="minorEastAsia" w:hAnsiTheme="minorEastAsia"/>
                <w:szCs w:val="21"/>
              </w:rPr>
              <w:t>2023.1.15-2023.2.25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cs="宋体" w:asciiTheme="minorEastAsia" w:hAnsiTheme="minorEastAsia"/>
                <w:szCs w:val="21"/>
              </w:rPr>
            </w:pPr>
            <w:r>
              <w:rPr>
                <w:rFonts w:cs="宋体" w:asciiTheme="minorEastAsia" w:hAnsiTheme="minorEastAsia"/>
                <w:szCs w:val="21"/>
              </w:rPr>
              <w:t>（三）业务完成阶段</w:t>
            </w:r>
          </w:p>
        </w:tc>
        <w:tc>
          <w:tcPr>
            <w:tcW w:w="2847" w:type="pct"/>
            <w:vAlign w:val="center"/>
          </w:tcPr>
          <w:p>
            <w:pPr>
              <w:tabs>
                <w:tab w:val="left" w:pos="567"/>
              </w:tabs>
              <w:spacing w:line="300" w:lineRule="exact"/>
              <w:ind w:left="178" w:hanging="178" w:hangingChars="85"/>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cs="宋体" w:asciiTheme="minorEastAsia" w:hAnsiTheme="minorEastAsia"/>
                <w:szCs w:val="21"/>
              </w:rPr>
            </w:pPr>
            <w:r>
              <w:rPr>
                <w:rFonts w:cs="宋体" w:asciiTheme="minorEastAsia" w:hAnsiTheme="minorEastAsia"/>
                <w:szCs w:val="21"/>
              </w:rPr>
              <w:t>出具审计报告初稿</w:t>
            </w:r>
          </w:p>
        </w:tc>
        <w:tc>
          <w:tcPr>
            <w:tcW w:w="2847" w:type="pct"/>
            <w:vAlign w:val="center"/>
          </w:tcPr>
          <w:p>
            <w:pPr>
              <w:tabs>
                <w:tab w:val="left" w:pos="567"/>
              </w:tabs>
              <w:spacing w:line="300" w:lineRule="exact"/>
              <w:ind w:left="178" w:hanging="178" w:hangingChars="85"/>
              <w:jc w:val="center"/>
              <w:rPr>
                <w:rFonts w:asciiTheme="minorEastAsia" w:hAnsiTheme="minorEastAsia"/>
                <w:szCs w:val="21"/>
              </w:rPr>
            </w:pPr>
            <w:r>
              <w:rPr>
                <w:rFonts w:cs="宋体" w:asciiTheme="minorEastAsia" w:hAnsiTheme="minorEastAsia"/>
                <w:szCs w:val="21"/>
              </w:rPr>
              <w:t>2023.2.28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cs="宋体" w:asciiTheme="minorEastAsia" w:hAnsiTheme="minorEastAsia"/>
                <w:szCs w:val="21"/>
              </w:rPr>
            </w:pPr>
            <w:r>
              <w:rPr>
                <w:rFonts w:cs="宋体" w:asciiTheme="minorEastAsia" w:hAnsiTheme="minorEastAsia"/>
                <w:szCs w:val="21"/>
              </w:rPr>
              <w:t>签发正式审计报告</w:t>
            </w:r>
          </w:p>
        </w:tc>
        <w:tc>
          <w:tcPr>
            <w:tcW w:w="2847" w:type="pct"/>
            <w:vAlign w:val="center"/>
          </w:tcPr>
          <w:p>
            <w:pPr>
              <w:tabs>
                <w:tab w:val="left" w:pos="567"/>
              </w:tabs>
              <w:spacing w:line="300" w:lineRule="exact"/>
              <w:ind w:left="178" w:hanging="178" w:hangingChars="85"/>
              <w:jc w:val="center"/>
              <w:rPr>
                <w:rFonts w:asciiTheme="minorEastAsia" w:hAnsiTheme="minorEastAsia"/>
                <w:szCs w:val="21"/>
              </w:rPr>
            </w:pPr>
            <w:r>
              <w:rPr>
                <w:rFonts w:asciiTheme="minorEastAsia" w:hAnsiTheme="minorEastAsia"/>
                <w:szCs w:val="21"/>
              </w:rPr>
              <w:t>2023.4.25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cs="宋体" w:asciiTheme="minorEastAsia" w:hAnsiTheme="minorEastAsia"/>
                <w:szCs w:val="21"/>
              </w:rPr>
            </w:pPr>
            <w:r>
              <w:rPr>
                <w:rFonts w:cs="宋体" w:asciiTheme="minorEastAsia" w:hAnsiTheme="minorEastAsia"/>
                <w:szCs w:val="21"/>
              </w:rPr>
              <w:t>（四）所需的沟通</w:t>
            </w:r>
          </w:p>
        </w:tc>
        <w:tc>
          <w:tcPr>
            <w:tcW w:w="2847" w:type="pct"/>
            <w:vAlign w:val="center"/>
          </w:tcPr>
          <w:p>
            <w:pPr>
              <w:tabs>
                <w:tab w:val="left" w:pos="567"/>
              </w:tabs>
              <w:spacing w:line="300" w:lineRule="exact"/>
              <w:ind w:left="178" w:hanging="178" w:hangingChars="85"/>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52" w:type="pct"/>
            <w:vAlign w:val="center"/>
          </w:tcPr>
          <w:p>
            <w:pPr>
              <w:tabs>
                <w:tab w:val="left" w:pos="567"/>
              </w:tabs>
              <w:spacing w:line="300" w:lineRule="exact"/>
              <w:ind w:left="178" w:hanging="178" w:hangingChars="85"/>
              <w:rPr>
                <w:rFonts w:cs="宋体" w:asciiTheme="minorEastAsia" w:hAnsiTheme="minorEastAsia"/>
                <w:szCs w:val="21"/>
              </w:rPr>
            </w:pPr>
            <w:r>
              <w:rPr>
                <w:rFonts w:cs="宋体" w:asciiTheme="minorEastAsia" w:hAnsiTheme="minorEastAsia"/>
                <w:szCs w:val="21"/>
              </w:rPr>
              <w:t>与治理层、管理层的沟通</w:t>
            </w:r>
          </w:p>
        </w:tc>
        <w:tc>
          <w:tcPr>
            <w:tcW w:w="2847" w:type="pct"/>
            <w:vAlign w:val="center"/>
          </w:tcPr>
          <w:p>
            <w:pPr>
              <w:tabs>
                <w:tab w:val="left" w:pos="567"/>
              </w:tabs>
              <w:spacing w:line="300" w:lineRule="exact"/>
              <w:ind w:left="178" w:hanging="178" w:hangingChars="85"/>
              <w:jc w:val="center"/>
              <w:rPr>
                <w:rFonts w:asciiTheme="minorEastAsia" w:hAnsiTheme="minorEastAsia"/>
                <w:szCs w:val="21"/>
              </w:rPr>
            </w:pPr>
            <w:r>
              <w:rPr>
                <w:rFonts w:cs="宋体" w:asciiTheme="minorEastAsia" w:hAnsiTheme="minorEastAsia"/>
                <w:szCs w:val="21"/>
              </w:rPr>
              <w:t>2022年12月至正式签发审计报告之前适当时间</w:t>
            </w:r>
          </w:p>
        </w:tc>
      </w:tr>
    </w:tbl>
    <w:p>
      <w:pPr>
        <w:tabs>
          <w:tab w:val="left" w:pos="567"/>
        </w:tabs>
        <w:spacing w:line="360" w:lineRule="auto"/>
        <w:ind w:firstLine="480" w:firstLineChars="200"/>
        <w:rPr>
          <w:rFonts w:asciiTheme="minorEastAsia" w:hAnsiTheme="minorEastAsia"/>
          <w:sz w:val="24"/>
          <w:szCs w:val="24"/>
        </w:rPr>
      </w:pPr>
      <w:r>
        <w:rPr>
          <w:rFonts w:hint="eastAsia" w:asciiTheme="minorEastAsia" w:hAnsiTheme="minorEastAsia"/>
          <w:sz w:val="24"/>
          <w:szCs w:val="24"/>
        </w:rPr>
        <w:t>2、</w:t>
      </w:r>
      <w:r>
        <w:rPr>
          <w:rFonts w:asciiTheme="minorEastAsia" w:hAnsiTheme="minorEastAsia"/>
          <w:sz w:val="24"/>
          <w:szCs w:val="24"/>
        </w:rPr>
        <w:t>年报中列示的关键审计程序的实际执行情况</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针对收入确认，我们执行的主要审计程序包括：</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(1)了解与评价管理层与收入相关的关键内部控制的设计，并测试了关键控制执行的有效性；</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(2)抽取样本审阅销售合同或订单，了解和评估收入确认政策是否符合企业会计准则的有关规定；</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(3)对收入及毛利情况执行分析程序,分析收入与毛利变动的合理性；</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(4)抽取收入确认的会计记录，与相关的销售订单、发货单、签收确认清单等进行检查核对；以及抽取与销售相关的订单、发货单、签收确认清单等与账面确认的收入进行核对，从而检查收入确认的完整性；</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(5)抽取资产负债表日前后确认的销售收入进行测试，核对至订单、发货单、签收确认清单；以及抽取资产负债表日前后的发货单、签收确认清单，核对至资产负债表日前后确认的销售收入，从而评估销售收入是否被确认在恰当的会计期间；</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(6)抽取重要客户实施函证程序、实地走访程序以及视频访谈程序，以确认相关的销售收入金额和应收账款余额；</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(7)我们抽取资产负债表日后的退货记录，检查销售收入是否存在大额退回。</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(8)检查与营业收入相关的信息是否已在财务报表及附注中作出恰当列报。</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我们针对管理层对应收账款可回收性评估执行的审计程序主要包括：</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(1)了解、评估和测试管理层与应收账款管理相关的内部控制；</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(2)对于按照单项金额评估的应收账款选取样本复核管理层基于客户的财务状况和资信情况、历史还款记录以及对未来经济状况的预测等对预期信用损失进行评估的依据。我们将管理层的评估与我们在审计过程中取得的证据相验证，包括客户的背景信息、以往的交易历史和回款情况、前瞻性考虑因素等；</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(3)对于按照信用风险特征组合计算预期信用损失的应收账款，复核管理层对划分的组合以及基于历史信用损失经验并结合当前状况及对未来经济状况的预测等对不同组合估计的预期信用损失率的合理性，包括对迁徙率、历史损失率的重新计算，参考历史审计经验及前瞻性信息，对预期损失率的合理性进行评估，并选取样本测试应收账款的组合分类和账龄划分的准确性，重新计算预期信用损失计提金额的准确性；</w:t>
      </w:r>
    </w:p>
    <w:p>
      <w:pPr>
        <w:tabs>
          <w:tab w:val="left" w:pos="567"/>
        </w:tabs>
        <w:spacing w:line="360" w:lineRule="auto"/>
        <w:ind w:firstLine="480" w:firstLineChars="200"/>
        <w:rPr>
          <w:rFonts w:hint="eastAsia" w:asciiTheme="minorEastAsia" w:hAnsiTheme="minorEastAsia" w:eastAsiaTheme="minorEastAsia"/>
          <w:sz w:val="24"/>
          <w:szCs w:val="24"/>
          <w:lang w:eastAsia="zh-CN"/>
        </w:rPr>
      </w:pPr>
      <w:r>
        <w:rPr>
          <w:rFonts w:asciiTheme="minorEastAsia" w:hAnsiTheme="minorEastAsia"/>
          <w:sz w:val="24"/>
          <w:szCs w:val="24"/>
        </w:rPr>
        <w:t>(4)对大额应收账款进行函证，函证采用详式询证函方式发出，对本期发生发生额、交易余额等信息进行函证</w:t>
      </w:r>
      <w:r>
        <w:rPr>
          <w:rFonts w:hint="eastAsia" w:asciiTheme="minorEastAsia" w:hAnsiTheme="minorEastAsia"/>
          <w:sz w:val="24"/>
          <w:szCs w:val="24"/>
          <w:lang w:eastAsia="zh-CN"/>
        </w:rPr>
        <w:t>；</w:t>
      </w:r>
    </w:p>
    <w:p>
      <w:pPr>
        <w:tabs>
          <w:tab w:val="left" w:pos="567"/>
        </w:tabs>
        <w:spacing w:line="360" w:lineRule="auto"/>
        <w:ind w:firstLine="480" w:firstLineChars="200"/>
        <w:rPr>
          <w:rFonts w:hint="eastAsia" w:asciiTheme="minorEastAsia" w:hAnsiTheme="minorEastAsia" w:eastAsiaTheme="minorEastAsia"/>
          <w:sz w:val="24"/>
          <w:szCs w:val="24"/>
          <w:lang w:eastAsia="zh-CN"/>
        </w:rPr>
      </w:pPr>
      <w:r>
        <w:rPr>
          <w:rFonts w:asciiTheme="minorEastAsia" w:hAnsiTheme="minorEastAsia"/>
          <w:sz w:val="24"/>
          <w:szCs w:val="24"/>
        </w:rPr>
        <w:t>(5)选取样本检查期后回款情况</w:t>
      </w:r>
      <w:r>
        <w:rPr>
          <w:rFonts w:hint="eastAsia" w:asciiTheme="minorEastAsia" w:hAnsiTheme="minorEastAsia"/>
          <w:sz w:val="24"/>
          <w:szCs w:val="24"/>
          <w:lang w:eastAsia="zh-CN"/>
        </w:rPr>
        <w:t>；</w:t>
      </w:r>
    </w:p>
    <w:p>
      <w:pPr>
        <w:tabs>
          <w:tab w:val="left" w:pos="567"/>
        </w:tabs>
        <w:spacing w:line="360" w:lineRule="auto"/>
        <w:ind w:firstLine="480" w:firstLineChars="200"/>
        <w:rPr>
          <w:rFonts w:asciiTheme="minorEastAsia" w:hAnsiTheme="minorEastAsia"/>
          <w:sz w:val="24"/>
          <w:szCs w:val="24"/>
        </w:rPr>
      </w:pPr>
      <w:r>
        <w:rPr>
          <w:rFonts w:asciiTheme="minorEastAsia" w:hAnsiTheme="minorEastAsia"/>
          <w:sz w:val="24"/>
          <w:szCs w:val="24"/>
        </w:rPr>
        <w:t>(6)检查与应收账款相关的信息是否已在财务报表及附注中作出恰当列报。</w:t>
      </w:r>
    </w:p>
    <w:p>
      <w:pPr>
        <w:tabs>
          <w:tab w:val="left" w:pos="567"/>
        </w:tabs>
        <w:spacing w:line="360" w:lineRule="auto"/>
        <w:rPr>
          <w:rFonts w:asciiTheme="minorEastAsia" w:hAnsiTheme="minorEastAsia"/>
          <w:sz w:val="24"/>
          <w:szCs w:val="24"/>
        </w:rPr>
      </w:pPr>
    </w:p>
    <w:p>
      <w:pPr>
        <w:spacing w:line="360" w:lineRule="auto"/>
        <w:ind w:firstLine="480" w:firstLineChars="200"/>
        <w:rPr>
          <w:rFonts w:asciiTheme="minorEastAsia" w:hAnsiTheme="minorEastAsia"/>
          <w:sz w:val="24"/>
        </w:rPr>
      </w:pPr>
      <w:r>
        <w:rPr>
          <w:rFonts w:hint="eastAsia" w:asciiTheme="minorEastAsia" w:hAnsiTheme="minorEastAsia"/>
          <w:sz w:val="24"/>
        </w:rPr>
        <w:t>特此公告。</w:t>
      </w:r>
    </w:p>
    <w:p>
      <w:pPr>
        <w:spacing w:line="360" w:lineRule="auto"/>
        <w:rPr>
          <w:rFonts w:asciiTheme="minorEastAsia" w:hAnsiTheme="minorEastAsia"/>
          <w:sz w:val="24"/>
        </w:rPr>
      </w:pPr>
    </w:p>
    <w:p>
      <w:pPr>
        <w:pStyle w:val="6"/>
        <w:adjustRightInd w:val="0"/>
        <w:snapToGrid w:val="0"/>
        <w:spacing w:before="0" w:beforeAutospacing="0" w:after="0" w:afterAutospacing="0" w:line="360" w:lineRule="auto"/>
        <w:ind w:firstLine="480" w:firstLineChars="200"/>
        <w:jc w:val="right"/>
        <w:rPr>
          <w:rFonts w:cs="Arial"/>
        </w:rPr>
      </w:pPr>
      <w:r>
        <w:rPr>
          <w:rFonts w:hint="eastAsia" w:cs="Arial"/>
        </w:rPr>
        <w:t>江苏吴中医药发展股份有限公司</w:t>
      </w:r>
    </w:p>
    <w:p>
      <w:pPr>
        <w:pStyle w:val="6"/>
        <w:adjustRightInd w:val="0"/>
        <w:snapToGrid w:val="0"/>
        <w:spacing w:before="0" w:beforeAutospacing="0" w:after="0" w:afterAutospacing="0" w:line="360" w:lineRule="auto"/>
        <w:ind w:right="1200" w:firstLine="480" w:firstLineChars="200"/>
        <w:jc w:val="right"/>
        <w:rPr>
          <w:rFonts w:cs="Arial"/>
        </w:rPr>
      </w:pPr>
      <w:r>
        <w:rPr>
          <w:rFonts w:hint="eastAsia" w:cs="Arial"/>
        </w:rPr>
        <w:t>董事会</w:t>
      </w:r>
    </w:p>
    <w:p>
      <w:pPr>
        <w:pStyle w:val="6"/>
        <w:adjustRightInd w:val="0"/>
        <w:snapToGrid w:val="0"/>
        <w:spacing w:before="0" w:beforeAutospacing="0" w:after="0" w:afterAutospacing="0" w:line="360" w:lineRule="auto"/>
        <w:ind w:right="720" w:firstLine="480" w:firstLineChars="200"/>
        <w:jc w:val="right"/>
        <w:rPr>
          <w:rFonts w:cs="Arial"/>
        </w:rPr>
      </w:pPr>
      <w:r>
        <w:rPr>
          <w:rFonts w:hint="eastAsia" w:cs="Arial"/>
        </w:rPr>
        <w:t>2023年6月28日</w:t>
      </w:r>
    </w:p>
    <w:p>
      <w:pPr>
        <w:tabs>
          <w:tab w:val="left" w:pos="567"/>
        </w:tabs>
        <w:spacing w:line="360" w:lineRule="auto"/>
        <w:rPr>
          <w:rFonts w:asciiTheme="minorEastAsia" w:hAnsi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9166454"/>
      <w:docPartObj>
        <w:docPartGallery w:val="AutoText"/>
      </w:docPartObj>
    </w:sdtPr>
    <w:sdtContent>
      <w:p>
        <w:pPr>
          <w:pStyle w:val="4"/>
          <w:jc w:val="center"/>
        </w:pPr>
        <w:r>
          <w:fldChar w:fldCharType="begin"/>
        </w:r>
        <w:r>
          <w:instrText xml:space="preserve">PAGE   \* MERGEFORMAT</w:instrText>
        </w:r>
        <w:r>
          <w:fldChar w:fldCharType="separate"/>
        </w:r>
        <w:r>
          <w:rPr>
            <w:lang w:val="zh-CN"/>
          </w:rPr>
          <w:t>10</w:t>
        </w:r>
        <w: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494AA6"/>
    <w:multiLevelType w:val="multilevel"/>
    <w:tmpl w:val="02494AA6"/>
    <w:lvl w:ilvl="0" w:tentative="0">
      <w:start w:val="2"/>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093307B4"/>
    <w:multiLevelType w:val="multilevel"/>
    <w:tmpl w:val="093307B4"/>
    <w:lvl w:ilvl="0" w:tentative="0">
      <w:start w:val="1"/>
      <w:numFmt w:val="decimal"/>
      <w:lvlText w:val="%1、"/>
      <w:lvlJc w:val="left"/>
      <w:pPr>
        <w:ind w:left="928" w:hanging="36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C62DC8"/>
    <w:rsid w:val="00002401"/>
    <w:rsid w:val="00002565"/>
    <w:rsid w:val="00002CA1"/>
    <w:rsid w:val="00010F16"/>
    <w:rsid w:val="000155A2"/>
    <w:rsid w:val="00015D4C"/>
    <w:rsid w:val="00020034"/>
    <w:rsid w:val="000208C0"/>
    <w:rsid w:val="000251B7"/>
    <w:rsid w:val="000255F4"/>
    <w:rsid w:val="000256A9"/>
    <w:rsid w:val="000270D0"/>
    <w:rsid w:val="00032D83"/>
    <w:rsid w:val="00034BB8"/>
    <w:rsid w:val="000412FD"/>
    <w:rsid w:val="000467AF"/>
    <w:rsid w:val="00046871"/>
    <w:rsid w:val="0005550D"/>
    <w:rsid w:val="0005648D"/>
    <w:rsid w:val="0005709B"/>
    <w:rsid w:val="00072454"/>
    <w:rsid w:val="0007592E"/>
    <w:rsid w:val="0008196C"/>
    <w:rsid w:val="000819EA"/>
    <w:rsid w:val="0008386A"/>
    <w:rsid w:val="0009271A"/>
    <w:rsid w:val="000A3927"/>
    <w:rsid w:val="000A416D"/>
    <w:rsid w:val="000A673D"/>
    <w:rsid w:val="000B4498"/>
    <w:rsid w:val="000B61B8"/>
    <w:rsid w:val="000C017C"/>
    <w:rsid w:val="000C024B"/>
    <w:rsid w:val="000C502A"/>
    <w:rsid w:val="000D2074"/>
    <w:rsid w:val="000D37A1"/>
    <w:rsid w:val="000E1BDD"/>
    <w:rsid w:val="000E2119"/>
    <w:rsid w:val="000E3706"/>
    <w:rsid w:val="000F31E3"/>
    <w:rsid w:val="000F3FCD"/>
    <w:rsid w:val="000F5048"/>
    <w:rsid w:val="00104DC2"/>
    <w:rsid w:val="001121E6"/>
    <w:rsid w:val="001128FC"/>
    <w:rsid w:val="00113B8E"/>
    <w:rsid w:val="00114C3E"/>
    <w:rsid w:val="00122C9A"/>
    <w:rsid w:val="00126998"/>
    <w:rsid w:val="001317B9"/>
    <w:rsid w:val="00132E2B"/>
    <w:rsid w:val="00140111"/>
    <w:rsid w:val="00144ABE"/>
    <w:rsid w:val="001464F9"/>
    <w:rsid w:val="001502D0"/>
    <w:rsid w:val="0015324B"/>
    <w:rsid w:val="00165C44"/>
    <w:rsid w:val="00173C93"/>
    <w:rsid w:val="00174B1A"/>
    <w:rsid w:val="001774FC"/>
    <w:rsid w:val="00180CDC"/>
    <w:rsid w:val="001814A2"/>
    <w:rsid w:val="00183E50"/>
    <w:rsid w:val="00185E01"/>
    <w:rsid w:val="00192A39"/>
    <w:rsid w:val="001A6E0B"/>
    <w:rsid w:val="001B31B8"/>
    <w:rsid w:val="001B3CF7"/>
    <w:rsid w:val="001B443A"/>
    <w:rsid w:val="001B6021"/>
    <w:rsid w:val="001C0644"/>
    <w:rsid w:val="001C1C39"/>
    <w:rsid w:val="001C2BE5"/>
    <w:rsid w:val="001C630D"/>
    <w:rsid w:val="001D0AFE"/>
    <w:rsid w:val="001D13D2"/>
    <w:rsid w:val="001D5CDA"/>
    <w:rsid w:val="001D6E47"/>
    <w:rsid w:val="001D75FB"/>
    <w:rsid w:val="001E0B75"/>
    <w:rsid w:val="001E1552"/>
    <w:rsid w:val="001E1645"/>
    <w:rsid w:val="001E285D"/>
    <w:rsid w:val="001F0865"/>
    <w:rsid w:val="001F1DFE"/>
    <w:rsid w:val="001F2543"/>
    <w:rsid w:val="001F5C5C"/>
    <w:rsid w:val="001F5E96"/>
    <w:rsid w:val="001F7342"/>
    <w:rsid w:val="00216930"/>
    <w:rsid w:val="00220369"/>
    <w:rsid w:val="00224A3F"/>
    <w:rsid w:val="00225451"/>
    <w:rsid w:val="00226E0C"/>
    <w:rsid w:val="00227152"/>
    <w:rsid w:val="00227D3F"/>
    <w:rsid w:val="00230D52"/>
    <w:rsid w:val="002319B0"/>
    <w:rsid w:val="00234796"/>
    <w:rsid w:val="002347B2"/>
    <w:rsid w:val="00245703"/>
    <w:rsid w:val="002467FF"/>
    <w:rsid w:val="002526CC"/>
    <w:rsid w:val="002571FE"/>
    <w:rsid w:val="002637F2"/>
    <w:rsid w:val="002645BE"/>
    <w:rsid w:val="00266C14"/>
    <w:rsid w:val="00272543"/>
    <w:rsid w:val="002745B7"/>
    <w:rsid w:val="00274888"/>
    <w:rsid w:val="00277BD6"/>
    <w:rsid w:val="002865B0"/>
    <w:rsid w:val="0029271B"/>
    <w:rsid w:val="00294BB3"/>
    <w:rsid w:val="002970BD"/>
    <w:rsid w:val="002A1C83"/>
    <w:rsid w:val="002A54AC"/>
    <w:rsid w:val="002A6544"/>
    <w:rsid w:val="002B144A"/>
    <w:rsid w:val="002B14E2"/>
    <w:rsid w:val="002C1A6C"/>
    <w:rsid w:val="002D1E57"/>
    <w:rsid w:val="002E0CC2"/>
    <w:rsid w:val="002E0EC5"/>
    <w:rsid w:val="002E59C4"/>
    <w:rsid w:val="002F5C9B"/>
    <w:rsid w:val="002F5FAD"/>
    <w:rsid w:val="00301554"/>
    <w:rsid w:val="003023C2"/>
    <w:rsid w:val="00307136"/>
    <w:rsid w:val="0031090D"/>
    <w:rsid w:val="00315D1B"/>
    <w:rsid w:val="00320F12"/>
    <w:rsid w:val="0032219C"/>
    <w:rsid w:val="00326D6C"/>
    <w:rsid w:val="00330780"/>
    <w:rsid w:val="0033562A"/>
    <w:rsid w:val="0034395F"/>
    <w:rsid w:val="003457CF"/>
    <w:rsid w:val="003557CE"/>
    <w:rsid w:val="00355DA2"/>
    <w:rsid w:val="00360145"/>
    <w:rsid w:val="00360A87"/>
    <w:rsid w:val="00385FEE"/>
    <w:rsid w:val="00386902"/>
    <w:rsid w:val="0039218D"/>
    <w:rsid w:val="00394CC1"/>
    <w:rsid w:val="00394FE1"/>
    <w:rsid w:val="00395B78"/>
    <w:rsid w:val="003976D2"/>
    <w:rsid w:val="003A2D78"/>
    <w:rsid w:val="003A2EA0"/>
    <w:rsid w:val="003B1695"/>
    <w:rsid w:val="003B1D23"/>
    <w:rsid w:val="003B7580"/>
    <w:rsid w:val="003B761F"/>
    <w:rsid w:val="003C19AC"/>
    <w:rsid w:val="003C27CA"/>
    <w:rsid w:val="003C2A71"/>
    <w:rsid w:val="003C309B"/>
    <w:rsid w:val="003C337C"/>
    <w:rsid w:val="003D089B"/>
    <w:rsid w:val="003D122A"/>
    <w:rsid w:val="003D4BC6"/>
    <w:rsid w:val="003D4DE8"/>
    <w:rsid w:val="003E0A27"/>
    <w:rsid w:val="003E69CB"/>
    <w:rsid w:val="003E6A91"/>
    <w:rsid w:val="003F1443"/>
    <w:rsid w:val="00401EC9"/>
    <w:rsid w:val="0040277C"/>
    <w:rsid w:val="004028F1"/>
    <w:rsid w:val="00402A60"/>
    <w:rsid w:val="00403F29"/>
    <w:rsid w:val="00404543"/>
    <w:rsid w:val="004052BE"/>
    <w:rsid w:val="004053FC"/>
    <w:rsid w:val="004072B5"/>
    <w:rsid w:val="00410185"/>
    <w:rsid w:val="00411373"/>
    <w:rsid w:val="00411597"/>
    <w:rsid w:val="004215D8"/>
    <w:rsid w:val="00422920"/>
    <w:rsid w:val="00427674"/>
    <w:rsid w:val="00432289"/>
    <w:rsid w:val="004328AB"/>
    <w:rsid w:val="00435698"/>
    <w:rsid w:val="00436BFD"/>
    <w:rsid w:val="00436F76"/>
    <w:rsid w:val="004413A6"/>
    <w:rsid w:val="00443B20"/>
    <w:rsid w:val="00450D55"/>
    <w:rsid w:val="00455343"/>
    <w:rsid w:val="004565F1"/>
    <w:rsid w:val="004615BD"/>
    <w:rsid w:val="00461818"/>
    <w:rsid w:val="004643E4"/>
    <w:rsid w:val="00467384"/>
    <w:rsid w:val="00467993"/>
    <w:rsid w:val="004722CC"/>
    <w:rsid w:val="00472D83"/>
    <w:rsid w:val="0047456E"/>
    <w:rsid w:val="0047501E"/>
    <w:rsid w:val="00475E53"/>
    <w:rsid w:val="004847F5"/>
    <w:rsid w:val="00485D57"/>
    <w:rsid w:val="0048761F"/>
    <w:rsid w:val="0049094E"/>
    <w:rsid w:val="00490B57"/>
    <w:rsid w:val="0049124E"/>
    <w:rsid w:val="004912A7"/>
    <w:rsid w:val="004918F4"/>
    <w:rsid w:val="0049421B"/>
    <w:rsid w:val="004A5C81"/>
    <w:rsid w:val="004A61A9"/>
    <w:rsid w:val="004C079D"/>
    <w:rsid w:val="004C0AAB"/>
    <w:rsid w:val="004C0EB1"/>
    <w:rsid w:val="004D1C35"/>
    <w:rsid w:val="004D360D"/>
    <w:rsid w:val="004D716D"/>
    <w:rsid w:val="004E1431"/>
    <w:rsid w:val="004E3583"/>
    <w:rsid w:val="004E3DE6"/>
    <w:rsid w:val="004F1B43"/>
    <w:rsid w:val="004F600E"/>
    <w:rsid w:val="005025AA"/>
    <w:rsid w:val="00507DC0"/>
    <w:rsid w:val="0051151A"/>
    <w:rsid w:val="00511873"/>
    <w:rsid w:val="00513952"/>
    <w:rsid w:val="005163D7"/>
    <w:rsid w:val="00523B46"/>
    <w:rsid w:val="00523CA8"/>
    <w:rsid w:val="0052413B"/>
    <w:rsid w:val="0052643A"/>
    <w:rsid w:val="00533708"/>
    <w:rsid w:val="00543C2C"/>
    <w:rsid w:val="00544B14"/>
    <w:rsid w:val="00551A5D"/>
    <w:rsid w:val="00553036"/>
    <w:rsid w:val="0055339F"/>
    <w:rsid w:val="005552AB"/>
    <w:rsid w:val="0056171D"/>
    <w:rsid w:val="00563080"/>
    <w:rsid w:val="005645BC"/>
    <w:rsid w:val="00567235"/>
    <w:rsid w:val="00571CE9"/>
    <w:rsid w:val="005724EB"/>
    <w:rsid w:val="00576ECB"/>
    <w:rsid w:val="005859F2"/>
    <w:rsid w:val="00590E85"/>
    <w:rsid w:val="00592027"/>
    <w:rsid w:val="00592756"/>
    <w:rsid w:val="00592E36"/>
    <w:rsid w:val="00594E1C"/>
    <w:rsid w:val="00595CAB"/>
    <w:rsid w:val="00596668"/>
    <w:rsid w:val="005A0BCA"/>
    <w:rsid w:val="005B780B"/>
    <w:rsid w:val="005C08F5"/>
    <w:rsid w:val="005C2029"/>
    <w:rsid w:val="005C2E7B"/>
    <w:rsid w:val="005C49A7"/>
    <w:rsid w:val="005C7DC0"/>
    <w:rsid w:val="005D3B30"/>
    <w:rsid w:val="005D5AF5"/>
    <w:rsid w:val="005E0D6B"/>
    <w:rsid w:val="005E3C54"/>
    <w:rsid w:val="005E6C5F"/>
    <w:rsid w:val="005F0DD8"/>
    <w:rsid w:val="00607F4C"/>
    <w:rsid w:val="00612738"/>
    <w:rsid w:val="0061700E"/>
    <w:rsid w:val="006216DB"/>
    <w:rsid w:val="006228DD"/>
    <w:rsid w:val="00623F0B"/>
    <w:rsid w:val="00625743"/>
    <w:rsid w:val="00625FE6"/>
    <w:rsid w:val="00626F0D"/>
    <w:rsid w:val="00627274"/>
    <w:rsid w:val="006328FC"/>
    <w:rsid w:val="00632D6A"/>
    <w:rsid w:val="006366B3"/>
    <w:rsid w:val="00640B0C"/>
    <w:rsid w:val="00647331"/>
    <w:rsid w:val="00652CD4"/>
    <w:rsid w:val="00653877"/>
    <w:rsid w:val="0065629F"/>
    <w:rsid w:val="00657A9F"/>
    <w:rsid w:val="00666D60"/>
    <w:rsid w:val="00670E83"/>
    <w:rsid w:val="00673C2E"/>
    <w:rsid w:val="00680C69"/>
    <w:rsid w:val="006849EE"/>
    <w:rsid w:val="006856C3"/>
    <w:rsid w:val="0069027A"/>
    <w:rsid w:val="00695A49"/>
    <w:rsid w:val="006A2C00"/>
    <w:rsid w:val="006A6D41"/>
    <w:rsid w:val="006A798B"/>
    <w:rsid w:val="006A7F1E"/>
    <w:rsid w:val="006B06F3"/>
    <w:rsid w:val="006B2134"/>
    <w:rsid w:val="006B30AB"/>
    <w:rsid w:val="006B68DA"/>
    <w:rsid w:val="006B7344"/>
    <w:rsid w:val="006C4AE2"/>
    <w:rsid w:val="006D3D99"/>
    <w:rsid w:val="006E719D"/>
    <w:rsid w:val="006F40E3"/>
    <w:rsid w:val="006F5591"/>
    <w:rsid w:val="006F6D02"/>
    <w:rsid w:val="007012FA"/>
    <w:rsid w:val="00702899"/>
    <w:rsid w:val="0070344A"/>
    <w:rsid w:val="0070443F"/>
    <w:rsid w:val="00704FC3"/>
    <w:rsid w:val="007074A7"/>
    <w:rsid w:val="00707B5B"/>
    <w:rsid w:val="007246BB"/>
    <w:rsid w:val="0072626D"/>
    <w:rsid w:val="00727A25"/>
    <w:rsid w:val="00731F79"/>
    <w:rsid w:val="00743BF1"/>
    <w:rsid w:val="00745A11"/>
    <w:rsid w:val="0074621B"/>
    <w:rsid w:val="00747212"/>
    <w:rsid w:val="00752087"/>
    <w:rsid w:val="00756153"/>
    <w:rsid w:val="0076067D"/>
    <w:rsid w:val="0076459B"/>
    <w:rsid w:val="00764870"/>
    <w:rsid w:val="00766710"/>
    <w:rsid w:val="00767303"/>
    <w:rsid w:val="0077013C"/>
    <w:rsid w:val="007776E6"/>
    <w:rsid w:val="00781A07"/>
    <w:rsid w:val="007837CA"/>
    <w:rsid w:val="00784F66"/>
    <w:rsid w:val="007856AE"/>
    <w:rsid w:val="0078798F"/>
    <w:rsid w:val="00795943"/>
    <w:rsid w:val="007A1F4F"/>
    <w:rsid w:val="007A5861"/>
    <w:rsid w:val="007A5C83"/>
    <w:rsid w:val="007A677B"/>
    <w:rsid w:val="007B3586"/>
    <w:rsid w:val="007C4058"/>
    <w:rsid w:val="007C65F0"/>
    <w:rsid w:val="007C6DC5"/>
    <w:rsid w:val="007D1743"/>
    <w:rsid w:val="007D3645"/>
    <w:rsid w:val="007D55E2"/>
    <w:rsid w:val="007D7786"/>
    <w:rsid w:val="007E211F"/>
    <w:rsid w:val="007F0F38"/>
    <w:rsid w:val="007F3DE9"/>
    <w:rsid w:val="007F4F8D"/>
    <w:rsid w:val="007F71B1"/>
    <w:rsid w:val="008050C3"/>
    <w:rsid w:val="00815FCA"/>
    <w:rsid w:val="0081699F"/>
    <w:rsid w:val="0081747B"/>
    <w:rsid w:val="008222E4"/>
    <w:rsid w:val="008238DC"/>
    <w:rsid w:val="00830610"/>
    <w:rsid w:val="00831C2A"/>
    <w:rsid w:val="00831F8E"/>
    <w:rsid w:val="00840608"/>
    <w:rsid w:val="00841160"/>
    <w:rsid w:val="008506DB"/>
    <w:rsid w:val="0085322A"/>
    <w:rsid w:val="00854255"/>
    <w:rsid w:val="008643B4"/>
    <w:rsid w:val="00867A79"/>
    <w:rsid w:val="00872480"/>
    <w:rsid w:val="00872F04"/>
    <w:rsid w:val="00873B2B"/>
    <w:rsid w:val="008740E0"/>
    <w:rsid w:val="0088437E"/>
    <w:rsid w:val="0089448C"/>
    <w:rsid w:val="008A49E3"/>
    <w:rsid w:val="008A49F0"/>
    <w:rsid w:val="008A7DC1"/>
    <w:rsid w:val="008B0E2A"/>
    <w:rsid w:val="008B41D2"/>
    <w:rsid w:val="008C184B"/>
    <w:rsid w:val="008C2AA3"/>
    <w:rsid w:val="008C5291"/>
    <w:rsid w:val="008C6308"/>
    <w:rsid w:val="008C6F3A"/>
    <w:rsid w:val="008D2A3A"/>
    <w:rsid w:val="008E0EA9"/>
    <w:rsid w:val="008E1EA1"/>
    <w:rsid w:val="008E40BE"/>
    <w:rsid w:val="008E64EF"/>
    <w:rsid w:val="008E6B6F"/>
    <w:rsid w:val="008F1944"/>
    <w:rsid w:val="008F2A11"/>
    <w:rsid w:val="008F483B"/>
    <w:rsid w:val="00901A2B"/>
    <w:rsid w:val="00902727"/>
    <w:rsid w:val="00903474"/>
    <w:rsid w:val="00904EB7"/>
    <w:rsid w:val="00906F28"/>
    <w:rsid w:val="00907E90"/>
    <w:rsid w:val="00925937"/>
    <w:rsid w:val="00931047"/>
    <w:rsid w:val="009314EB"/>
    <w:rsid w:val="00941492"/>
    <w:rsid w:val="009436CE"/>
    <w:rsid w:val="009444BC"/>
    <w:rsid w:val="00944ED1"/>
    <w:rsid w:val="00946B29"/>
    <w:rsid w:val="00952CE0"/>
    <w:rsid w:val="00953CF9"/>
    <w:rsid w:val="00956968"/>
    <w:rsid w:val="00956F9A"/>
    <w:rsid w:val="00957549"/>
    <w:rsid w:val="00961651"/>
    <w:rsid w:val="009640AB"/>
    <w:rsid w:val="00971404"/>
    <w:rsid w:val="00983F86"/>
    <w:rsid w:val="00987671"/>
    <w:rsid w:val="00991DD4"/>
    <w:rsid w:val="009952A6"/>
    <w:rsid w:val="00997B55"/>
    <w:rsid w:val="009A4D8F"/>
    <w:rsid w:val="009A79A1"/>
    <w:rsid w:val="009A7FB1"/>
    <w:rsid w:val="009B24E8"/>
    <w:rsid w:val="009B263F"/>
    <w:rsid w:val="009B4876"/>
    <w:rsid w:val="009B6B6D"/>
    <w:rsid w:val="009C3EA3"/>
    <w:rsid w:val="009D3C02"/>
    <w:rsid w:val="009D6286"/>
    <w:rsid w:val="009E22A7"/>
    <w:rsid w:val="009E4EDE"/>
    <w:rsid w:val="009F5BA4"/>
    <w:rsid w:val="009F5C12"/>
    <w:rsid w:val="009F6047"/>
    <w:rsid w:val="00A00A9B"/>
    <w:rsid w:val="00A0136D"/>
    <w:rsid w:val="00A02E93"/>
    <w:rsid w:val="00A035B4"/>
    <w:rsid w:val="00A05A85"/>
    <w:rsid w:val="00A05F19"/>
    <w:rsid w:val="00A07035"/>
    <w:rsid w:val="00A07872"/>
    <w:rsid w:val="00A07E1C"/>
    <w:rsid w:val="00A10AFF"/>
    <w:rsid w:val="00A11142"/>
    <w:rsid w:val="00A121FC"/>
    <w:rsid w:val="00A2015E"/>
    <w:rsid w:val="00A20205"/>
    <w:rsid w:val="00A203D5"/>
    <w:rsid w:val="00A20792"/>
    <w:rsid w:val="00A249C0"/>
    <w:rsid w:val="00A41D9A"/>
    <w:rsid w:val="00A44EBB"/>
    <w:rsid w:val="00A46AE2"/>
    <w:rsid w:val="00A51B80"/>
    <w:rsid w:val="00A569A4"/>
    <w:rsid w:val="00A60CD9"/>
    <w:rsid w:val="00A6582E"/>
    <w:rsid w:val="00A72450"/>
    <w:rsid w:val="00A8326D"/>
    <w:rsid w:val="00A83B83"/>
    <w:rsid w:val="00A8413D"/>
    <w:rsid w:val="00A87372"/>
    <w:rsid w:val="00A9347C"/>
    <w:rsid w:val="00A93502"/>
    <w:rsid w:val="00A946C5"/>
    <w:rsid w:val="00AA2BF4"/>
    <w:rsid w:val="00AA49B3"/>
    <w:rsid w:val="00AC1E29"/>
    <w:rsid w:val="00AC46FE"/>
    <w:rsid w:val="00AC489C"/>
    <w:rsid w:val="00AC51B5"/>
    <w:rsid w:val="00AC75FF"/>
    <w:rsid w:val="00AD4B91"/>
    <w:rsid w:val="00AD6C4D"/>
    <w:rsid w:val="00AE0C26"/>
    <w:rsid w:val="00AE0D4C"/>
    <w:rsid w:val="00AF1191"/>
    <w:rsid w:val="00AF30A4"/>
    <w:rsid w:val="00AF6F63"/>
    <w:rsid w:val="00B0270C"/>
    <w:rsid w:val="00B03093"/>
    <w:rsid w:val="00B06B32"/>
    <w:rsid w:val="00B11D21"/>
    <w:rsid w:val="00B20213"/>
    <w:rsid w:val="00B22653"/>
    <w:rsid w:val="00B23784"/>
    <w:rsid w:val="00B24A49"/>
    <w:rsid w:val="00B253A6"/>
    <w:rsid w:val="00B303D1"/>
    <w:rsid w:val="00B35C18"/>
    <w:rsid w:val="00B41DF8"/>
    <w:rsid w:val="00B47D3B"/>
    <w:rsid w:val="00B50340"/>
    <w:rsid w:val="00B50783"/>
    <w:rsid w:val="00B56A4E"/>
    <w:rsid w:val="00B56F33"/>
    <w:rsid w:val="00B6031F"/>
    <w:rsid w:val="00B60EFA"/>
    <w:rsid w:val="00B636CE"/>
    <w:rsid w:val="00B64DD8"/>
    <w:rsid w:val="00B7050F"/>
    <w:rsid w:val="00B71BE7"/>
    <w:rsid w:val="00B8047C"/>
    <w:rsid w:val="00B821D7"/>
    <w:rsid w:val="00B8364F"/>
    <w:rsid w:val="00B86C30"/>
    <w:rsid w:val="00B870A8"/>
    <w:rsid w:val="00B878F3"/>
    <w:rsid w:val="00B96084"/>
    <w:rsid w:val="00BA3493"/>
    <w:rsid w:val="00BA3FF9"/>
    <w:rsid w:val="00BA4AEB"/>
    <w:rsid w:val="00BA509E"/>
    <w:rsid w:val="00BB030E"/>
    <w:rsid w:val="00BB30F6"/>
    <w:rsid w:val="00BB31E8"/>
    <w:rsid w:val="00BB3EC7"/>
    <w:rsid w:val="00BC38E3"/>
    <w:rsid w:val="00BC4E8A"/>
    <w:rsid w:val="00BD0D64"/>
    <w:rsid w:val="00BD1C11"/>
    <w:rsid w:val="00BD43DD"/>
    <w:rsid w:val="00BD52ED"/>
    <w:rsid w:val="00BD6725"/>
    <w:rsid w:val="00BE12B9"/>
    <w:rsid w:val="00BE250B"/>
    <w:rsid w:val="00BF0553"/>
    <w:rsid w:val="00BF4A60"/>
    <w:rsid w:val="00BF5DD6"/>
    <w:rsid w:val="00BF63F2"/>
    <w:rsid w:val="00C031ED"/>
    <w:rsid w:val="00C075BA"/>
    <w:rsid w:val="00C079AF"/>
    <w:rsid w:val="00C101C3"/>
    <w:rsid w:val="00C16F9B"/>
    <w:rsid w:val="00C20F38"/>
    <w:rsid w:val="00C22933"/>
    <w:rsid w:val="00C245DB"/>
    <w:rsid w:val="00C37863"/>
    <w:rsid w:val="00C461E7"/>
    <w:rsid w:val="00C467AC"/>
    <w:rsid w:val="00C50B87"/>
    <w:rsid w:val="00C518D2"/>
    <w:rsid w:val="00C56DF3"/>
    <w:rsid w:val="00C57675"/>
    <w:rsid w:val="00C62DC8"/>
    <w:rsid w:val="00C639B2"/>
    <w:rsid w:val="00C6555A"/>
    <w:rsid w:val="00C670EC"/>
    <w:rsid w:val="00C705A1"/>
    <w:rsid w:val="00C709A1"/>
    <w:rsid w:val="00C729CB"/>
    <w:rsid w:val="00C75ADD"/>
    <w:rsid w:val="00C80877"/>
    <w:rsid w:val="00C81ED6"/>
    <w:rsid w:val="00C833A8"/>
    <w:rsid w:val="00C8447C"/>
    <w:rsid w:val="00C85021"/>
    <w:rsid w:val="00C8611E"/>
    <w:rsid w:val="00C87DE5"/>
    <w:rsid w:val="00C9210E"/>
    <w:rsid w:val="00C92AF0"/>
    <w:rsid w:val="00C94A7C"/>
    <w:rsid w:val="00CA1C02"/>
    <w:rsid w:val="00CA76B4"/>
    <w:rsid w:val="00CB0392"/>
    <w:rsid w:val="00CB4D98"/>
    <w:rsid w:val="00CC0CD9"/>
    <w:rsid w:val="00CC2671"/>
    <w:rsid w:val="00CC3B5D"/>
    <w:rsid w:val="00CC4E33"/>
    <w:rsid w:val="00CC783F"/>
    <w:rsid w:val="00CD01B8"/>
    <w:rsid w:val="00CD6D4D"/>
    <w:rsid w:val="00CE3EE3"/>
    <w:rsid w:val="00CE56A5"/>
    <w:rsid w:val="00CF0277"/>
    <w:rsid w:val="00CF1415"/>
    <w:rsid w:val="00CF2380"/>
    <w:rsid w:val="00CF3073"/>
    <w:rsid w:val="00CF4188"/>
    <w:rsid w:val="00D01249"/>
    <w:rsid w:val="00D03647"/>
    <w:rsid w:val="00D126FC"/>
    <w:rsid w:val="00D1348A"/>
    <w:rsid w:val="00D157D2"/>
    <w:rsid w:val="00D233A7"/>
    <w:rsid w:val="00D24EED"/>
    <w:rsid w:val="00D2720B"/>
    <w:rsid w:val="00D33251"/>
    <w:rsid w:val="00D34EB8"/>
    <w:rsid w:val="00D40539"/>
    <w:rsid w:val="00D475E0"/>
    <w:rsid w:val="00D673AF"/>
    <w:rsid w:val="00D721BD"/>
    <w:rsid w:val="00D73C65"/>
    <w:rsid w:val="00D740D6"/>
    <w:rsid w:val="00D74334"/>
    <w:rsid w:val="00D77381"/>
    <w:rsid w:val="00D77A7F"/>
    <w:rsid w:val="00D8172B"/>
    <w:rsid w:val="00D8562D"/>
    <w:rsid w:val="00D901A3"/>
    <w:rsid w:val="00D909F5"/>
    <w:rsid w:val="00D91D46"/>
    <w:rsid w:val="00D9342D"/>
    <w:rsid w:val="00D94875"/>
    <w:rsid w:val="00D95278"/>
    <w:rsid w:val="00DA24B2"/>
    <w:rsid w:val="00DA3269"/>
    <w:rsid w:val="00DA637C"/>
    <w:rsid w:val="00DA63E8"/>
    <w:rsid w:val="00DA7888"/>
    <w:rsid w:val="00DA7EB3"/>
    <w:rsid w:val="00DB09D8"/>
    <w:rsid w:val="00DB1DA9"/>
    <w:rsid w:val="00DB301B"/>
    <w:rsid w:val="00DC0A3C"/>
    <w:rsid w:val="00DC225D"/>
    <w:rsid w:val="00DC7777"/>
    <w:rsid w:val="00DE3B8F"/>
    <w:rsid w:val="00DE48D6"/>
    <w:rsid w:val="00E00075"/>
    <w:rsid w:val="00E03964"/>
    <w:rsid w:val="00E1246C"/>
    <w:rsid w:val="00E135D1"/>
    <w:rsid w:val="00E20F67"/>
    <w:rsid w:val="00E21912"/>
    <w:rsid w:val="00E22A0F"/>
    <w:rsid w:val="00E301F4"/>
    <w:rsid w:val="00E31AAA"/>
    <w:rsid w:val="00E33BBF"/>
    <w:rsid w:val="00E3458C"/>
    <w:rsid w:val="00E408DF"/>
    <w:rsid w:val="00E40D82"/>
    <w:rsid w:val="00E41B80"/>
    <w:rsid w:val="00E54EBD"/>
    <w:rsid w:val="00E574B2"/>
    <w:rsid w:val="00E600F5"/>
    <w:rsid w:val="00E605DB"/>
    <w:rsid w:val="00E643E4"/>
    <w:rsid w:val="00E64A94"/>
    <w:rsid w:val="00E6634E"/>
    <w:rsid w:val="00E678B0"/>
    <w:rsid w:val="00E67EC8"/>
    <w:rsid w:val="00E77098"/>
    <w:rsid w:val="00E811D5"/>
    <w:rsid w:val="00E821B2"/>
    <w:rsid w:val="00E83F06"/>
    <w:rsid w:val="00E852B2"/>
    <w:rsid w:val="00E855B9"/>
    <w:rsid w:val="00E92095"/>
    <w:rsid w:val="00E9499B"/>
    <w:rsid w:val="00E97056"/>
    <w:rsid w:val="00EB033B"/>
    <w:rsid w:val="00EB150D"/>
    <w:rsid w:val="00EB5A7D"/>
    <w:rsid w:val="00EB6D02"/>
    <w:rsid w:val="00EC326D"/>
    <w:rsid w:val="00EC659C"/>
    <w:rsid w:val="00ED76C5"/>
    <w:rsid w:val="00EE54D7"/>
    <w:rsid w:val="00EE6E09"/>
    <w:rsid w:val="00F00E4E"/>
    <w:rsid w:val="00F016BC"/>
    <w:rsid w:val="00F01F6E"/>
    <w:rsid w:val="00F04E46"/>
    <w:rsid w:val="00F10A8E"/>
    <w:rsid w:val="00F164F1"/>
    <w:rsid w:val="00F20F48"/>
    <w:rsid w:val="00F2427B"/>
    <w:rsid w:val="00F242FF"/>
    <w:rsid w:val="00F268DE"/>
    <w:rsid w:val="00F26984"/>
    <w:rsid w:val="00F31E23"/>
    <w:rsid w:val="00F320E2"/>
    <w:rsid w:val="00F3451A"/>
    <w:rsid w:val="00F41C32"/>
    <w:rsid w:val="00F4218F"/>
    <w:rsid w:val="00F42BEB"/>
    <w:rsid w:val="00F460E5"/>
    <w:rsid w:val="00F60D58"/>
    <w:rsid w:val="00F63BB1"/>
    <w:rsid w:val="00F655B5"/>
    <w:rsid w:val="00F712A9"/>
    <w:rsid w:val="00F7226F"/>
    <w:rsid w:val="00F90A6D"/>
    <w:rsid w:val="00F9178A"/>
    <w:rsid w:val="00F952EA"/>
    <w:rsid w:val="00F96C57"/>
    <w:rsid w:val="00FA3055"/>
    <w:rsid w:val="00FA5B7C"/>
    <w:rsid w:val="00FA7712"/>
    <w:rsid w:val="00FB06EE"/>
    <w:rsid w:val="00FB0AEF"/>
    <w:rsid w:val="00FB1159"/>
    <w:rsid w:val="00FB13DC"/>
    <w:rsid w:val="00FB22D2"/>
    <w:rsid w:val="00FC25CA"/>
    <w:rsid w:val="00FD2932"/>
    <w:rsid w:val="00FD2D2E"/>
    <w:rsid w:val="00FF453A"/>
    <w:rsid w:val="00FF58DE"/>
    <w:rsid w:val="07D63618"/>
    <w:rsid w:val="0808579C"/>
    <w:rsid w:val="082E5202"/>
    <w:rsid w:val="0AAE262A"/>
    <w:rsid w:val="0ACB4F8A"/>
    <w:rsid w:val="0D314E4D"/>
    <w:rsid w:val="12826F09"/>
    <w:rsid w:val="14CB202B"/>
    <w:rsid w:val="18704371"/>
    <w:rsid w:val="18722EE9"/>
    <w:rsid w:val="1EC71AB5"/>
    <w:rsid w:val="1F170A4F"/>
    <w:rsid w:val="20C718F8"/>
    <w:rsid w:val="21C5052E"/>
    <w:rsid w:val="22FF181D"/>
    <w:rsid w:val="24A563F4"/>
    <w:rsid w:val="259A3A7F"/>
    <w:rsid w:val="264673FE"/>
    <w:rsid w:val="2683689D"/>
    <w:rsid w:val="27221F7E"/>
    <w:rsid w:val="2725381D"/>
    <w:rsid w:val="27781B9E"/>
    <w:rsid w:val="2D927276"/>
    <w:rsid w:val="35042CC3"/>
    <w:rsid w:val="37ED3EE3"/>
    <w:rsid w:val="38431D54"/>
    <w:rsid w:val="3B2220F5"/>
    <w:rsid w:val="3E216694"/>
    <w:rsid w:val="3F827606"/>
    <w:rsid w:val="41B3357F"/>
    <w:rsid w:val="47AD0F98"/>
    <w:rsid w:val="4914081D"/>
    <w:rsid w:val="4A9326C8"/>
    <w:rsid w:val="4C4F6AC2"/>
    <w:rsid w:val="4E1A5550"/>
    <w:rsid w:val="53B06098"/>
    <w:rsid w:val="54556C40"/>
    <w:rsid w:val="55D63DB0"/>
    <w:rsid w:val="57AA72A2"/>
    <w:rsid w:val="5B6065F6"/>
    <w:rsid w:val="5E8F2D4E"/>
    <w:rsid w:val="5FE84E0C"/>
    <w:rsid w:val="604177BD"/>
    <w:rsid w:val="61734BA9"/>
    <w:rsid w:val="69CE5072"/>
    <w:rsid w:val="6C417D7E"/>
    <w:rsid w:val="779D532B"/>
    <w:rsid w:val="78F148D9"/>
    <w:rsid w:val="7B1A0118"/>
    <w:rsid w:val="7EAD12A3"/>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uiPriority w:val="99"/>
    <w:pPr>
      <w:jc w:val="left"/>
    </w:pPr>
  </w:style>
  <w:style w:type="paragraph" w:styleId="3">
    <w:name w:val="Balloon Text"/>
    <w:basedOn w:val="1"/>
    <w:link w:val="22"/>
    <w:semiHidden/>
    <w:unhideWhenUsed/>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uiPriority w:val="99"/>
    <w:pP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21"/>
    <w:semiHidden/>
    <w:unhideWhenUsed/>
    <w:uiPriority w:val="99"/>
    <w:rPr>
      <w:b/>
      <w:bCs/>
    </w:rPr>
  </w:style>
  <w:style w:type="table" w:styleId="9">
    <w:name w:val="Table Grid"/>
    <w:basedOn w:val="8"/>
    <w:qFormat/>
    <w:uiPriority w:val="3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semiHidden/>
    <w:unhideWhenUsed/>
    <w:uiPriority w:val="99"/>
    <w:rPr>
      <w:color w:val="954F72"/>
      <w:u w:val="single"/>
    </w:rPr>
  </w:style>
  <w:style w:type="character" w:styleId="12">
    <w:name w:val="Hyperlink"/>
    <w:basedOn w:val="10"/>
    <w:semiHidden/>
    <w:unhideWhenUsed/>
    <w:uiPriority w:val="99"/>
    <w:rPr>
      <w:color w:val="0563C1"/>
      <w:u w:val="single"/>
    </w:rPr>
  </w:style>
  <w:style w:type="character" w:styleId="13">
    <w:name w:val="annotation reference"/>
    <w:basedOn w:val="10"/>
    <w:semiHidden/>
    <w:unhideWhenUsed/>
    <w:uiPriority w:val="99"/>
    <w:rPr>
      <w:sz w:val="21"/>
      <w:szCs w:val="21"/>
    </w:rPr>
  </w:style>
  <w:style w:type="character" w:customStyle="1" w:styleId="14">
    <w:name w:val="页眉 Char"/>
    <w:basedOn w:val="10"/>
    <w:link w:val="5"/>
    <w:uiPriority w:val="99"/>
    <w:rPr>
      <w:sz w:val="18"/>
      <w:szCs w:val="18"/>
    </w:rPr>
  </w:style>
  <w:style w:type="character" w:customStyle="1" w:styleId="15">
    <w:name w:val="页脚 Char"/>
    <w:basedOn w:val="10"/>
    <w:link w:val="4"/>
    <w:uiPriority w:val="99"/>
    <w:rPr>
      <w:sz w:val="18"/>
      <w:szCs w:val="18"/>
    </w:rPr>
  </w:style>
  <w:style w:type="paragraph" w:styleId="16">
    <w:name w:val="List Paragraph"/>
    <w:basedOn w:val="1"/>
    <w:qFormat/>
    <w:uiPriority w:val="34"/>
    <w:pPr>
      <w:ind w:firstLine="420" w:firstLineChars="200"/>
    </w:pPr>
  </w:style>
  <w:style w:type="paragraph" w:customStyle="1" w:styleId="17">
    <w:name w:val="Char Char Char"/>
    <w:basedOn w:val="1"/>
    <w:qFormat/>
    <w:uiPriority w:val="99"/>
    <w:rPr>
      <w:rFonts w:ascii="Times New Roman" w:hAnsi="Times New Roman" w:eastAsia="宋体" w:cs="Times New Roman"/>
      <w:szCs w:val="21"/>
    </w:rPr>
  </w:style>
  <w:style w:type="character" w:customStyle="1" w:styleId="18">
    <w:name w:val="highlight"/>
    <w:basedOn w:val="10"/>
    <w:qFormat/>
    <w:uiPriority w:val="0"/>
  </w:style>
  <w:style w:type="paragraph" w:customStyle="1" w:styleId="19">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0">
    <w:name w:val="批注文字 Char"/>
    <w:basedOn w:val="10"/>
    <w:link w:val="2"/>
    <w:qFormat/>
    <w:uiPriority w:val="99"/>
  </w:style>
  <w:style w:type="character" w:customStyle="1" w:styleId="21">
    <w:name w:val="批注主题 Char"/>
    <w:basedOn w:val="20"/>
    <w:link w:val="7"/>
    <w:semiHidden/>
    <w:uiPriority w:val="99"/>
    <w:rPr>
      <w:b/>
      <w:bCs/>
    </w:rPr>
  </w:style>
  <w:style w:type="character" w:customStyle="1" w:styleId="22">
    <w:name w:val="批注框文本 Char"/>
    <w:basedOn w:val="10"/>
    <w:link w:val="3"/>
    <w:semiHidden/>
    <w:uiPriority w:val="99"/>
    <w:rPr>
      <w:sz w:val="18"/>
      <w:szCs w:val="18"/>
    </w:rPr>
  </w:style>
  <w:style w:type="table" w:customStyle="1" w:styleId="23">
    <w:name w:val="网格型浅色1"/>
    <w:basedOn w:val="8"/>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24">
    <w:name w:val="msonormal"/>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font5"/>
    <w:basedOn w:val="1"/>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6">
    <w:name w:val="xl63"/>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27">
    <w:name w:val="xl64"/>
    <w:basedOn w:val="1"/>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28">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9">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szCs w:val="24"/>
    </w:rPr>
  </w:style>
  <w:style w:type="paragraph" w:customStyle="1" w:styleId="30">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31">
    <w:name w:val="xl68"/>
    <w:basedOn w:val="1"/>
    <w:uiPriority w:val="0"/>
    <w:pPr>
      <w:widowControl/>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jc w:val="left"/>
    </w:pPr>
    <w:rPr>
      <w:rFonts w:ascii="宋体" w:hAnsi="宋体" w:eastAsia="宋体" w:cs="宋体"/>
      <w:kern w:val="0"/>
      <w:sz w:val="24"/>
      <w:szCs w:val="24"/>
    </w:rPr>
  </w:style>
  <w:style w:type="paragraph" w:customStyle="1" w:styleId="32">
    <w:name w:val="xl69"/>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eastAsia="宋体" w:cs="宋体"/>
      <w:kern w:val="0"/>
      <w:sz w:val="24"/>
      <w:szCs w:val="24"/>
    </w:rPr>
  </w:style>
  <w:style w:type="paragraph" w:customStyle="1" w:styleId="33">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4">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35">
    <w:name w:val="xl7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6">
    <w:name w:val="xl73"/>
    <w:basedOn w:val="1"/>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eastAsia="宋体" w:cs="宋体"/>
      <w:kern w:val="0"/>
      <w:sz w:val="24"/>
      <w:szCs w:val="24"/>
    </w:rPr>
  </w:style>
  <w:style w:type="paragraph" w:customStyle="1" w:styleId="37">
    <w:name w:val="xl74"/>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8">
    <w:name w:val="xl75"/>
    <w:basedOn w:val="1"/>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9">
    <w:name w:val="xl76"/>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0">
    <w:name w:val="xl77"/>
    <w:basedOn w:val="1"/>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1">
    <w:name w:val="xl78"/>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42">
    <w:name w:val="xl79"/>
    <w:basedOn w:val="1"/>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43">
    <w:name w:val="xl80"/>
    <w:basedOn w:val="1"/>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character" w:customStyle="1" w:styleId="44">
    <w:name w:val="cf01"/>
    <w:basedOn w:val="10"/>
    <w:uiPriority w:val="0"/>
    <w:rPr>
      <w:rFonts w:hint="eastAsia" w:ascii="Microsoft YaHei UI" w:hAnsi="Microsoft YaHei UI" w:eastAsia="Microsoft YaHei U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44</Pages>
  <Words>28627</Words>
  <Characters>35957</Characters>
  <Lines>281</Lines>
  <Paragraphs>79</Paragraphs>
  <TotalTime>19</TotalTime>
  <ScaleCrop>false</ScaleCrop>
  <LinksUpToDate>false</LinksUpToDate>
  <CharactersWithSpaces>36718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2023-06-27T03:18:00Z</dcterms:created>
  <dc:creator>楼佳男</dc:creator>
  <cp:lastModifiedBy>王雅杰</cp:lastModifiedBy>
  <cp:lastPrinted>2023-06-27T06:08:06Z</cp:lastPrinted>
  <dcterms:modified xsi:type="dcterms:W3CDTF">2023-06-27T07:15:30Z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C921EF04BE9D4EBB98F4DF9C2F9C5F55_12</vt:lpwstr>
  </property>
</Properties>
</file>