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both"/>
        <w:rPr>
          <w:rFonts w:ascii="黑体" w:hAnsi="宋体"/>
          <w:b/>
          <w:bCs/>
          <w:color w:val="FF0000"/>
          <w:sz w:val="32"/>
          <w:highlight w:val="none"/>
        </w:rPr>
      </w:pPr>
      <w:r>
        <w:rPr>
          <w:rFonts w:hint="eastAsia" w:ascii="宋体" w:hAnsi="宋体" w:cs="宋体"/>
          <w:color w:val="000000"/>
          <w:kern w:val="0"/>
          <w:sz w:val="24"/>
        </w:rPr>
        <w:t>证券代码：600200         证券简称：江苏吴中     公告编号：临2022-</w:t>
      </w:r>
      <w:r>
        <w:rPr>
          <w:rFonts w:hint="eastAsia" w:ascii="宋体" w:hAnsi="宋体" w:cs="宋体"/>
          <w:color w:val="000000"/>
          <w:kern w:val="0"/>
          <w:sz w:val="24"/>
          <w:highlight w:val="none"/>
        </w:rPr>
        <w:t>068</w:t>
      </w:r>
      <w:bookmarkStart w:id="0" w:name="_GoBack"/>
      <w:bookmarkEnd w:id="0"/>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关于股份性质变更暨2021年限制性股票</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激励计划预留授予的进展公告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pStyle w:val="13"/>
        <w:tabs>
          <w:tab w:val="left" w:pos="7140"/>
        </w:tabs>
        <w:spacing w:line="360" w:lineRule="auto"/>
      </w:pPr>
    </w:p>
    <w:p>
      <w:pPr>
        <w:spacing w:line="360" w:lineRule="auto"/>
        <w:ind w:firstLine="480" w:firstLineChars="200"/>
        <w:rPr>
          <w:rFonts w:ascii="宋体" w:hAnsi="宋体"/>
          <w:sz w:val="24"/>
        </w:rPr>
      </w:pPr>
      <w:r>
        <w:rPr>
          <w:rFonts w:hint="eastAsia" w:ascii="宋体" w:hAnsi="宋体"/>
          <w:sz w:val="24"/>
        </w:rPr>
        <w:t>根据江苏吴中医药发展股份有限公司（以下简称“公司”）2022年第一次临时股东大会的授权，公司于2022年10月28日召开第十届董事会第六次会议（通讯表决）和第十届监事会第六次会议（通讯表决），审议通过了《公司关于向激励对象授予2021年限制性股票激励计划预留部分限制性股票的议案》，同意确定以2022年10月31日为预留部分限制性股票的授予日，向符合条件的17名激励对象授予80.5303万股限制性股票，预留授予价格为3.49元/股。具体内容详见公司于2022年10月29日在上海证券交易所网站（www.sse.com.cn）披露的相关公告。</w:t>
      </w:r>
    </w:p>
    <w:p>
      <w:pPr>
        <w:spacing w:line="360" w:lineRule="auto"/>
        <w:ind w:firstLine="480" w:firstLineChars="200"/>
        <w:rPr>
          <w:rFonts w:ascii="宋体" w:hAnsi="宋体"/>
          <w:sz w:val="24"/>
        </w:rPr>
      </w:pPr>
      <w:r>
        <w:rPr>
          <w:rFonts w:hint="eastAsia" w:ascii="宋体" w:hAnsi="宋体"/>
          <w:sz w:val="24"/>
        </w:rPr>
        <w:t>目前本次预留授予的激励对象已完成缴款，共有17名激励对象完成认购80.5303万股。2022年11月15日，</w:t>
      </w:r>
      <w:r>
        <w:rPr>
          <w:rFonts w:hint="eastAsia" w:asciiTheme="minorEastAsia" w:hAnsiTheme="minorEastAsia" w:eastAsiaTheme="minorEastAsia" w:cstheme="minorEastAsia"/>
          <w:sz w:val="24"/>
        </w:rPr>
        <w:t>中兴财光华会计师事务所（特殊普通合伙）</w:t>
      </w:r>
      <w:r>
        <w:rPr>
          <w:rFonts w:hint="eastAsia" w:ascii="宋体" w:hAnsi="宋体"/>
          <w:sz w:val="24"/>
        </w:rPr>
        <w:t>出具了验资报告（</w:t>
      </w:r>
      <w:r>
        <w:rPr>
          <w:rFonts w:hint="eastAsia" w:asciiTheme="minorEastAsia" w:hAnsiTheme="minorEastAsia" w:eastAsiaTheme="minorEastAsia" w:cstheme="minorEastAsia"/>
          <w:sz w:val="24"/>
        </w:rPr>
        <w:t>中兴财光华</w:t>
      </w:r>
      <w:r>
        <w:rPr>
          <w:rFonts w:hint="eastAsia" w:ascii="宋体" w:hAnsi="宋体"/>
          <w:sz w:val="24"/>
        </w:rPr>
        <w:t>审验字（2022）第318011号），截至2022年11月4日止，公司实际已收到17名激励对象缴纳的认购款合计人民币2,810,507.47元。</w:t>
      </w:r>
    </w:p>
    <w:p>
      <w:pPr>
        <w:spacing w:line="360" w:lineRule="auto"/>
        <w:ind w:firstLine="480" w:firstLineChars="200"/>
        <w:rPr>
          <w:rFonts w:ascii="宋体" w:hAnsi="宋体"/>
          <w:sz w:val="24"/>
        </w:rPr>
      </w:pPr>
      <w:r>
        <w:rPr>
          <w:rFonts w:hint="eastAsia" w:ascii="宋体" w:hAnsi="宋体"/>
          <w:sz w:val="24"/>
        </w:rPr>
        <w:t>本次预留授予17名激励对象限制性股票共计805,303股，股份来源为公司从二级市场回购的本公司A股普通股。经公司与上海证券交易所和中国证券登记结算有限责任公司上海分公司确认，上述用于《公司2021年限制性股票激励计划》（以下简称“本次激励计划”）限制性股票授予的805,303股回购股份将由无限售条件流通股变更为有限售条件流通股。本次变更前后，公司的股本结构如下：</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126"/>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szCs w:val="21"/>
              </w:rPr>
            </w:pPr>
            <w:r>
              <w:rPr>
                <w:rFonts w:hint="eastAsia" w:ascii="宋体" w:hAnsi="宋体"/>
                <w:b/>
                <w:szCs w:val="21"/>
              </w:rPr>
              <w:t>证券类别</w:t>
            </w:r>
          </w:p>
        </w:tc>
        <w:tc>
          <w:tcPr>
            <w:tcW w:w="2126" w:type="dxa"/>
            <w:vAlign w:val="center"/>
          </w:tcPr>
          <w:p>
            <w:pPr>
              <w:pStyle w:val="13"/>
              <w:jc w:val="center"/>
              <w:rPr>
                <w:b/>
                <w:sz w:val="21"/>
                <w:szCs w:val="21"/>
              </w:rPr>
            </w:pPr>
            <w:r>
              <w:rPr>
                <w:rFonts w:hint="eastAsia"/>
                <w:b/>
                <w:sz w:val="21"/>
                <w:szCs w:val="21"/>
              </w:rPr>
              <w:t>变更前股份数量（股）</w:t>
            </w:r>
          </w:p>
        </w:tc>
        <w:tc>
          <w:tcPr>
            <w:tcW w:w="2410" w:type="dxa"/>
            <w:vAlign w:val="center"/>
          </w:tcPr>
          <w:p>
            <w:pPr>
              <w:pStyle w:val="13"/>
              <w:jc w:val="center"/>
              <w:rPr>
                <w:b/>
                <w:sz w:val="21"/>
                <w:szCs w:val="21"/>
              </w:rPr>
            </w:pPr>
            <w:r>
              <w:rPr>
                <w:rFonts w:hint="eastAsia"/>
                <w:b/>
                <w:sz w:val="21"/>
                <w:szCs w:val="21"/>
              </w:rPr>
              <w:t>本次变更股份数量（股）</w:t>
            </w:r>
          </w:p>
        </w:tc>
        <w:tc>
          <w:tcPr>
            <w:tcW w:w="2126" w:type="dxa"/>
            <w:vAlign w:val="center"/>
          </w:tcPr>
          <w:p>
            <w:pPr>
              <w:pStyle w:val="13"/>
              <w:jc w:val="center"/>
              <w:rPr>
                <w:b/>
                <w:sz w:val="21"/>
                <w:szCs w:val="21"/>
              </w:rPr>
            </w:pPr>
            <w:r>
              <w:rPr>
                <w:rFonts w:hint="eastAsia"/>
                <w:b/>
                <w:sz w:val="21"/>
                <w:szCs w:val="21"/>
              </w:rPr>
              <w:t>变更后股份数量（股）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szCs w:val="21"/>
              </w:rPr>
            </w:pPr>
            <w:r>
              <w:rPr>
                <w:rFonts w:hint="eastAsia" w:ascii="宋体" w:hAnsi="宋体"/>
                <w:b/>
                <w:szCs w:val="21"/>
              </w:rPr>
              <w:t>无限售条件流通股</w:t>
            </w:r>
          </w:p>
        </w:tc>
        <w:tc>
          <w:tcPr>
            <w:tcW w:w="2126" w:type="dxa"/>
            <w:vAlign w:val="center"/>
          </w:tcPr>
          <w:p>
            <w:pPr>
              <w:spacing w:line="360" w:lineRule="auto"/>
              <w:jc w:val="center"/>
              <w:rPr>
                <w:rFonts w:ascii="宋体" w:hAnsi="宋体"/>
                <w:szCs w:val="21"/>
              </w:rPr>
            </w:pPr>
            <w:r>
              <w:rPr>
                <w:rFonts w:ascii="宋体" w:hAnsi="宋体"/>
                <w:szCs w:val="21"/>
              </w:rPr>
              <w:t>7</w:t>
            </w:r>
            <w:r>
              <w:rPr>
                <w:rFonts w:hint="eastAsia" w:ascii="宋体" w:hAnsi="宋体"/>
                <w:szCs w:val="21"/>
              </w:rPr>
              <w:t>09</w:t>
            </w:r>
            <w:r>
              <w:rPr>
                <w:rFonts w:ascii="宋体" w:hAnsi="宋体"/>
                <w:szCs w:val="21"/>
              </w:rPr>
              <w:t>,</w:t>
            </w:r>
            <w:r>
              <w:rPr>
                <w:rFonts w:hint="eastAsia" w:ascii="宋体" w:hAnsi="宋体"/>
                <w:szCs w:val="21"/>
              </w:rPr>
              <w:t>084</w:t>
            </w:r>
            <w:r>
              <w:rPr>
                <w:rFonts w:ascii="宋体" w:hAnsi="宋体"/>
                <w:szCs w:val="21"/>
              </w:rPr>
              <w:t>,832</w:t>
            </w:r>
          </w:p>
        </w:tc>
        <w:tc>
          <w:tcPr>
            <w:tcW w:w="2410" w:type="dxa"/>
            <w:vAlign w:val="center"/>
          </w:tcPr>
          <w:p>
            <w:pPr>
              <w:spacing w:line="360" w:lineRule="auto"/>
              <w:jc w:val="center"/>
              <w:rPr>
                <w:rFonts w:ascii="宋体" w:hAnsi="宋体"/>
                <w:szCs w:val="21"/>
              </w:rPr>
            </w:pPr>
            <w:r>
              <w:rPr>
                <w:rFonts w:ascii="宋体" w:hAnsi="宋体"/>
                <w:szCs w:val="21"/>
              </w:rPr>
              <w:t>-</w:t>
            </w:r>
            <w:r>
              <w:rPr>
                <w:rFonts w:hint="eastAsia" w:ascii="宋体" w:hAnsi="宋体"/>
                <w:szCs w:val="21"/>
              </w:rPr>
              <w:t>805</w:t>
            </w:r>
            <w:r>
              <w:rPr>
                <w:rFonts w:ascii="宋体" w:hAnsi="宋体"/>
                <w:szCs w:val="21"/>
              </w:rPr>
              <w:t>,</w:t>
            </w:r>
            <w:r>
              <w:rPr>
                <w:rFonts w:hint="eastAsia" w:ascii="宋体" w:hAnsi="宋体"/>
                <w:szCs w:val="21"/>
              </w:rPr>
              <w:t>303</w:t>
            </w:r>
          </w:p>
        </w:tc>
        <w:tc>
          <w:tcPr>
            <w:tcW w:w="2126" w:type="dxa"/>
            <w:vAlign w:val="center"/>
          </w:tcPr>
          <w:p>
            <w:pPr>
              <w:spacing w:line="360" w:lineRule="auto"/>
              <w:jc w:val="center"/>
              <w:rPr>
                <w:rFonts w:ascii="宋体" w:hAnsi="宋体"/>
                <w:szCs w:val="21"/>
              </w:rPr>
            </w:pPr>
            <w:r>
              <w:rPr>
                <w:rFonts w:ascii="宋体" w:hAnsi="宋体"/>
                <w:szCs w:val="21"/>
              </w:rPr>
              <w:t>70</w:t>
            </w:r>
            <w:r>
              <w:rPr>
                <w:rFonts w:hint="eastAsia" w:ascii="宋体" w:hAnsi="宋体"/>
                <w:szCs w:val="21"/>
              </w:rPr>
              <w:t>8</w:t>
            </w:r>
            <w:r>
              <w:rPr>
                <w:rFonts w:ascii="宋体" w:hAnsi="宋体"/>
                <w:szCs w:val="21"/>
              </w:rPr>
              <w:t>,</w:t>
            </w:r>
            <w:r>
              <w:rPr>
                <w:rFonts w:hint="eastAsia" w:ascii="宋体" w:hAnsi="宋体"/>
                <w:szCs w:val="21"/>
              </w:rPr>
              <w:t>279</w:t>
            </w:r>
            <w:r>
              <w:rPr>
                <w:rFonts w:ascii="宋体" w:hAnsi="宋体"/>
                <w:szCs w:val="21"/>
              </w:rPr>
              <w:t>,</w:t>
            </w:r>
            <w:r>
              <w:rPr>
                <w:rFonts w:hint="eastAsia" w:ascii="宋体" w:hAnsi="宋体"/>
                <w:szCs w:val="21"/>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szCs w:val="21"/>
              </w:rPr>
            </w:pPr>
            <w:r>
              <w:rPr>
                <w:rFonts w:hint="eastAsia" w:ascii="宋体" w:hAnsi="宋体"/>
                <w:b/>
                <w:szCs w:val="21"/>
              </w:rPr>
              <w:t>有限售条件流通股</w:t>
            </w:r>
          </w:p>
        </w:tc>
        <w:tc>
          <w:tcPr>
            <w:tcW w:w="2126" w:type="dxa"/>
            <w:vAlign w:val="center"/>
          </w:tcPr>
          <w:p>
            <w:pPr>
              <w:spacing w:line="360" w:lineRule="auto"/>
              <w:jc w:val="center"/>
              <w:rPr>
                <w:rFonts w:ascii="宋体" w:hAnsi="宋体"/>
                <w:szCs w:val="21"/>
              </w:rPr>
            </w:pPr>
            <w:r>
              <w:rPr>
                <w:rFonts w:hint="eastAsia" w:ascii="宋体" w:hAnsi="宋体"/>
                <w:szCs w:val="21"/>
              </w:rPr>
              <w:t>3,304,000</w:t>
            </w:r>
          </w:p>
        </w:tc>
        <w:tc>
          <w:tcPr>
            <w:tcW w:w="2410" w:type="dxa"/>
            <w:vAlign w:val="center"/>
          </w:tcPr>
          <w:p>
            <w:pPr>
              <w:spacing w:line="360" w:lineRule="auto"/>
              <w:jc w:val="center"/>
              <w:rPr>
                <w:rFonts w:ascii="宋体" w:hAnsi="宋体"/>
                <w:szCs w:val="21"/>
              </w:rPr>
            </w:pPr>
            <w:r>
              <w:rPr>
                <w:rFonts w:hint="eastAsia" w:ascii="宋体" w:hAnsi="宋体"/>
                <w:szCs w:val="21"/>
              </w:rPr>
              <w:t>805,303</w:t>
            </w:r>
          </w:p>
        </w:tc>
        <w:tc>
          <w:tcPr>
            <w:tcW w:w="2126" w:type="dxa"/>
            <w:vAlign w:val="center"/>
          </w:tcPr>
          <w:p>
            <w:pPr>
              <w:spacing w:line="360" w:lineRule="auto"/>
              <w:jc w:val="center"/>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109</w:t>
            </w:r>
            <w:r>
              <w:rPr>
                <w:rFonts w:ascii="宋体" w:hAnsi="宋体"/>
                <w:szCs w:val="21"/>
              </w:rPr>
              <w:t>,</w:t>
            </w:r>
            <w:r>
              <w:rPr>
                <w:rFonts w:hint="eastAsia" w:ascii="宋体" w:hAnsi="宋体"/>
                <w:szCs w:val="21"/>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szCs w:val="21"/>
              </w:rPr>
            </w:pPr>
            <w:r>
              <w:rPr>
                <w:rFonts w:hint="eastAsia" w:ascii="宋体" w:hAnsi="宋体"/>
                <w:b/>
                <w:szCs w:val="21"/>
              </w:rPr>
              <w:t>合计</w:t>
            </w:r>
          </w:p>
        </w:tc>
        <w:tc>
          <w:tcPr>
            <w:tcW w:w="2126" w:type="dxa"/>
            <w:vAlign w:val="center"/>
          </w:tcPr>
          <w:p>
            <w:pPr>
              <w:spacing w:line="360" w:lineRule="auto"/>
              <w:jc w:val="center"/>
              <w:rPr>
                <w:rFonts w:ascii="宋体" w:hAnsi="宋体"/>
                <w:szCs w:val="21"/>
              </w:rPr>
            </w:pPr>
            <w:r>
              <w:rPr>
                <w:rFonts w:ascii="宋体" w:hAnsi="宋体"/>
                <w:szCs w:val="21"/>
              </w:rPr>
              <w:t>712,388,832</w:t>
            </w:r>
          </w:p>
        </w:tc>
        <w:tc>
          <w:tcPr>
            <w:tcW w:w="2410" w:type="dxa"/>
            <w:vAlign w:val="center"/>
          </w:tcPr>
          <w:p>
            <w:pPr>
              <w:spacing w:line="360" w:lineRule="auto"/>
              <w:jc w:val="center"/>
              <w:rPr>
                <w:rFonts w:ascii="宋体" w:hAnsi="宋体"/>
                <w:szCs w:val="21"/>
              </w:rPr>
            </w:pPr>
            <w:r>
              <w:rPr>
                <w:rFonts w:hint="eastAsia" w:ascii="宋体" w:hAnsi="宋体"/>
                <w:szCs w:val="21"/>
              </w:rPr>
              <w:t>0</w:t>
            </w:r>
          </w:p>
        </w:tc>
        <w:tc>
          <w:tcPr>
            <w:tcW w:w="2126" w:type="dxa"/>
            <w:vAlign w:val="center"/>
          </w:tcPr>
          <w:p>
            <w:pPr>
              <w:spacing w:line="360" w:lineRule="auto"/>
              <w:jc w:val="center"/>
              <w:rPr>
                <w:rFonts w:ascii="宋体" w:hAnsi="宋体"/>
                <w:szCs w:val="21"/>
              </w:rPr>
            </w:pPr>
            <w:r>
              <w:rPr>
                <w:rFonts w:ascii="宋体" w:hAnsi="宋体"/>
                <w:szCs w:val="21"/>
              </w:rPr>
              <w:t>712,388,832</w:t>
            </w:r>
          </w:p>
        </w:tc>
      </w:tr>
    </w:tbl>
    <w:p>
      <w:pPr>
        <w:spacing w:line="360" w:lineRule="auto"/>
        <w:ind w:firstLine="480" w:firstLineChars="200"/>
        <w:rPr>
          <w:rFonts w:ascii="宋体" w:hAnsi="宋体"/>
          <w:sz w:val="24"/>
        </w:rPr>
      </w:pPr>
      <w:r>
        <w:rPr>
          <w:rFonts w:hint="eastAsia" w:ascii="宋体" w:hAnsi="宋体"/>
          <w:sz w:val="24"/>
        </w:rPr>
        <w:t>后续，公司将根据相关规定在中国证券登记结算有限责任公司上海分公司办理本次激励计划17名激励对象2021年限制性股票预留授予的登记工作，并及时履行信息披露义务。</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b w:val="0"/>
          <w:bCs w:val="0"/>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b w:val="0"/>
          <w:bCs w:val="0"/>
          <w:sz w:val="24"/>
        </w:rPr>
        <w:t xml:space="preserve">    2</w:t>
      </w:r>
      <w:r>
        <w:rPr>
          <w:rFonts w:hint="eastAsia" w:ascii="宋体" w:hAnsi="宋体"/>
          <w:b w:val="0"/>
          <w:bCs w:val="0"/>
          <w:sz w:val="24"/>
          <w:highlight w:val="none"/>
        </w:rPr>
        <w:t>022年11月</w:t>
      </w:r>
      <w:r>
        <w:rPr>
          <w:rFonts w:hint="eastAsia" w:ascii="宋体" w:hAnsi="宋体"/>
          <w:b w:val="0"/>
          <w:bCs w:val="0"/>
          <w:sz w:val="24"/>
          <w:highlight w:val="none"/>
          <w:lang w:val="en-US" w:eastAsia="zh-CN"/>
        </w:rPr>
        <w:t>25</w:t>
      </w:r>
      <w:r>
        <w:rPr>
          <w:rFonts w:hint="eastAsia" w:ascii="宋体" w:hAnsi="宋体"/>
          <w:b w:val="0"/>
          <w:bCs w:val="0"/>
          <w:sz w:val="24"/>
          <w:highlight w:val="none"/>
        </w:rPr>
        <w:t>日</w:t>
      </w:r>
    </w:p>
    <w:p>
      <w:pPr>
        <w:spacing w:line="360" w:lineRule="auto"/>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5378B2"/>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92BCF"/>
    <w:rsid w:val="000941D0"/>
    <w:rsid w:val="000C1EBF"/>
    <w:rsid w:val="000D5160"/>
    <w:rsid w:val="000D59A8"/>
    <w:rsid w:val="000E2525"/>
    <w:rsid w:val="000E5928"/>
    <w:rsid w:val="000E7F53"/>
    <w:rsid w:val="000F1086"/>
    <w:rsid w:val="000F4B47"/>
    <w:rsid w:val="00101299"/>
    <w:rsid w:val="001044FC"/>
    <w:rsid w:val="00115DE0"/>
    <w:rsid w:val="00125BE8"/>
    <w:rsid w:val="00125EB5"/>
    <w:rsid w:val="001302DF"/>
    <w:rsid w:val="00141A30"/>
    <w:rsid w:val="0014235B"/>
    <w:rsid w:val="001449C0"/>
    <w:rsid w:val="00147226"/>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7590B"/>
    <w:rsid w:val="002808AB"/>
    <w:rsid w:val="00284CD2"/>
    <w:rsid w:val="00297F43"/>
    <w:rsid w:val="002A1B60"/>
    <w:rsid w:val="002B5713"/>
    <w:rsid w:val="002B7CCB"/>
    <w:rsid w:val="002C43B8"/>
    <w:rsid w:val="002C45E5"/>
    <w:rsid w:val="002C5021"/>
    <w:rsid w:val="002C71E7"/>
    <w:rsid w:val="002D2369"/>
    <w:rsid w:val="002D4C8C"/>
    <w:rsid w:val="002D65CF"/>
    <w:rsid w:val="002F64AF"/>
    <w:rsid w:val="002F74DC"/>
    <w:rsid w:val="0030503B"/>
    <w:rsid w:val="00307EC7"/>
    <w:rsid w:val="00324EB8"/>
    <w:rsid w:val="003307ED"/>
    <w:rsid w:val="003334F6"/>
    <w:rsid w:val="003402E8"/>
    <w:rsid w:val="00342CB6"/>
    <w:rsid w:val="003442BE"/>
    <w:rsid w:val="00353BA1"/>
    <w:rsid w:val="00360937"/>
    <w:rsid w:val="00363847"/>
    <w:rsid w:val="0036422B"/>
    <w:rsid w:val="003657D5"/>
    <w:rsid w:val="00367CCA"/>
    <w:rsid w:val="003726BC"/>
    <w:rsid w:val="0037324C"/>
    <w:rsid w:val="00373349"/>
    <w:rsid w:val="0038210C"/>
    <w:rsid w:val="003870CC"/>
    <w:rsid w:val="003A1590"/>
    <w:rsid w:val="003A3A47"/>
    <w:rsid w:val="003B1D84"/>
    <w:rsid w:val="003B5345"/>
    <w:rsid w:val="003C607D"/>
    <w:rsid w:val="003D0328"/>
    <w:rsid w:val="003D0C3B"/>
    <w:rsid w:val="003D3FFF"/>
    <w:rsid w:val="003D798A"/>
    <w:rsid w:val="003E1D67"/>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3312"/>
    <w:rsid w:val="00507FDE"/>
    <w:rsid w:val="00517BE0"/>
    <w:rsid w:val="00517C61"/>
    <w:rsid w:val="005216F4"/>
    <w:rsid w:val="005378B2"/>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5F0F45"/>
    <w:rsid w:val="00606509"/>
    <w:rsid w:val="00615D49"/>
    <w:rsid w:val="0062719F"/>
    <w:rsid w:val="006412D7"/>
    <w:rsid w:val="006446F0"/>
    <w:rsid w:val="00645C77"/>
    <w:rsid w:val="00647683"/>
    <w:rsid w:val="00662769"/>
    <w:rsid w:val="00663516"/>
    <w:rsid w:val="006640AB"/>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B0802"/>
    <w:rsid w:val="007C0761"/>
    <w:rsid w:val="007C79A9"/>
    <w:rsid w:val="007C7BAF"/>
    <w:rsid w:val="007E3476"/>
    <w:rsid w:val="00802A0A"/>
    <w:rsid w:val="008051A9"/>
    <w:rsid w:val="008051F9"/>
    <w:rsid w:val="0082478F"/>
    <w:rsid w:val="00824AB0"/>
    <w:rsid w:val="008378DC"/>
    <w:rsid w:val="00837AFB"/>
    <w:rsid w:val="008412C9"/>
    <w:rsid w:val="00884C0B"/>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12C06"/>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41EA"/>
    <w:rsid w:val="00A72475"/>
    <w:rsid w:val="00A842DF"/>
    <w:rsid w:val="00A950B9"/>
    <w:rsid w:val="00A973BC"/>
    <w:rsid w:val="00A97848"/>
    <w:rsid w:val="00AA10D4"/>
    <w:rsid w:val="00AA706B"/>
    <w:rsid w:val="00AB0CFB"/>
    <w:rsid w:val="00AB15F8"/>
    <w:rsid w:val="00AB2664"/>
    <w:rsid w:val="00AB53AC"/>
    <w:rsid w:val="00AB6C97"/>
    <w:rsid w:val="00AB723A"/>
    <w:rsid w:val="00AC11D0"/>
    <w:rsid w:val="00AC4735"/>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4FB0"/>
    <w:rsid w:val="00C875F5"/>
    <w:rsid w:val="00CA1004"/>
    <w:rsid w:val="00CB2DCE"/>
    <w:rsid w:val="00CB52A4"/>
    <w:rsid w:val="00CC522D"/>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3E50"/>
    <w:rsid w:val="00D45281"/>
    <w:rsid w:val="00D53DC4"/>
    <w:rsid w:val="00D601FE"/>
    <w:rsid w:val="00D6753A"/>
    <w:rsid w:val="00D7040A"/>
    <w:rsid w:val="00D71559"/>
    <w:rsid w:val="00D73864"/>
    <w:rsid w:val="00D75F0F"/>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63EE5"/>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6B55"/>
    <w:rsid w:val="00FB79DD"/>
    <w:rsid w:val="00FC49C6"/>
    <w:rsid w:val="00FD17D4"/>
    <w:rsid w:val="00FD212D"/>
    <w:rsid w:val="00FE4FBE"/>
    <w:rsid w:val="00FE57F0"/>
    <w:rsid w:val="00FE5ACA"/>
    <w:rsid w:val="00FF4417"/>
    <w:rsid w:val="06782477"/>
    <w:rsid w:val="1AC76DF0"/>
    <w:rsid w:val="20A83220"/>
    <w:rsid w:val="40302BBE"/>
    <w:rsid w:val="43370BC3"/>
    <w:rsid w:val="49465201"/>
    <w:rsid w:val="51035014"/>
    <w:rsid w:val="5A263250"/>
    <w:rsid w:val="5C797C55"/>
    <w:rsid w:val="6E9C129B"/>
    <w:rsid w:val="6FA36659"/>
    <w:rsid w:val="7DA0242A"/>
    <w:rsid w:val="7F6F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2"/>
    <w:qFormat/>
    <w:uiPriority w:val="1"/>
    <w:pPr>
      <w:autoSpaceDE w:val="0"/>
      <w:autoSpaceDN w:val="0"/>
      <w:jc w:val="left"/>
    </w:pPr>
    <w:rPr>
      <w:rFonts w:ascii="宋体" w:hAnsi="宋体" w:cs="宋体"/>
      <w:kern w:val="0"/>
      <w:sz w:val="24"/>
      <w:lang w:eastAsia="en-US"/>
    </w:r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正文文本 Char"/>
    <w:basedOn w:val="10"/>
    <w:link w:val="3"/>
    <w:qFormat/>
    <w:uiPriority w:val="1"/>
    <w:rPr>
      <w:rFonts w:ascii="宋体" w:hAnsi="宋体" w:eastAsia="宋体" w:cs="宋体"/>
      <w:kern w:val="0"/>
      <w:sz w:val="24"/>
      <w:szCs w:val="24"/>
      <w:lang w:eastAsia="en-US"/>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文字 Char"/>
    <w:basedOn w:val="10"/>
    <w:link w:val="2"/>
    <w:semiHidden/>
    <w:qFormat/>
    <w:uiPriority w:val="99"/>
    <w:rPr>
      <w:rFonts w:ascii="Times New Roman" w:hAnsi="Times New Roman" w:eastAsia="宋体" w:cs="Times New Roman"/>
      <w:szCs w:val="24"/>
    </w:rPr>
  </w:style>
  <w:style w:type="character" w:customStyle="1" w:styleId="17">
    <w:name w:val="批注主题 Char"/>
    <w:basedOn w:val="16"/>
    <w:link w:val="7"/>
    <w:semiHidden/>
    <w:qFormat/>
    <w:uiPriority w:val="99"/>
    <w:rPr>
      <w:rFonts w:ascii="Times New Roman" w:hAnsi="Times New Roman" w:eastAsia="宋体" w:cs="Times New Roman"/>
      <w:b/>
      <w:bCs/>
      <w:szCs w:val="24"/>
    </w:rPr>
  </w:style>
  <w:style w:type="character" w:customStyle="1" w:styleId="18">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809</Words>
  <Characters>997</Characters>
  <Lines>7</Lines>
  <Paragraphs>2</Paragraphs>
  <TotalTime>1</TotalTime>
  <ScaleCrop>false</ScaleCrop>
  <LinksUpToDate>false</LinksUpToDate>
  <CharactersWithSpaces>1021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2022-11-23T01:46:00Z</dcterms:created>
  <dc:creator>李锐</dc:creator>
  <cp:lastModifiedBy>王雅杰</cp:lastModifiedBy>
  <cp:lastPrinted>2022-02-25T08:49:00Z</cp:lastPrinted>
  <dcterms:modified xsi:type="dcterms:W3CDTF">2022-11-24T01:45:10Z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5148C88519054354A425C76A0CBACC67</vt:lpwstr>
  </property>
</Properties>
</file>