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highlight w:val="none"/>
          <w:lang w:val="en-US" w:eastAsia="zh-CN"/>
        </w:rPr>
      </w:pPr>
      <w:r>
        <w:rPr>
          <w:rFonts w:hint="eastAsia" w:ascii="宋体" w:hAnsi="宋体" w:cs="宋体"/>
          <w:color w:val="000000"/>
          <w:kern w:val="0"/>
          <w:sz w:val="24"/>
          <w:highlight w:val="none"/>
        </w:rPr>
        <w:t>证券代码：600200       证券简称：江苏吴中     公告编号：临2023-</w:t>
      </w:r>
      <w:r>
        <w:rPr>
          <w:rFonts w:hint="eastAsia" w:ascii="宋体" w:hAnsi="宋体" w:cs="宋体"/>
          <w:color w:val="000000"/>
          <w:kern w:val="0"/>
          <w:sz w:val="24"/>
          <w:highlight w:val="none"/>
          <w:lang w:val="en-US" w:eastAsia="zh-CN"/>
        </w:rPr>
        <w:t>0</w:t>
      </w:r>
      <w:r>
        <w:rPr>
          <w:rFonts w:hint="eastAsia" w:ascii="宋体" w:hAnsi="宋体" w:cs="宋体"/>
          <w:color w:val="000000"/>
          <w:kern w:val="0"/>
          <w:sz w:val="24"/>
          <w:highlight w:val="none"/>
          <w:lang w:val="en-US" w:eastAsia="zh-CN"/>
        </w:rPr>
        <w:t>40</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关于2021年限制性股票激励计划首次授予部分</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第一个解除限售期解除限售暨上市公告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本公司董事会及董事会全体成员保证公告内容不存在虚假记载、误导性陈述或者重大遗漏，并对其内容的真实、准确和完整承担法律责任。</w:t>
      </w:r>
    </w:p>
    <w:p>
      <w:pPr>
        <w:pStyle w:val="11"/>
        <w:spacing w:line="360" w:lineRule="auto"/>
        <w:rPr>
          <w:rFonts w:asciiTheme="minorEastAsia" w:hAnsiTheme="minorEastAsia" w:eastAsiaTheme="minorEastAsia" w:cstheme="minorEastAsia"/>
          <w:highlight w:val="none"/>
        </w:rPr>
      </w:pPr>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重要内容提示：</w:t>
      </w:r>
    </w:p>
    <w:p>
      <w:pPr>
        <w:numPr>
          <w:ilvl w:val="0"/>
          <w:numId w:val="1"/>
        </w:numPr>
        <w:spacing w:line="360" w:lineRule="auto"/>
        <w:ind w:left="0" w:firstLine="42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本次解除限售的限制性股票数量：1,293,600股</w:t>
      </w:r>
    </w:p>
    <w:p>
      <w:pPr>
        <w:numPr>
          <w:ilvl w:val="0"/>
          <w:numId w:val="1"/>
        </w:numPr>
        <w:spacing w:line="360" w:lineRule="auto"/>
        <w:ind w:left="0" w:firstLine="42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本次解除限售股票上市流通时间：2023年5月18日</w:t>
      </w:r>
    </w:p>
    <w:p>
      <w:pPr>
        <w:spacing w:line="360" w:lineRule="auto"/>
        <w:ind w:firstLine="480" w:firstLineChars="200"/>
        <w:rPr>
          <w:rFonts w:asciiTheme="minorEastAsia" w:hAnsiTheme="minorEastAsia" w:eastAsiaTheme="minorEastAsia" w:cstheme="minorEastAsia"/>
          <w:sz w:val="24"/>
          <w:highlight w:val="none"/>
        </w:rPr>
      </w:pP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江苏吴中医药发展股份有限公司（以下简称“公司”）于2023年4月25日召开第十届董事会第七次会议和第十届监事会第七次会议，审议通过了《关于2021年限制性股票激励计划首次授予部分第一个解除限售期解除限售条件成就的议案》。根据《江苏吴中医药发展股份有限公司2021年限制性股票激励计划》（以下简称“《激励计划》”、“本激励计划”或“本次激励计划”）的规定，本激励计划的限制性股票首次授予部分第一个解除限售期解除限售条件已成就，现将有关情况公告如下：</w:t>
      </w:r>
    </w:p>
    <w:p>
      <w:pPr>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一、本次激励计划已履行的相关程序及实施情况</w:t>
      </w:r>
    </w:p>
    <w:p>
      <w:pPr>
        <w:spacing w:line="360" w:lineRule="auto"/>
        <w:ind w:firstLine="480" w:firstLineChars="200"/>
        <w:rPr>
          <w:rFonts w:hint="eastAsia" w:asciiTheme="minorEastAsia" w:hAnsiTheme="minorEastAsia" w:eastAsiaTheme="minorEastAsia" w:cstheme="minorEastAsia"/>
          <w:b w:val="0"/>
          <w:bCs/>
          <w:sz w:val="24"/>
          <w:highlight w:val="none"/>
        </w:rPr>
      </w:pPr>
      <w:r>
        <w:rPr>
          <w:rFonts w:asciiTheme="minorEastAsia" w:hAnsiTheme="minorEastAsia" w:eastAsiaTheme="minorEastAsia" w:cstheme="minorEastAsia"/>
          <w:b w:val="0"/>
          <w:bCs/>
          <w:sz w:val="24"/>
          <w:highlight w:val="none"/>
        </w:rPr>
        <w:t>（一）</w:t>
      </w:r>
      <w:r>
        <w:rPr>
          <w:rFonts w:hint="eastAsia" w:asciiTheme="minorEastAsia" w:hAnsiTheme="minorEastAsia" w:eastAsiaTheme="minorEastAsia" w:cstheme="minorEastAsia"/>
          <w:b w:val="0"/>
          <w:bCs/>
          <w:sz w:val="24"/>
          <w:highlight w:val="none"/>
        </w:rPr>
        <w:t>本次激励计划方案已履行的程序</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2021年12月16日，公司召开了第十届董事会2021年第四次临时会议（通讯表决），审议通过了《关于&lt;江苏吴中医药发展股份有限公司2021年限制性股票激励计划（草案）&gt;及其摘要的议案》《关于&lt;江苏吴中医药发展股份有限公司2021年限制性股票激励计划实施考核管理办法&gt;的议案》《关于提请股东大会授权董事会办理公司股权激励计划相关事项的议案》等议案。公司独立董事就本激励计划是否有利于公司的持续发展及是否存在损害公司及全体股东利益的情形发表了独立意见。</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同日，公司召开第十届监事会2021年第三次临时会议（通讯表决），审议通过了《关于&lt;江苏吴中医药发展股份有限公司2021年限制性股票激励计划（草案）&gt;及其摘要的议案》《关于&lt;江苏吴中医药发展股份有限公司2021年限制性股票激励计划实施考核管理办法&gt;的议案》等议案，公司监事会对本次激励计划的相关事项进行核实并出具了相关核查意见。</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2021年12月17日至2021年12月27日，公司将本次拟首次授予激励对象的姓名及职务在公司内部予以公示。在公示期内，公司监事会未收到任何对本次拟首次授予激励对象提出的异议。2021年12月28日，公司披露了《江苏吴中医药发展股份有限公司监事会关于公司2021年限制性股票激励计划首次授予激励对象名单的公示情况说明及核查意见》。</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2022年1月5日，公司召开2022年第一次临时股东大会,审议通过了《关于&lt;江苏吴中医药发展股份有限公司2021年限制性股票激励计划（草案）&gt;及其摘要的议案》《关于&lt;江苏吴中医药发展股份有限公司2021年限制性股票激励计划实施考核管理办法&gt;的议案》《关于提请股东大会授权董事会办理公司股权激励计划相关事项的议案》等议案。2022年1月6日，公司披露了《江苏吴中医药发展股份有限公司关于2021年限制性股票激励计划内幕信息知情人买卖公司股票情况的自查报告》，未发现本次激励计划的内幕信息知情人存在利用本次激励计划相关内幕信息买卖公司股票的行为或泄露本激励计划有关内幕信息导致内幕交易发生的情形。</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2022年2月16日，公司召开第十届董事会2022年第二次临时会议（通讯表决）及第十届监事会2022年第一次临时会议（通讯表决），审议通过了《关于调整公司2021年限制性股票激励计划首次授予激励对象名单及授予数量的议案》《关于向公司2021年限制性股票激励计划激励对象首次授予限制性股票的议案》。同意公司本激励计划拟首次授予的激励对象人数由143人调整为110人，首次授予限制性股票数量由374.0000万股调整为331.9000万股；预留授予限制性股票由38.4303万股调整为80.5303万股，本激励计划拟授予的限制性股票总数不变。公司董事会认为本次激励计划规定的限制性股票的首次授予条件已经成就，同意确定以2022年2月16日为限制性股票首次授予日，向符合条件的110名激励对象授予331.9000万股限制性股票，授予价格为3.68元/股。公司监事会对调整后的激励对象名单再次进行了核实并发表了明确同意的意见。公司独立董事对此发表了同意的独立意见。</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2022年3月14日，公司收到中国证券登记结算有限责任公司上海分公司出具的《证券变更登记证明》及《过户登记确认书》，本激励计划首次授予登记完成，限制性股票首次登记日为2022年3月14日。在确定首次授予日后的登记过程中，首次授予激励对象中有1名激励对象自愿放弃拟授予其的全部限制性股票共计15,000股。因此，本激励计划首次实际授予的激励对象为109人，首次实际授予数量为330.4000万股。2022年3月16日，公司在上海证券交易所网站披露了《江苏吴中医药发展股份有限公司2021年限制性股票激励计划首次授予结果的公告》。</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2022年10月28日，公司召开第十届董事会第六次会议（通讯表决）和第十届监事会第六次会议（通讯表决），审议通过了《公司关于向激励对象授予2021年限制性股票激励计划预留部分限制性股票的议案》。公司董事会认为本激励计划规定的预留部分限制性股票的授予条件已经成就，同意确定以2022年10月31日为预留部分限制性股票的授予日，向符合条件的17名激励对象授予80.5303万股限制性股票，预留授予价格为3.49元/股。公司独立董事对此发表了同意的独立意见。监事会对预留授予日的激励对象名单进行了核实并发表了核查意见。律师出具了相应的法律意见书。</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同日，公司召开第十届董事会第六次会议（通讯表决）和第十届监事会第六次会议（通讯表决）审议通过了《公司关于回购注销部分限制性股票的议案》。由于4名首次授予激励对象离职，已不符合激励对象资格，根据《激励计划》的规定，公司拟对其已获授但尚未解除限售的50,000股限制性股票予以回购注销。公司独立董事和监事会对相关事项发表了同意意见。</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7、2022年11月14日，公司召开2022年第四次临时股东大会审议通过了《公司关于回购注销部分限制性股票的议案》，本次回购的限制性股票已于2023年1月12日完成注销。</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2023年4月25日，公司召开第十届董事会第七次会议及第十届监事会第七次会议，审议通过《关于2021年限制性股票激励计划首次授予部分第一个解除限售期解除限售条件成就的议案》《关于回购注销部分限制性股票的议案》等议案，公司独立董事对此发表了同意的独立意见。</w:t>
      </w:r>
    </w:p>
    <w:p>
      <w:pPr>
        <w:spacing w:line="360" w:lineRule="auto"/>
        <w:ind w:firstLine="480" w:firstLineChars="200"/>
        <w:rPr>
          <w:rFonts w:asciiTheme="minorEastAsia" w:hAnsiTheme="minorEastAsia" w:eastAsiaTheme="minorEastAsia" w:cstheme="minorEastAsia"/>
          <w:b w:val="0"/>
          <w:bCs/>
          <w:sz w:val="24"/>
          <w:highlight w:val="none"/>
        </w:rPr>
      </w:pPr>
      <w:r>
        <w:rPr>
          <w:rFonts w:hint="eastAsia" w:asciiTheme="minorEastAsia" w:hAnsiTheme="minorEastAsia" w:eastAsiaTheme="minorEastAsia" w:cstheme="minorEastAsia"/>
          <w:b w:val="0"/>
          <w:bCs/>
          <w:sz w:val="24"/>
          <w:highlight w:val="none"/>
        </w:rPr>
        <w:t>（二）</w:t>
      </w:r>
      <w:r>
        <w:rPr>
          <w:rFonts w:hint="eastAsia" w:asciiTheme="minorEastAsia" w:hAnsiTheme="minorEastAsia" w:eastAsiaTheme="minorEastAsia" w:cstheme="minorEastAsia"/>
          <w:b w:val="0"/>
          <w:bCs/>
          <w:sz w:val="24"/>
          <w:highlight w:val="none"/>
        </w:rPr>
        <w:t>本激励计划授予情况</w:t>
      </w:r>
    </w:p>
    <w:tbl>
      <w:tblPr>
        <w:tblStyle w:val="8"/>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984"/>
        <w:gridCol w:w="1335"/>
        <w:gridCol w:w="1320"/>
        <w:gridCol w:w="1125"/>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345" w:type="dxa"/>
            <w:vAlign w:val="center"/>
          </w:tcPr>
          <w:p>
            <w:pPr>
              <w:spacing w:line="360" w:lineRule="auto"/>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授予</w:t>
            </w:r>
            <w:r>
              <w:rPr>
                <w:rFonts w:hint="eastAsia" w:asciiTheme="minorEastAsia" w:hAnsiTheme="minorEastAsia" w:eastAsiaTheme="minorEastAsia" w:cstheme="minorEastAsia"/>
                <w:b/>
                <w:bCs/>
                <w:sz w:val="21"/>
                <w:szCs w:val="21"/>
                <w:highlight w:val="none"/>
              </w:rPr>
              <w:t>批次</w:t>
            </w:r>
          </w:p>
        </w:tc>
        <w:tc>
          <w:tcPr>
            <w:tcW w:w="1984" w:type="dxa"/>
            <w:vAlign w:val="center"/>
          </w:tcPr>
          <w:p>
            <w:pPr>
              <w:widowControl/>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授予日期</w:t>
            </w:r>
          </w:p>
        </w:tc>
        <w:tc>
          <w:tcPr>
            <w:tcW w:w="1335" w:type="dxa"/>
            <w:vAlign w:val="center"/>
          </w:tcPr>
          <w:p>
            <w:pPr>
              <w:widowControl/>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授予价格</w:t>
            </w:r>
          </w:p>
        </w:tc>
        <w:tc>
          <w:tcPr>
            <w:tcW w:w="1320" w:type="dxa"/>
            <w:vAlign w:val="center"/>
          </w:tcPr>
          <w:p>
            <w:pPr>
              <w:widowControl/>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授予股票数量（万股）</w:t>
            </w:r>
          </w:p>
        </w:tc>
        <w:tc>
          <w:tcPr>
            <w:tcW w:w="1125" w:type="dxa"/>
            <w:vAlign w:val="center"/>
          </w:tcPr>
          <w:p>
            <w:pPr>
              <w:widowControl/>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授予激励</w:t>
            </w:r>
          </w:p>
          <w:p>
            <w:pPr>
              <w:widowControl/>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对象人数</w:t>
            </w:r>
          </w:p>
        </w:tc>
        <w:tc>
          <w:tcPr>
            <w:tcW w:w="1618" w:type="dxa"/>
            <w:vAlign w:val="center"/>
          </w:tcPr>
          <w:p>
            <w:pPr>
              <w:widowControl/>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授予后股票剩余数量（万股）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345" w:type="dxa"/>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首次授予</w:t>
            </w:r>
          </w:p>
        </w:tc>
        <w:tc>
          <w:tcPr>
            <w:tcW w:w="1984" w:type="dxa"/>
            <w:vAlign w:val="center"/>
          </w:tcPr>
          <w:p>
            <w:pPr>
              <w:spacing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2022年2月16日</w:t>
            </w:r>
          </w:p>
        </w:tc>
        <w:tc>
          <w:tcPr>
            <w:tcW w:w="1335" w:type="dxa"/>
            <w:vAlign w:val="center"/>
          </w:tcPr>
          <w:p>
            <w:pPr>
              <w:spacing w:line="360" w:lineRule="auto"/>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Cs/>
                <w:sz w:val="21"/>
                <w:szCs w:val="21"/>
                <w:highlight w:val="none"/>
              </w:rPr>
              <w:t>3.68元/股</w:t>
            </w:r>
          </w:p>
        </w:tc>
        <w:tc>
          <w:tcPr>
            <w:tcW w:w="1320" w:type="dxa"/>
            <w:vAlign w:val="center"/>
          </w:tcPr>
          <w:p>
            <w:pPr>
              <w:spacing w:line="360" w:lineRule="auto"/>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Cs/>
                <w:sz w:val="21"/>
                <w:szCs w:val="21"/>
                <w:highlight w:val="none"/>
              </w:rPr>
              <w:t>331.9000</w:t>
            </w:r>
          </w:p>
        </w:tc>
        <w:tc>
          <w:tcPr>
            <w:tcW w:w="1125" w:type="dxa"/>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110</w:t>
            </w:r>
          </w:p>
        </w:tc>
        <w:tc>
          <w:tcPr>
            <w:tcW w:w="1618" w:type="dxa"/>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80.5303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预留授予</w:t>
            </w:r>
          </w:p>
        </w:tc>
        <w:tc>
          <w:tcPr>
            <w:tcW w:w="1984" w:type="dxa"/>
            <w:vAlign w:val="center"/>
          </w:tcPr>
          <w:p>
            <w:pPr>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022年</w:t>
            </w:r>
            <w:r>
              <w:rPr>
                <w:rFonts w:hint="eastAsia" w:asciiTheme="minorEastAsia" w:hAnsiTheme="minorEastAsia" w:eastAsiaTheme="minorEastAsia" w:cstheme="minorEastAsia"/>
                <w:szCs w:val="21"/>
                <w:highlight w:val="none"/>
              </w:rPr>
              <w:t>1</w:t>
            </w:r>
            <w:r>
              <w:rPr>
                <w:rFonts w:asciiTheme="minorEastAsia" w:hAnsiTheme="minorEastAsia" w:eastAsiaTheme="minorEastAsia" w:cstheme="minorEastAsia"/>
                <w:szCs w:val="21"/>
                <w:highlight w:val="none"/>
              </w:rPr>
              <w:t>0月</w:t>
            </w:r>
            <w:r>
              <w:rPr>
                <w:rFonts w:hint="eastAsia" w:asciiTheme="minorEastAsia" w:hAnsiTheme="minorEastAsia" w:eastAsiaTheme="minorEastAsia" w:cstheme="minorEastAsia"/>
                <w:szCs w:val="21"/>
                <w:highlight w:val="none"/>
              </w:rPr>
              <w:t>3</w:t>
            </w:r>
            <w:r>
              <w:rPr>
                <w:rFonts w:asciiTheme="minorEastAsia" w:hAnsiTheme="minorEastAsia" w:eastAsiaTheme="minorEastAsia" w:cstheme="minorEastAsia"/>
                <w:szCs w:val="21"/>
                <w:highlight w:val="none"/>
              </w:rPr>
              <w:t>1日</w:t>
            </w:r>
          </w:p>
        </w:tc>
        <w:tc>
          <w:tcPr>
            <w:tcW w:w="1335" w:type="dxa"/>
            <w:vAlign w:val="center"/>
          </w:tcPr>
          <w:p>
            <w:pPr>
              <w:spacing w:line="360" w:lineRule="auto"/>
              <w:jc w:val="center"/>
              <w:rPr>
                <w:rFonts w:hint="eastAsia" w:asciiTheme="minorEastAsia" w:hAnsiTheme="minorEastAsia" w:eastAsiaTheme="minorEastAsia" w:cstheme="minorEastAsia"/>
                <w:bCs/>
                <w:sz w:val="21"/>
                <w:szCs w:val="21"/>
                <w:highlight w:val="none"/>
              </w:rPr>
            </w:pPr>
            <w:r>
              <w:rPr>
                <w:rFonts w:asciiTheme="minorEastAsia" w:hAnsiTheme="minorEastAsia" w:eastAsiaTheme="minorEastAsia" w:cstheme="minorEastAsia"/>
                <w:bCs/>
                <w:szCs w:val="21"/>
                <w:highlight w:val="none"/>
              </w:rPr>
              <w:t>3.49元</w:t>
            </w:r>
            <w:r>
              <w:rPr>
                <w:rFonts w:hint="eastAsia" w:asciiTheme="minorEastAsia" w:hAnsiTheme="minorEastAsia" w:eastAsiaTheme="minorEastAsia" w:cstheme="minorEastAsia"/>
                <w:bCs/>
                <w:szCs w:val="21"/>
                <w:highlight w:val="none"/>
              </w:rPr>
              <w:t>/股</w:t>
            </w:r>
          </w:p>
        </w:tc>
        <w:tc>
          <w:tcPr>
            <w:tcW w:w="1320" w:type="dxa"/>
            <w:vAlign w:val="center"/>
          </w:tcPr>
          <w:p>
            <w:pPr>
              <w:spacing w:line="36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Cs w:val="21"/>
                <w:highlight w:val="none"/>
              </w:rPr>
              <w:t>8</w:t>
            </w:r>
            <w:r>
              <w:rPr>
                <w:rFonts w:asciiTheme="minorEastAsia" w:hAnsiTheme="minorEastAsia" w:eastAsiaTheme="minorEastAsia" w:cstheme="minorEastAsia"/>
                <w:bCs/>
                <w:szCs w:val="21"/>
                <w:highlight w:val="none"/>
              </w:rPr>
              <w:t>0.5303</w:t>
            </w:r>
          </w:p>
        </w:tc>
        <w:tc>
          <w:tcPr>
            <w:tcW w:w="1125"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Cs w:val="21"/>
                <w:highlight w:val="none"/>
              </w:rPr>
              <w:t>1</w:t>
            </w:r>
            <w:r>
              <w:rPr>
                <w:rFonts w:asciiTheme="minorEastAsia" w:hAnsiTheme="minorEastAsia" w:eastAsiaTheme="minorEastAsia" w:cstheme="minorEastAsia"/>
                <w:szCs w:val="21"/>
                <w:highlight w:val="none"/>
              </w:rPr>
              <w:t>7</w:t>
            </w:r>
          </w:p>
        </w:tc>
        <w:tc>
          <w:tcPr>
            <w:tcW w:w="1618" w:type="dxa"/>
            <w:vAlign w:val="center"/>
          </w:tcPr>
          <w:p>
            <w:pPr>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Cs w:val="21"/>
                <w:highlight w:val="none"/>
              </w:rPr>
              <w:t>-</w:t>
            </w:r>
          </w:p>
        </w:tc>
      </w:tr>
    </w:tbl>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注：在确定首次授予日后的登记过程中，首次授予激励对象中有1名激励对象自愿放弃拟授予其的全部限制性股票共计15,000股。因此，本激励计划首次实际授予的激励对象为109人，首次实际授予数量为330.4000万股。</w:t>
      </w:r>
    </w:p>
    <w:p>
      <w:pPr>
        <w:spacing w:line="360" w:lineRule="auto"/>
        <w:ind w:firstLine="480" w:firstLineChars="200"/>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rPr>
        <w:t>历次限制性股票解锁情况</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本次解锁为公司202</w:t>
      </w:r>
      <w:r>
        <w:rPr>
          <w:rFonts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rPr>
        <w:t>年限制性股票激励计划首次解锁，具体情况如下：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2044"/>
        <w:gridCol w:w="1246"/>
        <w:gridCol w:w="1719"/>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pPr>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授予批次</w:t>
            </w:r>
          </w:p>
        </w:tc>
        <w:tc>
          <w:tcPr>
            <w:tcW w:w="2044" w:type="dxa"/>
            <w:vAlign w:val="center"/>
          </w:tcPr>
          <w:p>
            <w:pPr>
              <w:widowControl/>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color w:val="000000"/>
                <w:kern w:val="0"/>
                <w:szCs w:val="21"/>
                <w:highlight w:val="none"/>
                <w:lang w:bidi="ar"/>
              </w:rPr>
              <w:t>解锁日期</w:t>
            </w:r>
          </w:p>
        </w:tc>
        <w:tc>
          <w:tcPr>
            <w:tcW w:w="1246" w:type="dxa"/>
            <w:vAlign w:val="center"/>
          </w:tcPr>
          <w:p>
            <w:pPr>
              <w:widowControl/>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color w:val="000000"/>
                <w:kern w:val="0"/>
                <w:szCs w:val="21"/>
                <w:highlight w:val="none"/>
                <w:lang w:bidi="ar"/>
              </w:rPr>
              <w:t>解锁数量（万股）</w:t>
            </w:r>
          </w:p>
        </w:tc>
        <w:tc>
          <w:tcPr>
            <w:tcW w:w="1719" w:type="dxa"/>
            <w:vAlign w:val="center"/>
          </w:tcPr>
          <w:p>
            <w:pPr>
              <w:widowControl/>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color w:val="000000"/>
                <w:kern w:val="0"/>
                <w:szCs w:val="21"/>
                <w:highlight w:val="none"/>
                <w:lang w:bidi="ar"/>
              </w:rPr>
              <w:t>剩余未解锁数量（万股）</w:t>
            </w:r>
          </w:p>
        </w:tc>
        <w:tc>
          <w:tcPr>
            <w:tcW w:w="1575" w:type="dxa"/>
            <w:vAlign w:val="center"/>
          </w:tcPr>
          <w:p>
            <w:pPr>
              <w:widowControl/>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color w:val="000000"/>
                <w:kern w:val="0"/>
                <w:szCs w:val="21"/>
                <w:highlight w:val="none"/>
                <w:lang w:bidi="ar"/>
              </w:rPr>
              <w:t>取消解锁股票数量及原因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首次授予第一期</w:t>
            </w:r>
          </w:p>
        </w:tc>
        <w:tc>
          <w:tcPr>
            <w:tcW w:w="2044" w:type="dxa"/>
            <w:vAlign w:val="center"/>
          </w:tcPr>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w:t>
            </w:r>
            <w:r>
              <w:rPr>
                <w:rFonts w:asciiTheme="minorEastAsia" w:hAnsiTheme="minorEastAsia" w:eastAsiaTheme="minorEastAsia" w:cstheme="minorEastAsia"/>
                <w:szCs w:val="21"/>
                <w:highlight w:val="none"/>
              </w:rPr>
              <w:t>3</w:t>
            </w:r>
            <w:r>
              <w:rPr>
                <w:rFonts w:hint="eastAsia" w:asciiTheme="minorEastAsia" w:hAnsiTheme="minorEastAsia" w:eastAsiaTheme="minorEastAsia" w:cstheme="minorEastAsia"/>
                <w:szCs w:val="21"/>
                <w:highlight w:val="none"/>
              </w:rPr>
              <w:t>年</w:t>
            </w:r>
            <w:r>
              <w:rPr>
                <w:rFonts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rPr>
              <w:t>月1</w:t>
            </w:r>
            <w:r>
              <w:rPr>
                <w:rFonts w:asciiTheme="minorEastAsia" w:hAnsiTheme="minorEastAsia" w:eastAsiaTheme="minorEastAsia" w:cstheme="minorEastAsia"/>
                <w:szCs w:val="21"/>
                <w:highlight w:val="none"/>
              </w:rPr>
              <w:t>8</w:t>
            </w:r>
            <w:r>
              <w:rPr>
                <w:rFonts w:hint="eastAsia" w:asciiTheme="minorEastAsia" w:hAnsiTheme="minorEastAsia" w:eastAsiaTheme="minorEastAsia" w:cstheme="minorEastAsia"/>
                <w:szCs w:val="21"/>
                <w:highlight w:val="none"/>
              </w:rPr>
              <w:t>日</w:t>
            </w:r>
          </w:p>
        </w:tc>
        <w:tc>
          <w:tcPr>
            <w:tcW w:w="1246" w:type="dxa"/>
            <w:vAlign w:val="center"/>
          </w:tcPr>
          <w:p>
            <w:pPr>
              <w:spacing w:line="360" w:lineRule="auto"/>
              <w:jc w:val="center"/>
              <w:rPr>
                <w:rFonts w:asciiTheme="minorEastAsia" w:hAnsiTheme="minorEastAsia" w:eastAsiaTheme="minorEastAsia" w:cstheme="minorEastAsia"/>
                <w:b/>
                <w:bCs/>
                <w:szCs w:val="21"/>
                <w:highlight w:val="none"/>
              </w:rPr>
            </w:pPr>
            <w:r>
              <w:rPr>
                <w:rFonts w:asciiTheme="minorEastAsia" w:hAnsiTheme="minorEastAsia" w:eastAsiaTheme="minorEastAsia" w:cstheme="minorEastAsia"/>
                <w:bCs/>
                <w:szCs w:val="21"/>
                <w:highlight w:val="none"/>
              </w:rPr>
              <w:t>129.3600</w:t>
            </w:r>
          </w:p>
        </w:tc>
        <w:tc>
          <w:tcPr>
            <w:tcW w:w="1719" w:type="dxa"/>
            <w:vAlign w:val="center"/>
          </w:tcPr>
          <w:p>
            <w:pPr>
              <w:spacing w:line="360" w:lineRule="auto"/>
              <w:jc w:val="center"/>
              <w:rPr>
                <w:rFonts w:asciiTheme="minorEastAsia" w:hAnsiTheme="minorEastAsia" w:eastAsiaTheme="minorEastAsia" w:cstheme="minorEastAsia"/>
                <w:b/>
                <w:bCs/>
                <w:szCs w:val="21"/>
                <w:highlight w:val="none"/>
              </w:rPr>
            </w:pPr>
            <w:r>
              <w:rPr>
                <w:rFonts w:asciiTheme="minorEastAsia" w:hAnsiTheme="minorEastAsia" w:eastAsiaTheme="minorEastAsia" w:cstheme="minorEastAsia"/>
                <w:bCs/>
                <w:szCs w:val="21"/>
                <w:highlight w:val="none"/>
              </w:rPr>
              <w:t>194.0400</w:t>
            </w:r>
          </w:p>
        </w:tc>
        <w:tc>
          <w:tcPr>
            <w:tcW w:w="1575" w:type="dxa"/>
            <w:vAlign w:val="center"/>
          </w:tcPr>
          <w:p>
            <w:pPr>
              <w:spacing w:line="360" w:lineRule="auto"/>
              <w:jc w:val="center"/>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7.00万股，</w:t>
            </w:r>
            <w:r>
              <w:rPr>
                <w:rFonts w:hint="eastAsia" w:asciiTheme="minorEastAsia" w:hAnsiTheme="minorEastAsia" w:eastAsiaTheme="minorEastAsia" w:cstheme="minorEastAsia"/>
                <w:szCs w:val="21"/>
                <w:highlight w:val="none"/>
              </w:rPr>
              <w:t>5人离职</w:t>
            </w:r>
          </w:p>
        </w:tc>
      </w:tr>
    </w:tbl>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注：1、2023年1月12日公司已完成了4名已离职激励对象已获授但尚未解除限售的50,000股限制性股票的回购注销手续。</w:t>
      </w:r>
    </w:p>
    <w:p>
      <w:pPr>
        <w:spacing w:line="360" w:lineRule="auto"/>
        <w:ind w:firstLine="420"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Cs w:val="21"/>
          <w:highlight w:val="none"/>
        </w:rPr>
        <w:t>2、公司后续将根据《上市公司股权激励管理办法》（以下简称“《管理办法》”）等相关规定办理1名已离职激励对象已获授20,000股限制性股票的回购注销工作。</w:t>
      </w:r>
    </w:p>
    <w:p>
      <w:pPr>
        <w:spacing w:line="360" w:lineRule="auto"/>
        <w:ind w:firstLine="482" w:firstLineChars="200"/>
        <w:rPr>
          <w:rFonts w:hint="eastAsia" w:asciiTheme="minorEastAsia" w:hAnsiTheme="minorEastAsia" w:eastAsiaTheme="minorEastAsia" w:cstheme="minorEastAsia"/>
          <w:b/>
          <w:bCs/>
          <w:sz w:val="24"/>
          <w:highlight w:val="none"/>
        </w:rPr>
      </w:pPr>
    </w:p>
    <w:p>
      <w:pPr>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二、2021年限制性股票激励计划首次授予部分第一个解除限售期解除限售条件成就情况</w:t>
      </w:r>
    </w:p>
    <w:p>
      <w:pPr>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（一）首次授予限制性股票第一个限售期届满的说明</w:t>
      </w:r>
    </w:p>
    <w:p>
      <w:pPr>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本次激励计划的规定，公司首次授予的限制性股票第一个解除限售期为自首次授予部分限制性股票授予日起12个月后的首个交易日起至首次授予部分限制性股票授予日起24个月内的最后一个交易日当日止，解除限售比例为首次授予的限制性股票总数的40%。</w:t>
      </w:r>
    </w:p>
    <w:p>
      <w:pPr>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本次激励计划限制性股票首次授予的授予日为2022年2月16日，因此本次激励计划首次授予的限制性股票第一个限售期已于</w:t>
      </w:r>
      <w:r>
        <w:rPr>
          <w:rFonts w:hint="eastAsia" w:asciiTheme="minorEastAsia" w:hAnsiTheme="minorEastAsia" w:eastAsiaTheme="minorEastAsia" w:cstheme="minorEastAsia"/>
          <w:bCs/>
          <w:sz w:val="24"/>
          <w:highlight w:val="none"/>
        </w:rPr>
        <w:t>2023年2月15日</w:t>
      </w:r>
      <w:r>
        <w:rPr>
          <w:rFonts w:hint="eastAsia" w:asciiTheme="minorEastAsia" w:hAnsiTheme="minorEastAsia" w:eastAsiaTheme="minorEastAsia" w:cstheme="minorEastAsia"/>
          <w:sz w:val="24"/>
          <w:highlight w:val="none"/>
        </w:rPr>
        <w:t>届满。</w:t>
      </w:r>
    </w:p>
    <w:p>
      <w:pPr>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（二）首次授予限制性股票第一个解除限售期解除限售条件成就的说明</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解除限售期内，同时满足下列条件时，激励对象获授的限制性股票方可解除限售：</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45"/>
        <w:gridCol w:w="17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745" w:type="dxa"/>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限制性股票首次授予第一个解除限售期解除限售条件</w:t>
            </w:r>
          </w:p>
        </w:tc>
        <w:tc>
          <w:tcPr>
            <w:tcW w:w="1777" w:type="dxa"/>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是否达到解除限售条件的说明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745" w:type="dxa"/>
          </w:tcPr>
          <w:p>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1.公司未发生如下任一情形：</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（1）最近一个会计年度财务会计报告被注册会计师出具否定意见或者无法表示意见的审计报告；</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（2）最近一个会计年度财务报告内部控制被注册会计师出具否定意见或无法表示意见的审计报告；</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（3）上市后最近36个月内出现过未按法律法规、《公司章程》、公开承诺进行利润分配的情形；</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（4）法律法规规定不得实行股权激励的；</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（5）中国证监会认定的其他情形。</w:t>
            </w:r>
          </w:p>
        </w:tc>
        <w:tc>
          <w:tcPr>
            <w:tcW w:w="1777" w:type="dxa"/>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公司未发生前述情形，达到解除限售条件。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745" w:type="dxa"/>
          </w:tcPr>
          <w:p>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2.激励对象未发生如下任一情形：</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（1）最近12个月内被证券交易所认定为不适当人选；</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（2）最近12个月内被中国证监会及其派出机构认定为不适当人选；</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（3）最近12个月内因重大违法违规行为被中国证监会及其派出机构行政处罚或者采取市场禁入措施；</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（4）具有《公司法》规定的不得担任公司董事、高级管理人员的情形；</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（5）法律法规规定不得参与上市公司股权激励的；</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（6）中国证监会认定的其他情形。</w:t>
            </w:r>
          </w:p>
        </w:tc>
        <w:tc>
          <w:tcPr>
            <w:tcW w:w="1777" w:type="dxa"/>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激励对象未发生前述情形，达到解除限售条件。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745" w:type="dxa"/>
          </w:tcPr>
          <w:p>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3、公司层面业绩考核要求：</w:t>
            </w:r>
          </w:p>
          <w:p>
            <w:pPr>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本激励计划在2022年-2024年会计年度中，分年度对公司的业绩指标进行考核，以达到业绩考核目标作为激励对象当年度的解除限售条件之一。本激励计划业绩考核目标如下表所示：</w:t>
            </w:r>
          </w:p>
          <w:p>
            <w:pPr>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首次授予的限制性股票的公司层面业绩考核目标如下表所示：</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20" w:type="pct"/>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解除限售期</w:t>
                  </w:r>
                </w:p>
              </w:tc>
              <w:tc>
                <w:tcPr>
                  <w:tcW w:w="3780" w:type="pct"/>
                  <w:tcBorders>
                    <w:top w:val="single" w:color="auto" w:sz="4" w:space="0"/>
                    <w:left w:val="single" w:color="auto" w:sz="4" w:space="0"/>
                    <w:bottom w:val="single" w:color="auto" w:sz="4" w:space="0"/>
                    <w:right w:val="single" w:color="auto" w:sz="4" w:space="0"/>
                  </w:tcBorders>
                  <w:shd w:val="clear" w:color="auto" w:fill="F2F2F2"/>
                  <w:vAlign w:val="center"/>
                </w:tcPr>
                <w:p>
                  <w:pPr>
                    <w:ind w:firstLine="357"/>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业绩考核目标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4" w:hRule="atLeast"/>
              </w:trPr>
              <w:tc>
                <w:tcPr>
                  <w:tcW w:w="1220" w:type="pct"/>
                  <w:shd w:val="clear" w:color="auto" w:fill="auto"/>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第一个解除限售期</w:t>
                  </w:r>
                </w:p>
              </w:tc>
              <w:tc>
                <w:tcPr>
                  <w:tcW w:w="3780" w:type="pct"/>
                  <w:shd w:val="clear" w:color="auto" w:fill="auto"/>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公司需满足下列两个条件之一：</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1、以2021年营业收入为基数，2022年营业收入增长率不低于10%；</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2、以2021年净利润为基数，2022年净利润增长率不低于10%。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20" w:type="pct"/>
                  <w:shd w:val="clear" w:color="auto" w:fill="auto"/>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第二个解除限售期</w:t>
                  </w:r>
                </w:p>
              </w:tc>
              <w:tc>
                <w:tcPr>
                  <w:tcW w:w="3780" w:type="pct"/>
                  <w:shd w:val="clear" w:color="auto" w:fill="auto"/>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公司需满足下列两个条件之一：</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1、以2021年营业收入为基数，2023年营业收入增长率不低于20%；</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2、以2021年净利润为基数，2023年净利润增长率不低于20%。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20" w:type="pct"/>
                  <w:shd w:val="clear" w:color="auto" w:fill="auto"/>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第三个解除限售期</w:t>
                  </w:r>
                </w:p>
              </w:tc>
              <w:tc>
                <w:tcPr>
                  <w:tcW w:w="3780" w:type="pct"/>
                  <w:shd w:val="clear" w:color="auto" w:fill="auto"/>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公司需满足下列两个条件之一：</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1、以2021年营业收入为基数，2024年营业收入增长率不低于30%；</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2、以2021年净利润为基数，2024年净利润增长率不低于30%。</w:t>
                  </w:r>
                </w:p>
              </w:tc>
            </w:tr>
          </w:tbl>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注：1、上述“营业收入”指经审计的上市公司营业收入；</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2、上述“净利润”指经审计的归属于上市公司股东的净利润，但剔除本次及其它股权激励计划及员工持股计划的股份支付费用影响的数值作为计算依据。</w:t>
            </w:r>
          </w:p>
        </w:tc>
        <w:tc>
          <w:tcPr>
            <w:tcW w:w="1777" w:type="dxa"/>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根据中兴财光华会计师事务所（特殊普通合伙）出具的《公司2022年度审计报告》,公司业绩情况如下： 2022年度，公司营业收入为202,623.28万元，与2021年度营业收入177,545.07万元相比，增长率为14.12%，满足解除限售条件。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745" w:type="dxa"/>
          </w:tcPr>
          <w:p>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4、激励对象个人层面的绩效考核要求：</w:t>
            </w:r>
          </w:p>
          <w:p>
            <w:pPr>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激励对象个人层面的考核根据公司内部绩效考核相关制度实施。激励对象个人考核评价结果分为“A”、“B”、“C”、“D”四个等级，具体如下表所示：</w:t>
            </w:r>
          </w:p>
          <w:tbl>
            <w:tblPr>
              <w:tblStyle w:val="7"/>
              <w:tblpPr w:leftFromText="180" w:rightFromText="180" w:vertAnchor="text" w:horzAnchor="page" w:tblpX="92" w:tblpY="145"/>
              <w:tblOverlap w:val="never"/>
              <w:tblW w:w="6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1050"/>
              <w:gridCol w:w="1320"/>
              <w:gridCol w:w="109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596" w:type="dxa"/>
                  <w:shd w:val="clear" w:color="auto" w:fill="F2F2F2"/>
                  <w:vAlign w:val="center"/>
                </w:tcPr>
                <w:p>
                  <w:pPr>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考核等级</w:t>
                  </w:r>
                </w:p>
              </w:tc>
              <w:tc>
                <w:tcPr>
                  <w:tcW w:w="1050" w:type="dxa"/>
                  <w:shd w:val="clear" w:color="auto" w:fill="F2F2F2"/>
                  <w:vAlign w:val="center"/>
                </w:tcPr>
                <w:p>
                  <w:pPr>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A</w:t>
                  </w:r>
                </w:p>
              </w:tc>
              <w:tc>
                <w:tcPr>
                  <w:tcW w:w="1320" w:type="dxa"/>
                  <w:shd w:val="clear" w:color="auto" w:fill="F2F2F2"/>
                  <w:vAlign w:val="center"/>
                </w:tcPr>
                <w:p>
                  <w:pPr>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B</w:t>
                  </w:r>
                </w:p>
              </w:tc>
              <w:tc>
                <w:tcPr>
                  <w:tcW w:w="1095" w:type="dxa"/>
                  <w:shd w:val="clear" w:color="auto" w:fill="F2F2F2"/>
                  <w:vAlign w:val="center"/>
                </w:tcPr>
                <w:p>
                  <w:pPr>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C</w:t>
                  </w:r>
                </w:p>
              </w:tc>
              <w:tc>
                <w:tcPr>
                  <w:tcW w:w="945" w:type="dxa"/>
                  <w:shd w:val="clear" w:color="auto" w:fill="F2F2F2"/>
                  <w:vAlign w:val="center"/>
                </w:tcPr>
                <w:p>
                  <w:pPr>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96" w:type="dxa"/>
                  <w:vAlign w:val="center"/>
                </w:tcPr>
                <w:p>
                  <w:pPr>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考核结果（S）</w:t>
                  </w:r>
                </w:p>
              </w:tc>
              <w:tc>
                <w:tcPr>
                  <w:tcW w:w="1050" w:type="dxa"/>
                  <w:vAlign w:val="center"/>
                </w:tcPr>
                <w:p>
                  <w:pPr>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S≥80</w:t>
                  </w:r>
                </w:p>
              </w:tc>
              <w:tc>
                <w:tcPr>
                  <w:tcW w:w="1320" w:type="dxa"/>
                  <w:vAlign w:val="center"/>
                </w:tcPr>
                <w:p>
                  <w:pPr>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70≤S＜80</w:t>
                  </w:r>
                </w:p>
              </w:tc>
              <w:tc>
                <w:tcPr>
                  <w:tcW w:w="1095" w:type="dxa"/>
                  <w:vAlign w:val="center"/>
                </w:tcPr>
                <w:p>
                  <w:pPr>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60≤S＜70</w:t>
                  </w:r>
                </w:p>
              </w:tc>
              <w:tc>
                <w:tcPr>
                  <w:tcW w:w="945" w:type="dxa"/>
                  <w:vAlign w:val="center"/>
                </w:tcPr>
                <w:p>
                  <w:pPr>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S＜60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96" w:type="dxa"/>
                  <w:vAlign w:val="center"/>
                </w:tcPr>
                <w:p>
                  <w:pPr>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个人解除限售比例</w:t>
                  </w:r>
                </w:p>
              </w:tc>
              <w:tc>
                <w:tcPr>
                  <w:tcW w:w="1050" w:type="dxa"/>
                  <w:vAlign w:val="center"/>
                </w:tcPr>
                <w:p>
                  <w:pPr>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100%</w:t>
                  </w:r>
                </w:p>
              </w:tc>
              <w:tc>
                <w:tcPr>
                  <w:tcW w:w="1320" w:type="dxa"/>
                  <w:vAlign w:val="center"/>
                </w:tcPr>
                <w:p>
                  <w:pPr>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80%</w:t>
                  </w:r>
                </w:p>
              </w:tc>
              <w:tc>
                <w:tcPr>
                  <w:tcW w:w="1095" w:type="dxa"/>
                  <w:vAlign w:val="center"/>
                </w:tcPr>
                <w:p>
                  <w:pPr>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60%</w:t>
                  </w:r>
                </w:p>
              </w:tc>
              <w:tc>
                <w:tcPr>
                  <w:tcW w:w="945" w:type="dxa"/>
                  <w:vAlign w:val="center"/>
                </w:tcPr>
                <w:p>
                  <w:pPr>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0%</w:t>
                  </w:r>
                </w:p>
              </w:tc>
            </w:tr>
          </w:tbl>
          <w:p>
            <w:pPr>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个人当年可解除限售额度=个人当年计划解除限售额度×个人解除限售比例</w:t>
            </w:r>
          </w:p>
          <w:p>
            <w:pPr>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在公司业绩目标达成的前提下，激励对象按照本计划规定比例解除限售其获授的限制性股票，激励对象考核当年不得解除限售部分的限制性股票，由公司按授予价格回购注销。</w:t>
            </w:r>
          </w:p>
        </w:tc>
        <w:tc>
          <w:tcPr>
            <w:tcW w:w="1777" w:type="dxa"/>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首次授予部分第一个解除限售期仍在职的104名激励对象个人层面考核结果均在80分以上，考核等级为“A”以上，个人解除限售比例为100%。</w:t>
            </w:r>
          </w:p>
        </w:tc>
      </w:tr>
    </w:tbl>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综上，本次激励计划首次授予激励对象的第一个解除限售期解除限售条件已达成，根据公司2022年第一次临时股东大会的授权，同意公司在限售期届满后按照《激励计划》的相关规定办理首次授予限制性股票第一个解除限售期解除限售的相关事宜，不符合解除限售条件的限制性股票将由公司回购注销。</w:t>
      </w:r>
    </w:p>
    <w:p>
      <w:pPr>
        <w:spacing w:line="360" w:lineRule="auto"/>
        <w:ind w:firstLine="540"/>
        <w:rPr>
          <w:rFonts w:hint="eastAsia" w:asciiTheme="minorEastAsia" w:hAnsiTheme="minorEastAsia" w:eastAsiaTheme="minorEastAsia" w:cstheme="minorEastAsia"/>
          <w:b/>
          <w:bCs/>
          <w:sz w:val="24"/>
          <w:highlight w:val="none"/>
        </w:rPr>
      </w:pPr>
    </w:p>
    <w:p>
      <w:pPr>
        <w:spacing w:line="360" w:lineRule="auto"/>
        <w:ind w:firstLine="540"/>
        <w:rPr>
          <w:rFonts w:asciiTheme="minorEastAsia" w:hAnsiTheme="minorEastAsia" w:eastAsiaTheme="minorEastAsia" w:cstheme="minorEastAsia"/>
          <w:b/>
          <w:bCs/>
          <w:sz w:val="24"/>
          <w:highlight w:val="none"/>
        </w:rPr>
      </w:pPr>
      <w:bookmarkStart w:id="0" w:name="_GoBack"/>
      <w:bookmarkEnd w:id="0"/>
      <w:r>
        <w:rPr>
          <w:rFonts w:hint="eastAsia" w:asciiTheme="minorEastAsia" w:hAnsiTheme="minorEastAsia" w:eastAsiaTheme="minorEastAsia" w:cstheme="minorEastAsia"/>
          <w:b/>
          <w:bCs/>
          <w:sz w:val="24"/>
          <w:highlight w:val="none"/>
        </w:rPr>
        <w:t>三、本次可解除限售限制性股票的激励对象及可解除限售限制性股票数量</w:t>
      </w:r>
    </w:p>
    <w:p>
      <w:pPr>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激励计划》的解除限售安排，首次授予的限制性股票第一个解除限售期解除限售比例为40%，公司本次可解除限售的激励对象104人，可解除限售的限制性股票数量为1,293,600股，占公司目前总股本的0.18%，具体如下：</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2144"/>
        <w:gridCol w:w="194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2144" w:type="dxa"/>
            <w:vAlign w:val="center"/>
          </w:tcPr>
          <w:p>
            <w:pPr>
              <w:snapToGrid w:val="0"/>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kern w:val="0"/>
                <w:sz w:val="21"/>
                <w:szCs w:val="21"/>
                <w:highlight w:val="none"/>
              </w:rPr>
              <w:t>职务</w:t>
            </w:r>
          </w:p>
        </w:tc>
        <w:tc>
          <w:tcPr>
            <w:tcW w:w="2144" w:type="dxa"/>
            <w:vAlign w:val="center"/>
          </w:tcPr>
          <w:p>
            <w:pPr>
              <w:snapToGrid w:val="0"/>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首次已获授的限制性股票数量（万股）</w:t>
            </w:r>
          </w:p>
        </w:tc>
        <w:tc>
          <w:tcPr>
            <w:tcW w:w="1944" w:type="dxa"/>
            <w:vAlign w:val="center"/>
          </w:tcPr>
          <w:p>
            <w:pPr>
              <w:snapToGrid w:val="0"/>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本次可解除限售</w:t>
            </w:r>
          </w:p>
          <w:p>
            <w:pPr>
              <w:snapToGrid w:val="0"/>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的限制性股票数</w:t>
            </w:r>
          </w:p>
          <w:p>
            <w:pPr>
              <w:snapToGrid w:val="0"/>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量（万股）</w:t>
            </w:r>
          </w:p>
        </w:tc>
        <w:tc>
          <w:tcPr>
            <w:tcW w:w="2127" w:type="dxa"/>
            <w:vAlign w:val="center"/>
          </w:tcPr>
          <w:p>
            <w:pPr>
              <w:snapToGrid w:val="0"/>
              <w:jc w:val="center"/>
              <w:rPr>
                <w:rFonts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本次解除限售数</w:t>
            </w:r>
          </w:p>
          <w:p>
            <w:pPr>
              <w:snapToGrid w:val="0"/>
              <w:jc w:val="center"/>
              <w:rPr>
                <w:rFonts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量占首次已获授予限</w:t>
            </w:r>
          </w:p>
          <w:p>
            <w:pPr>
              <w:snapToGrid w:val="0"/>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kern w:val="0"/>
                <w:sz w:val="21"/>
                <w:szCs w:val="21"/>
                <w:highlight w:val="none"/>
              </w:rPr>
              <w:t>制性股票比例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144" w:type="dxa"/>
            <w:vAlign w:val="center"/>
          </w:tcPr>
          <w:p>
            <w:pPr>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核心技术人员及核心业务人员（104人）</w:t>
            </w:r>
          </w:p>
        </w:tc>
        <w:tc>
          <w:tcPr>
            <w:tcW w:w="2144" w:type="dxa"/>
            <w:vAlign w:val="center"/>
          </w:tcPr>
          <w:p>
            <w:pPr>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323.4000</w:t>
            </w:r>
          </w:p>
        </w:tc>
        <w:tc>
          <w:tcPr>
            <w:tcW w:w="1944" w:type="dxa"/>
            <w:vAlign w:val="center"/>
          </w:tcPr>
          <w:p>
            <w:pPr>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129.3600</w:t>
            </w:r>
          </w:p>
        </w:tc>
        <w:tc>
          <w:tcPr>
            <w:tcW w:w="2127" w:type="dxa"/>
            <w:vAlign w:val="center"/>
          </w:tcPr>
          <w:p>
            <w:pPr>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44" w:type="dxa"/>
            <w:vAlign w:val="center"/>
          </w:tcPr>
          <w:p>
            <w:pPr>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合计</w:t>
            </w:r>
          </w:p>
        </w:tc>
        <w:tc>
          <w:tcPr>
            <w:tcW w:w="2144" w:type="dxa"/>
            <w:vAlign w:val="center"/>
          </w:tcPr>
          <w:p>
            <w:pPr>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323.4000</w:t>
            </w:r>
          </w:p>
        </w:tc>
        <w:tc>
          <w:tcPr>
            <w:tcW w:w="1944" w:type="dxa"/>
            <w:vAlign w:val="center"/>
          </w:tcPr>
          <w:p>
            <w:pPr>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129.3600</w:t>
            </w:r>
          </w:p>
        </w:tc>
        <w:tc>
          <w:tcPr>
            <w:tcW w:w="2127" w:type="dxa"/>
            <w:vAlign w:val="center"/>
          </w:tcPr>
          <w:p>
            <w:pPr>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40%</w:t>
            </w:r>
          </w:p>
        </w:tc>
      </w:tr>
    </w:tbl>
    <w:p>
      <w:pPr>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注：1、2023年1月12日公司已完成了4名已离职激励对象已获授但尚未解除限售的50,000股限制性股票的回购注销手续。</w:t>
      </w:r>
    </w:p>
    <w:p>
      <w:pPr>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2、公司后续将根据《管理办法》等相关规定办理1名已离职激励对象已获授20,000股限制性股票的回购注销工作。</w:t>
      </w:r>
    </w:p>
    <w:p>
      <w:pPr>
        <w:ind w:firstLine="42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1"/>
          <w:szCs w:val="21"/>
          <w:highlight w:val="none"/>
        </w:rPr>
        <w:t>3、上表已剔除离职激励对象获授的数量。</w:t>
      </w:r>
    </w:p>
    <w:p>
      <w:pPr>
        <w:spacing w:line="360" w:lineRule="auto"/>
        <w:ind w:firstLine="540"/>
        <w:rPr>
          <w:rFonts w:asciiTheme="minorEastAsia" w:hAnsiTheme="minorEastAsia" w:eastAsiaTheme="minorEastAsia" w:cstheme="minorEastAsia"/>
          <w:sz w:val="24"/>
          <w:highlight w:val="none"/>
        </w:rPr>
      </w:pPr>
    </w:p>
    <w:p>
      <w:pPr>
        <w:spacing w:line="360" w:lineRule="auto"/>
        <w:ind w:firstLine="54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四、本次解除限售的限制性股票上市流通安排及股本结构变动情况</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（一）本次解除限售的限制性股票上市流通日：2023年5月18日</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（二）本次解除限售的限制性股票上市流通数量：1,293,600股</w:t>
      </w:r>
    </w:p>
    <w:p>
      <w:pPr>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（三）董事和高级管理人员本次解除限售的限制性股票的锁定和转让限制</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（1）激励对象为公司董事和高级管理人员的，其在任职期间每年转让的股份不得超过其所持有本公司股份总数的25%；在离职后半年内，不得转让其所持有的本公司股份。</w:t>
      </w:r>
    </w:p>
    <w:p>
      <w:pPr>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（2）激励对象为公司董事、高级管理人员及其配偶、父母、子女的，将其持有的本公司股票在买入后6个月内卖出，或者在卖出后6个月内又买入，由此所得收益归本公司所有，本公司董事会将收回其所得收益。</w:t>
      </w:r>
    </w:p>
    <w:p>
      <w:pPr>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在本激励计划的有效期内，如果《公司法》《证券法》等相关法律、行政法规、规范性文件和《公司章程》中对公司董事和高级管理人员持有股份转让的有关规定发生了变化，则这部分激励对象转让其所持有的公司股票应当在转让时符合修改后的《公司法》《证券法》等相关法律、法规、规范性文件和《公司章程》的规定。</w:t>
      </w:r>
    </w:p>
    <w:p>
      <w:pPr>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（4）本次限制性股票解除限售后公司股本结构变动情况</w:t>
      </w:r>
    </w:p>
    <w:p>
      <w:pPr>
        <w:spacing w:line="360" w:lineRule="auto"/>
        <w:ind w:firstLine="540"/>
        <w:jc w:val="righ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napToGrid w:val="0"/>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kern w:val="0"/>
                <w:sz w:val="24"/>
                <w:highlight w:val="none"/>
              </w:rPr>
              <w:t>类别</w:t>
            </w:r>
          </w:p>
        </w:tc>
        <w:tc>
          <w:tcPr>
            <w:tcW w:w="2130" w:type="dxa"/>
            <w:vAlign w:val="center"/>
          </w:tcPr>
          <w:p>
            <w:pPr>
              <w:snapToGrid w:val="0"/>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kern w:val="0"/>
                <w:sz w:val="24"/>
                <w:highlight w:val="none"/>
              </w:rPr>
              <w:t>变动前</w:t>
            </w:r>
          </w:p>
        </w:tc>
        <w:tc>
          <w:tcPr>
            <w:tcW w:w="2131" w:type="dxa"/>
          </w:tcPr>
          <w:p>
            <w:pPr>
              <w:spacing w:line="360" w:lineRule="auto"/>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本次变动数</w:t>
            </w:r>
          </w:p>
        </w:tc>
        <w:tc>
          <w:tcPr>
            <w:tcW w:w="2131" w:type="dxa"/>
          </w:tcPr>
          <w:p>
            <w:pPr>
              <w:spacing w:line="360" w:lineRule="auto"/>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有限售条件股份</w:t>
            </w:r>
          </w:p>
        </w:tc>
        <w:tc>
          <w:tcPr>
            <w:tcW w:w="2130" w:type="dxa"/>
            <w:vAlign w:val="center"/>
          </w:tcPr>
          <w:p>
            <w:pPr>
              <w:spacing w:line="360" w:lineRule="auto"/>
              <w:jc w:val="righ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4,059,303</w:t>
            </w:r>
          </w:p>
        </w:tc>
        <w:tc>
          <w:tcPr>
            <w:tcW w:w="2131" w:type="dxa"/>
          </w:tcPr>
          <w:p>
            <w:pPr>
              <w:spacing w:line="360" w:lineRule="auto"/>
              <w:jc w:val="righ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-1,293,600</w:t>
            </w:r>
          </w:p>
        </w:tc>
        <w:tc>
          <w:tcPr>
            <w:tcW w:w="2131" w:type="dxa"/>
          </w:tcPr>
          <w:p>
            <w:pPr>
              <w:spacing w:line="360" w:lineRule="auto"/>
              <w:jc w:val="righ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2,765,703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无限售条件股份</w:t>
            </w:r>
          </w:p>
        </w:tc>
        <w:tc>
          <w:tcPr>
            <w:tcW w:w="2130" w:type="dxa"/>
            <w:vAlign w:val="center"/>
          </w:tcPr>
          <w:p>
            <w:pPr>
              <w:spacing w:line="360" w:lineRule="auto"/>
              <w:jc w:val="righ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708,264,529</w:t>
            </w:r>
          </w:p>
        </w:tc>
        <w:tc>
          <w:tcPr>
            <w:tcW w:w="2131" w:type="dxa"/>
          </w:tcPr>
          <w:p>
            <w:pPr>
              <w:spacing w:line="360" w:lineRule="auto"/>
              <w:jc w:val="righ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1,293,600</w:t>
            </w:r>
          </w:p>
        </w:tc>
        <w:tc>
          <w:tcPr>
            <w:tcW w:w="2131" w:type="dxa"/>
          </w:tcPr>
          <w:p>
            <w:pPr>
              <w:spacing w:line="360" w:lineRule="auto"/>
              <w:jc w:val="righ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709,558,129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napToGrid w:val="0"/>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合计</w:t>
            </w:r>
          </w:p>
        </w:tc>
        <w:tc>
          <w:tcPr>
            <w:tcW w:w="2130" w:type="dxa"/>
            <w:vAlign w:val="center"/>
          </w:tcPr>
          <w:p>
            <w:pPr>
              <w:spacing w:line="360" w:lineRule="auto"/>
              <w:jc w:val="righ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712,323,832</w:t>
            </w:r>
          </w:p>
        </w:tc>
        <w:tc>
          <w:tcPr>
            <w:tcW w:w="2131" w:type="dxa"/>
          </w:tcPr>
          <w:p>
            <w:pPr>
              <w:spacing w:line="360" w:lineRule="auto"/>
              <w:jc w:val="right"/>
              <w:rPr>
                <w:rFonts w:asciiTheme="minorEastAsia" w:hAnsiTheme="minorEastAsia" w:eastAsiaTheme="minorEastAsia" w:cstheme="minorEastAsia"/>
                <w:sz w:val="24"/>
                <w:highlight w:val="none"/>
              </w:rPr>
            </w:pPr>
          </w:p>
        </w:tc>
        <w:tc>
          <w:tcPr>
            <w:tcW w:w="2131" w:type="dxa"/>
          </w:tcPr>
          <w:p>
            <w:pPr>
              <w:spacing w:line="360" w:lineRule="auto"/>
              <w:jc w:val="righ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712,323,832</w:t>
            </w:r>
          </w:p>
        </w:tc>
      </w:tr>
    </w:tbl>
    <w:p>
      <w:pPr>
        <w:spacing w:line="360" w:lineRule="auto"/>
        <w:ind w:firstLine="540"/>
        <w:rPr>
          <w:rFonts w:asciiTheme="minorEastAsia" w:hAnsiTheme="minorEastAsia" w:eastAsiaTheme="minorEastAsia" w:cstheme="minorEastAsia"/>
          <w:sz w:val="24"/>
          <w:highlight w:val="none"/>
        </w:rPr>
      </w:pPr>
    </w:p>
    <w:p>
      <w:pPr>
        <w:spacing w:line="360" w:lineRule="auto"/>
        <w:ind w:firstLine="54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五、律师出具的法律意见</w:t>
      </w:r>
    </w:p>
    <w:p>
      <w:pPr>
        <w:spacing w:line="360" w:lineRule="auto"/>
        <w:ind w:firstLine="540"/>
        <w:rPr>
          <w:rFonts w:eastAsiaTheme="minorEastAsia"/>
          <w:sz w:val="24"/>
          <w:highlight w:val="none"/>
        </w:rPr>
      </w:pPr>
      <w:r>
        <w:rPr>
          <w:rFonts w:hint="eastAsia" w:eastAsiaTheme="minorEastAsia"/>
          <w:sz w:val="24"/>
          <w:highlight w:val="none"/>
        </w:rPr>
        <w:t>浙江天册律师事务所律师认为：</w:t>
      </w:r>
      <w:r>
        <w:rPr>
          <w:rFonts w:hint="eastAsia" w:eastAsiaTheme="minorEastAsia"/>
          <w:kern w:val="0"/>
          <w:sz w:val="24"/>
          <w:highlight w:val="none"/>
        </w:rPr>
        <w:t>公司本次激励计划所涉首次授予部分解除限售事宜已取得了现阶段必要的批准和授权，第一个解除限售期已届满且解除限售的条件已成就，解除限售的激励对象及数量符合《管理办法》和《激励计划》的规定。公司尚需就本次解除限售事项及时履行信息披露义务并办理解除限售等手续。</w:t>
      </w:r>
    </w:p>
    <w:p>
      <w:pPr>
        <w:spacing w:line="360" w:lineRule="auto"/>
        <w:ind w:firstLine="540"/>
        <w:rPr>
          <w:rFonts w:asciiTheme="minorEastAsia" w:hAnsiTheme="minorEastAsia" w:eastAsiaTheme="minorEastAsia" w:cstheme="minorEastAsia"/>
          <w:sz w:val="24"/>
          <w:highlight w:val="none"/>
        </w:rPr>
      </w:pPr>
    </w:p>
    <w:p>
      <w:pPr>
        <w:widowControl/>
        <w:spacing w:line="360" w:lineRule="auto"/>
        <w:ind w:firstLine="480" w:firstLineChars="200"/>
        <w:jc w:val="left"/>
        <w:rPr>
          <w:rFonts w:eastAsiaTheme="minorEastAsia"/>
          <w:kern w:val="0"/>
          <w:sz w:val="24"/>
          <w:highlight w:val="none"/>
        </w:rPr>
      </w:pPr>
      <w:r>
        <w:rPr>
          <w:rFonts w:hint="eastAsia" w:eastAsiaTheme="minorEastAsia"/>
          <w:kern w:val="0"/>
          <w:sz w:val="24"/>
          <w:highlight w:val="none"/>
        </w:rPr>
        <w:t>特此公告。</w:t>
      </w:r>
    </w:p>
    <w:p>
      <w:pPr>
        <w:spacing w:line="360" w:lineRule="auto"/>
        <w:ind w:firstLine="4320" w:firstLineChars="1800"/>
        <w:jc w:val="right"/>
        <w:rPr>
          <w:rFonts w:ascii="宋体" w:hAnsi="宋体" w:cs="宋体"/>
          <w:sz w:val="24"/>
          <w:highlight w:val="none"/>
        </w:rPr>
      </w:pPr>
    </w:p>
    <w:p>
      <w:pPr>
        <w:spacing w:line="360" w:lineRule="auto"/>
        <w:ind w:firstLine="4320" w:firstLineChars="1800"/>
        <w:jc w:val="right"/>
        <w:rPr>
          <w:rFonts w:ascii="宋体" w:hAnsi="宋体" w:cs="宋体"/>
          <w:sz w:val="24"/>
          <w:highlight w:val="none"/>
        </w:rPr>
      </w:pPr>
    </w:p>
    <w:p>
      <w:pPr>
        <w:spacing w:line="360" w:lineRule="auto"/>
        <w:ind w:firstLine="4320" w:firstLineChars="1800"/>
        <w:jc w:val="right"/>
        <w:rPr>
          <w:rFonts w:ascii="宋体" w:hAnsi="宋体" w:cs="宋体"/>
          <w:sz w:val="24"/>
          <w:highlight w:val="none"/>
        </w:rPr>
      </w:pPr>
      <w:r>
        <w:rPr>
          <w:rFonts w:hint="eastAsia" w:ascii="宋体" w:hAnsi="宋体" w:cs="宋体"/>
          <w:sz w:val="24"/>
          <w:highlight w:val="none"/>
        </w:rPr>
        <w:t>江苏吴中医药发展股份有限公司</w:t>
      </w:r>
    </w:p>
    <w:p>
      <w:pPr>
        <w:spacing w:line="360" w:lineRule="auto"/>
        <w:ind w:right="1200" w:firstLine="4320" w:firstLineChars="1800"/>
        <w:jc w:val="right"/>
        <w:rPr>
          <w:rFonts w:ascii="宋体" w:hAnsi="宋体" w:cs="宋体"/>
          <w:sz w:val="24"/>
          <w:highlight w:val="none"/>
        </w:rPr>
      </w:pPr>
      <w:r>
        <w:rPr>
          <w:rFonts w:hint="eastAsia" w:ascii="宋体" w:hAnsi="宋体" w:cs="宋体"/>
          <w:sz w:val="24"/>
          <w:highlight w:val="none"/>
        </w:rPr>
        <w:t xml:space="preserve">董事会      </w:t>
      </w:r>
    </w:p>
    <w:p>
      <w:pPr>
        <w:spacing w:line="360" w:lineRule="auto"/>
        <w:ind w:right="480" w:firstLine="5220" w:firstLineChars="2175"/>
        <w:jc w:val="center"/>
        <w:rPr>
          <w:rFonts w:ascii="宋体" w:hAnsi="宋体" w:cs="宋体"/>
          <w:sz w:val="24"/>
          <w:highlight w:val="none"/>
        </w:rPr>
      </w:pPr>
      <w:r>
        <w:rPr>
          <w:rFonts w:hint="eastAsia" w:ascii="宋体" w:hAnsi="宋体" w:cs="宋体"/>
          <w:sz w:val="24"/>
          <w:highlight w:val="none"/>
        </w:rPr>
        <w:t xml:space="preserve">     2023年5月1</w:t>
      </w:r>
      <w:r>
        <w:rPr>
          <w:rFonts w:hint="eastAsia" w:ascii="宋体" w:hAnsi="宋体" w:cs="宋体"/>
          <w:sz w:val="24"/>
          <w:highlight w:val="none"/>
          <w:lang w:val="en-US" w:eastAsia="zh-CN"/>
        </w:rPr>
        <w:t>3</w:t>
      </w:r>
      <w:r>
        <w:rPr>
          <w:rFonts w:hint="eastAsia" w:ascii="宋体" w:hAnsi="宋体" w:cs="宋体"/>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668BD"/>
    <w:multiLevelType w:val="singleLevel"/>
    <w:tmpl w:val="EF0668BD"/>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A45784"/>
    <w:rsid w:val="000122B5"/>
    <w:rsid w:val="00014D70"/>
    <w:rsid w:val="0003171D"/>
    <w:rsid w:val="00036659"/>
    <w:rsid w:val="000377FA"/>
    <w:rsid w:val="00086E94"/>
    <w:rsid w:val="000A47DF"/>
    <w:rsid w:val="000A4818"/>
    <w:rsid w:val="000B2840"/>
    <w:rsid w:val="000B471C"/>
    <w:rsid w:val="000C1EBF"/>
    <w:rsid w:val="000C334F"/>
    <w:rsid w:val="000D4DEB"/>
    <w:rsid w:val="000D5160"/>
    <w:rsid w:val="000F112E"/>
    <w:rsid w:val="00105C70"/>
    <w:rsid w:val="00115DE0"/>
    <w:rsid w:val="00125EB5"/>
    <w:rsid w:val="00141A30"/>
    <w:rsid w:val="0014235B"/>
    <w:rsid w:val="001449C0"/>
    <w:rsid w:val="001660E2"/>
    <w:rsid w:val="00167B35"/>
    <w:rsid w:val="00172DDE"/>
    <w:rsid w:val="00184711"/>
    <w:rsid w:val="001A6F91"/>
    <w:rsid w:val="001E24B1"/>
    <w:rsid w:val="00207C98"/>
    <w:rsid w:val="0021037C"/>
    <w:rsid w:val="0022046C"/>
    <w:rsid w:val="00226381"/>
    <w:rsid w:val="00241269"/>
    <w:rsid w:val="002442A3"/>
    <w:rsid w:val="00244CA8"/>
    <w:rsid w:val="0025726D"/>
    <w:rsid w:val="0025795B"/>
    <w:rsid w:val="0027220C"/>
    <w:rsid w:val="002808AB"/>
    <w:rsid w:val="002818D2"/>
    <w:rsid w:val="00284B6B"/>
    <w:rsid w:val="002B7CCB"/>
    <w:rsid w:val="002D2369"/>
    <w:rsid w:val="002E17DB"/>
    <w:rsid w:val="002E3664"/>
    <w:rsid w:val="00324EB8"/>
    <w:rsid w:val="00340B27"/>
    <w:rsid w:val="00345027"/>
    <w:rsid w:val="0036359C"/>
    <w:rsid w:val="003870CC"/>
    <w:rsid w:val="00396142"/>
    <w:rsid w:val="003B5345"/>
    <w:rsid w:val="003D3FFF"/>
    <w:rsid w:val="003D5F09"/>
    <w:rsid w:val="003E355B"/>
    <w:rsid w:val="003E611D"/>
    <w:rsid w:val="003F5416"/>
    <w:rsid w:val="00402DA4"/>
    <w:rsid w:val="00417688"/>
    <w:rsid w:val="00427797"/>
    <w:rsid w:val="004469CC"/>
    <w:rsid w:val="004502F4"/>
    <w:rsid w:val="00452CF5"/>
    <w:rsid w:val="00463A87"/>
    <w:rsid w:val="00487F80"/>
    <w:rsid w:val="004A01A5"/>
    <w:rsid w:val="004B3F2E"/>
    <w:rsid w:val="004D6CC0"/>
    <w:rsid w:val="004E363D"/>
    <w:rsid w:val="004F1F15"/>
    <w:rsid w:val="004F23D4"/>
    <w:rsid w:val="00515686"/>
    <w:rsid w:val="00515F09"/>
    <w:rsid w:val="005433E7"/>
    <w:rsid w:val="005712CB"/>
    <w:rsid w:val="00575A06"/>
    <w:rsid w:val="00577CBB"/>
    <w:rsid w:val="005A085E"/>
    <w:rsid w:val="005A49B9"/>
    <w:rsid w:val="005B4F18"/>
    <w:rsid w:val="005C3668"/>
    <w:rsid w:val="005E074B"/>
    <w:rsid w:val="005E787E"/>
    <w:rsid w:val="005E7D3F"/>
    <w:rsid w:val="005F7FC6"/>
    <w:rsid w:val="0060613D"/>
    <w:rsid w:val="00611BF3"/>
    <w:rsid w:val="00613790"/>
    <w:rsid w:val="00615D49"/>
    <w:rsid w:val="006412D7"/>
    <w:rsid w:val="00644FB5"/>
    <w:rsid w:val="00662769"/>
    <w:rsid w:val="00683AED"/>
    <w:rsid w:val="00695D72"/>
    <w:rsid w:val="00697C90"/>
    <w:rsid w:val="006B0382"/>
    <w:rsid w:val="006B197C"/>
    <w:rsid w:val="006B29CA"/>
    <w:rsid w:val="006B2B65"/>
    <w:rsid w:val="006C1077"/>
    <w:rsid w:val="006C5D79"/>
    <w:rsid w:val="006D33D8"/>
    <w:rsid w:val="006D7E73"/>
    <w:rsid w:val="006E36D5"/>
    <w:rsid w:val="006F165C"/>
    <w:rsid w:val="006F45B8"/>
    <w:rsid w:val="007014FC"/>
    <w:rsid w:val="00704271"/>
    <w:rsid w:val="0070577A"/>
    <w:rsid w:val="007134BF"/>
    <w:rsid w:val="00730D6E"/>
    <w:rsid w:val="007507C1"/>
    <w:rsid w:val="007734A6"/>
    <w:rsid w:val="007902F4"/>
    <w:rsid w:val="00794177"/>
    <w:rsid w:val="00802A0A"/>
    <w:rsid w:val="00803388"/>
    <w:rsid w:val="00813FAD"/>
    <w:rsid w:val="00817B01"/>
    <w:rsid w:val="00831ED0"/>
    <w:rsid w:val="0083330B"/>
    <w:rsid w:val="00841A44"/>
    <w:rsid w:val="00855EF2"/>
    <w:rsid w:val="00867EC2"/>
    <w:rsid w:val="00891BAD"/>
    <w:rsid w:val="00893296"/>
    <w:rsid w:val="008935D4"/>
    <w:rsid w:val="008B050D"/>
    <w:rsid w:val="008B1211"/>
    <w:rsid w:val="008B282E"/>
    <w:rsid w:val="008C473B"/>
    <w:rsid w:val="008E182A"/>
    <w:rsid w:val="008E57CC"/>
    <w:rsid w:val="008F6AB5"/>
    <w:rsid w:val="0090509B"/>
    <w:rsid w:val="00907D4E"/>
    <w:rsid w:val="00916943"/>
    <w:rsid w:val="00933FA5"/>
    <w:rsid w:val="00955A3F"/>
    <w:rsid w:val="00961C50"/>
    <w:rsid w:val="009626AA"/>
    <w:rsid w:val="00965CA7"/>
    <w:rsid w:val="00971E97"/>
    <w:rsid w:val="00990D42"/>
    <w:rsid w:val="009A3002"/>
    <w:rsid w:val="009D0F9A"/>
    <w:rsid w:val="009E123A"/>
    <w:rsid w:val="009E210A"/>
    <w:rsid w:val="009F2B75"/>
    <w:rsid w:val="00A267F9"/>
    <w:rsid w:val="00A45784"/>
    <w:rsid w:val="00A47C97"/>
    <w:rsid w:val="00A57867"/>
    <w:rsid w:val="00A61011"/>
    <w:rsid w:val="00A66838"/>
    <w:rsid w:val="00A803BB"/>
    <w:rsid w:val="00A84782"/>
    <w:rsid w:val="00AA10D4"/>
    <w:rsid w:val="00AA5774"/>
    <w:rsid w:val="00AA761B"/>
    <w:rsid w:val="00AB6F9F"/>
    <w:rsid w:val="00AC750D"/>
    <w:rsid w:val="00AC7ABF"/>
    <w:rsid w:val="00AD0DA5"/>
    <w:rsid w:val="00B0355E"/>
    <w:rsid w:val="00B07E79"/>
    <w:rsid w:val="00B31A8D"/>
    <w:rsid w:val="00B37E5C"/>
    <w:rsid w:val="00B47F4C"/>
    <w:rsid w:val="00B562A7"/>
    <w:rsid w:val="00B64265"/>
    <w:rsid w:val="00B708B5"/>
    <w:rsid w:val="00B825D8"/>
    <w:rsid w:val="00B93CE6"/>
    <w:rsid w:val="00BB065F"/>
    <w:rsid w:val="00BB5F62"/>
    <w:rsid w:val="00BC1CB7"/>
    <w:rsid w:val="00BF2501"/>
    <w:rsid w:val="00BF68F7"/>
    <w:rsid w:val="00C14435"/>
    <w:rsid w:val="00C4428C"/>
    <w:rsid w:val="00C62C04"/>
    <w:rsid w:val="00C9411D"/>
    <w:rsid w:val="00C948D1"/>
    <w:rsid w:val="00CA24CA"/>
    <w:rsid w:val="00CC65AD"/>
    <w:rsid w:val="00CD5891"/>
    <w:rsid w:val="00CD6EAB"/>
    <w:rsid w:val="00CE1F4F"/>
    <w:rsid w:val="00CF40EA"/>
    <w:rsid w:val="00D02222"/>
    <w:rsid w:val="00D04CBB"/>
    <w:rsid w:val="00D21B8D"/>
    <w:rsid w:val="00D26D15"/>
    <w:rsid w:val="00D37C75"/>
    <w:rsid w:val="00D45281"/>
    <w:rsid w:val="00D45300"/>
    <w:rsid w:val="00D53DC4"/>
    <w:rsid w:val="00D70693"/>
    <w:rsid w:val="00D773FE"/>
    <w:rsid w:val="00D90214"/>
    <w:rsid w:val="00D90BC6"/>
    <w:rsid w:val="00DB50BC"/>
    <w:rsid w:val="00DF2DBF"/>
    <w:rsid w:val="00E003D0"/>
    <w:rsid w:val="00E025CD"/>
    <w:rsid w:val="00E05034"/>
    <w:rsid w:val="00E05DAC"/>
    <w:rsid w:val="00E064F9"/>
    <w:rsid w:val="00E13E1C"/>
    <w:rsid w:val="00E220DE"/>
    <w:rsid w:val="00E268AF"/>
    <w:rsid w:val="00E3302D"/>
    <w:rsid w:val="00E40DCB"/>
    <w:rsid w:val="00E73DAA"/>
    <w:rsid w:val="00E74755"/>
    <w:rsid w:val="00E9529E"/>
    <w:rsid w:val="00E96688"/>
    <w:rsid w:val="00E96761"/>
    <w:rsid w:val="00EA6444"/>
    <w:rsid w:val="00EB5D3B"/>
    <w:rsid w:val="00EB7FBA"/>
    <w:rsid w:val="00EE7F9D"/>
    <w:rsid w:val="00EF6E03"/>
    <w:rsid w:val="00F032CF"/>
    <w:rsid w:val="00F03FA2"/>
    <w:rsid w:val="00F07EAF"/>
    <w:rsid w:val="00F12BEE"/>
    <w:rsid w:val="00F13AFE"/>
    <w:rsid w:val="00F551C7"/>
    <w:rsid w:val="00F5739B"/>
    <w:rsid w:val="00F61471"/>
    <w:rsid w:val="00F632C3"/>
    <w:rsid w:val="00F64652"/>
    <w:rsid w:val="00F86A04"/>
    <w:rsid w:val="00F91D7D"/>
    <w:rsid w:val="00FA2B97"/>
    <w:rsid w:val="00FA5496"/>
    <w:rsid w:val="00FD5CB7"/>
    <w:rsid w:val="00FE5ACA"/>
    <w:rsid w:val="00FF1000"/>
    <w:rsid w:val="00FF51D5"/>
    <w:rsid w:val="01A93FA3"/>
    <w:rsid w:val="05D6496E"/>
    <w:rsid w:val="06BF1B73"/>
    <w:rsid w:val="077C1812"/>
    <w:rsid w:val="08AB6853"/>
    <w:rsid w:val="09537971"/>
    <w:rsid w:val="0B0264D2"/>
    <w:rsid w:val="0C300E1D"/>
    <w:rsid w:val="12DB7D35"/>
    <w:rsid w:val="16B40FC8"/>
    <w:rsid w:val="192D5062"/>
    <w:rsid w:val="19831126"/>
    <w:rsid w:val="212F4E54"/>
    <w:rsid w:val="21C6644C"/>
    <w:rsid w:val="21F229A5"/>
    <w:rsid w:val="247D7B99"/>
    <w:rsid w:val="284303FE"/>
    <w:rsid w:val="29F868B7"/>
    <w:rsid w:val="2AEA2DB3"/>
    <w:rsid w:val="2B9D1BD3"/>
    <w:rsid w:val="2DFB50F0"/>
    <w:rsid w:val="2F120B2A"/>
    <w:rsid w:val="30202DD3"/>
    <w:rsid w:val="30354AD0"/>
    <w:rsid w:val="31B00187"/>
    <w:rsid w:val="31D245A1"/>
    <w:rsid w:val="3509498C"/>
    <w:rsid w:val="368E7B14"/>
    <w:rsid w:val="36FE5B4C"/>
    <w:rsid w:val="374970B3"/>
    <w:rsid w:val="375515B4"/>
    <w:rsid w:val="3877189D"/>
    <w:rsid w:val="3AD9074E"/>
    <w:rsid w:val="3CD218F9"/>
    <w:rsid w:val="3E912A84"/>
    <w:rsid w:val="3F5E56C6"/>
    <w:rsid w:val="407927B7"/>
    <w:rsid w:val="41F63994"/>
    <w:rsid w:val="490648E6"/>
    <w:rsid w:val="4A370FED"/>
    <w:rsid w:val="4BE13907"/>
    <w:rsid w:val="4D285ECD"/>
    <w:rsid w:val="4D88228C"/>
    <w:rsid w:val="4E7B594C"/>
    <w:rsid w:val="535A355B"/>
    <w:rsid w:val="54261923"/>
    <w:rsid w:val="55007040"/>
    <w:rsid w:val="58E803E0"/>
    <w:rsid w:val="58F21DB0"/>
    <w:rsid w:val="59B9557B"/>
    <w:rsid w:val="5A7761D0"/>
    <w:rsid w:val="5B70610D"/>
    <w:rsid w:val="5C384E7D"/>
    <w:rsid w:val="5E113BD7"/>
    <w:rsid w:val="64B90B25"/>
    <w:rsid w:val="67277FC8"/>
    <w:rsid w:val="69D8255B"/>
    <w:rsid w:val="6A366774"/>
    <w:rsid w:val="6CFA1CDB"/>
    <w:rsid w:val="72F571CC"/>
    <w:rsid w:val="741D2E7E"/>
    <w:rsid w:val="7CDE0446"/>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页眉 Char"/>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styleId="15">
    <w:name w:val="List Paragraph"/>
    <w:basedOn w:val="1"/>
    <w:qFormat/>
    <w:uiPriority w:val="1"/>
    <w:pPr>
      <w:ind w:left="220" w:firstLine="599"/>
    </w:pPr>
    <w:rPr>
      <w:rFonts w:ascii="宋体" w:hAnsi="宋体" w:cs="宋体"/>
      <w:lang w:val="zh-CN" w:bidi="zh-CN"/>
    </w:rPr>
  </w:style>
  <w:style w:type="table" w:customStyle="1" w:styleId="16">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批注文字 Char"/>
    <w:basedOn w:val="9"/>
    <w:link w:val="2"/>
    <w:semiHidden/>
    <w:qFormat/>
    <w:uiPriority w:val="99"/>
    <w:rPr>
      <w:kern w:val="2"/>
      <w:sz w:val="21"/>
      <w:szCs w:val="24"/>
    </w:rPr>
  </w:style>
  <w:style w:type="character" w:customStyle="1" w:styleId="18">
    <w:name w:val="批注主题 Char"/>
    <w:basedOn w:val="17"/>
    <w:link w:val="6"/>
    <w:semiHidden/>
    <w:qFormat/>
    <w:uiPriority w:val="99"/>
    <w:rPr>
      <w:b/>
      <w:bCs/>
      <w:kern w:val="2"/>
      <w:sz w:val="21"/>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5550</Words>
  <Characters>6159</Characters>
  <Lines>45</Lines>
  <Paragraphs>12</Paragraphs>
  <TotalTime>19</TotalTime>
  <ScaleCrop>false</ScaleCrop>
  <LinksUpToDate>false</LinksUpToDate>
  <CharactersWithSpaces>6198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2023-05-05T06:31:00Z</dcterms:created>
  <dc:creator>李锐</dc:creator>
  <cp:lastModifiedBy>王雅杰</cp:lastModifiedBy>
  <cp:lastPrinted>2023-05-12T01:30:34Z</cp:lastPrinted>
  <dcterms:modified xsi:type="dcterms:W3CDTF">2023-05-12T01:42:07Z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9B0EE80910A547FCB9161BB39683E911_12</vt:lpwstr>
  </property>
</Properties>
</file>