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公告编号：临2022-</w:t>
      </w:r>
      <w:r>
        <w:rPr>
          <w:rFonts w:hint="eastAsia" w:ascii="宋体" w:hAnsi="宋体" w:cs="宋体"/>
          <w:color w:val="000000"/>
          <w:kern w:val="0"/>
          <w:sz w:val="24"/>
          <w:highlight w:val="none"/>
          <w:lang w:val="en-US" w:eastAsia="zh-CN"/>
        </w:rPr>
        <w:t>070</w:t>
      </w:r>
      <w:r>
        <w:rPr>
          <w:rFonts w:hint="eastAsia" w:ascii="宋体" w:hAnsi="宋体" w:cs="宋体"/>
          <w:color w:val="000000"/>
          <w:kern w:val="0"/>
          <w:sz w:val="24"/>
          <w:highlight w:val="none"/>
        </w:rPr>
        <w:t xml:space="preserve"> </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2021年限制性股票激励计划预留授予结果的公告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本公司董事会及董事会全体成员保证公告内容不存在虚假记载、误导性陈述或者重大遗漏，并对其内容的真实、准确和完整承担法律责任。</w:t>
      </w:r>
    </w:p>
    <w:p>
      <w:pPr>
        <w:pStyle w:val="13"/>
        <w:spacing w:line="360" w:lineRule="auto"/>
        <w:rPr>
          <w:highlight w:val="none"/>
        </w:rPr>
      </w:pPr>
    </w:p>
    <w:p>
      <w:pPr>
        <w:tabs>
          <w:tab w:val="left" w:pos="540"/>
          <w:tab w:val="left" w:pos="900"/>
        </w:tabs>
        <w:adjustRightInd w:val="0"/>
        <w:snapToGrid w:val="0"/>
        <w:spacing w:line="360" w:lineRule="auto"/>
        <w:ind w:firstLine="480" w:firstLineChars="200"/>
        <w:rPr>
          <w:rFonts w:ascii="宋体" w:hAnsi="宋体"/>
          <w:bCs/>
          <w:sz w:val="24"/>
          <w:highlight w:val="none"/>
        </w:rPr>
      </w:pPr>
      <w:r>
        <w:rPr>
          <w:rFonts w:hint="eastAsia" w:ascii="宋体" w:hAnsi="宋体"/>
          <w:bCs/>
          <w:sz w:val="24"/>
          <w:highlight w:val="none"/>
        </w:rPr>
        <w:t>重要内容提示：</w:t>
      </w:r>
    </w:p>
    <w:p>
      <w:pPr>
        <w:numPr>
          <w:ilvl w:val="0"/>
          <w:numId w:val="1"/>
        </w:numPr>
        <w:adjustRightInd w:val="0"/>
        <w:snapToGrid w:val="0"/>
        <w:spacing w:line="360" w:lineRule="auto"/>
        <w:rPr>
          <w:rFonts w:ascii="宋体" w:hAnsi="宋体"/>
          <w:bCs/>
          <w:sz w:val="24"/>
          <w:highlight w:val="none"/>
        </w:rPr>
      </w:pPr>
      <w:r>
        <w:rPr>
          <w:rFonts w:hint="eastAsia" w:ascii="宋体" w:hAnsi="宋体"/>
          <w:bCs/>
          <w:sz w:val="24"/>
          <w:highlight w:val="none"/>
        </w:rPr>
        <w:t>预留授予</w:t>
      </w:r>
      <w:r>
        <w:rPr>
          <w:rFonts w:hint="eastAsia" w:ascii="宋体" w:hAnsi="宋体"/>
          <w:bCs/>
          <w:sz w:val="24"/>
          <w:highlight w:val="none"/>
        </w:rPr>
        <w:t>限制性股票登记日：</w:t>
      </w:r>
      <w:r>
        <w:rPr>
          <w:rFonts w:ascii="宋体" w:hAnsi="宋体"/>
          <w:bCs/>
          <w:sz w:val="24"/>
          <w:highlight w:val="none"/>
        </w:rPr>
        <w:t>2022年</w:t>
      </w:r>
      <w:r>
        <w:rPr>
          <w:rFonts w:hint="eastAsia" w:ascii="宋体" w:hAnsi="宋体"/>
          <w:bCs/>
          <w:sz w:val="24"/>
          <w:highlight w:val="none"/>
          <w:lang w:val="en-US" w:eastAsia="zh-CN"/>
        </w:rPr>
        <w:t>11</w:t>
      </w:r>
      <w:r>
        <w:rPr>
          <w:rFonts w:ascii="宋体" w:hAnsi="宋体"/>
          <w:bCs/>
          <w:sz w:val="24"/>
          <w:highlight w:val="none"/>
        </w:rPr>
        <w:t>月</w:t>
      </w:r>
      <w:r>
        <w:rPr>
          <w:rFonts w:hint="eastAsia" w:ascii="宋体" w:hAnsi="宋体"/>
          <w:bCs/>
          <w:sz w:val="24"/>
          <w:highlight w:val="none"/>
          <w:lang w:val="en-US" w:eastAsia="zh-CN"/>
        </w:rPr>
        <w:t>28</w:t>
      </w:r>
      <w:r>
        <w:rPr>
          <w:rFonts w:ascii="宋体" w:hAnsi="宋体"/>
          <w:bCs/>
          <w:sz w:val="24"/>
          <w:highlight w:val="none"/>
        </w:rPr>
        <w:t>日</w:t>
      </w:r>
    </w:p>
    <w:p>
      <w:pPr>
        <w:numPr>
          <w:ilvl w:val="0"/>
          <w:numId w:val="1"/>
        </w:numPr>
        <w:adjustRightInd w:val="0"/>
        <w:snapToGrid w:val="0"/>
        <w:spacing w:line="360" w:lineRule="auto"/>
        <w:rPr>
          <w:rFonts w:ascii="宋体" w:hAnsi="宋体"/>
          <w:bCs/>
          <w:sz w:val="24"/>
          <w:highlight w:val="none"/>
        </w:rPr>
      </w:pPr>
      <w:r>
        <w:rPr>
          <w:rFonts w:hint="eastAsia" w:ascii="宋体" w:hAnsi="宋体"/>
          <w:bCs/>
          <w:sz w:val="24"/>
          <w:highlight w:val="none"/>
        </w:rPr>
        <w:t>预留授予</w:t>
      </w:r>
      <w:r>
        <w:rPr>
          <w:rFonts w:hint="eastAsia" w:ascii="宋体" w:hAnsi="宋体"/>
          <w:bCs/>
          <w:sz w:val="24"/>
          <w:highlight w:val="none"/>
        </w:rPr>
        <w:t>限制性股票登记数量：80.5303万股</w:t>
      </w:r>
    </w:p>
    <w:p>
      <w:pPr>
        <w:rPr>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江苏吴中医药发展股份有限公司（以下简称“公司”）根据《上市公司股权激励管理办法》（以下简称“《管理办法》”）、《江苏吴中医药发展股份有限公司2021年限制性股票激励计划》（以下简称“本激励计划”、“《激励计划》”）的相关规定以及公司2022年第一次临时股东大会对董事会的授权，于2022年10月28日召开第十届董事会第六次会议（通讯表决）和第十届监事会第六次会议（通讯表决），审议通过了《公司关于向激励对象授予2021年限制性股票激励计划预留部分限制性股票的议案》。公司已于2022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28</w:t>
      </w:r>
      <w:r>
        <w:rPr>
          <w:rFonts w:hint="eastAsia" w:ascii="宋体" w:hAnsi="宋体"/>
          <w:sz w:val="24"/>
          <w:highlight w:val="none"/>
        </w:rPr>
        <w:t>日在中国证券登记结算有限责任公司上海分公司办理完成公司2021年限制性股票激励计划的预留授予登记工作，现将有关事项说明如下：</w:t>
      </w:r>
    </w:p>
    <w:p>
      <w:pPr>
        <w:spacing w:line="360" w:lineRule="auto"/>
        <w:ind w:firstLine="482" w:firstLineChars="200"/>
        <w:rPr>
          <w:rFonts w:ascii="宋体" w:hAnsi="宋体"/>
          <w:sz w:val="24"/>
          <w:highlight w:val="none"/>
        </w:rPr>
      </w:pPr>
      <w:r>
        <w:rPr>
          <w:rFonts w:hint="eastAsia" w:ascii="宋体" w:hAnsi="宋体"/>
          <w:b/>
          <w:bCs/>
          <w:sz w:val="24"/>
          <w:highlight w:val="none"/>
        </w:rPr>
        <w:t>一、限制性股票预留实际授予情况：</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1、限制性股票预留授予日：2022年10月31日</w:t>
      </w:r>
    </w:p>
    <w:p>
      <w:pPr>
        <w:spacing w:before="156" w:before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预留</w:t>
      </w:r>
      <w:r>
        <w:rPr>
          <w:rFonts w:asciiTheme="minorEastAsia" w:hAnsiTheme="minorEastAsia" w:eastAsiaTheme="minorEastAsia"/>
          <w:sz w:val="24"/>
          <w:highlight w:val="none"/>
        </w:rPr>
        <w:t>授予数量：</w:t>
      </w:r>
      <w:r>
        <w:rPr>
          <w:rFonts w:hint="eastAsia" w:asciiTheme="minorEastAsia" w:hAnsiTheme="minorEastAsia" w:eastAsiaTheme="minorEastAsia"/>
          <w:sz w:val="24"/>
          <w:highlight w:val="none"/>
        </w:rPr>
        <w:t>80.5303</w:t>
      </w:r>
      <w:r>
        <w:rPr>
          <w:rFonts w:asciiTheme="minorEastAsia" w:hAnsiTheme="minorEastAsia" w:eastAsiaTheme="minorEastAsia"/>
          <w:sz w:val="24"/>
          <w:highlight w:val="none"/>
        </w:rPr>
        <w:t>万股</w:t>
      </w:r>
    </w:p>
    <w:p>
      <w:pPr>
        <w:spacing w:before="156" w:before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预留</w:t>
      </w:r>
      <w:r>
        <w:rPr>
          <w:rFonts w:asciiTheme="minorEastAsia" w:hAnsiTheme="minorEastAsia" w:eastAsiaTheme="minorEastAsia"/>
          <w:sz w:val="24"/>
          <w:highlight w:val="none"/>
        </w:rPr>
        <w:t>授予人数：</w:t>
      </w:r>
      <w:r>
        <w:rPr>
          <w:rFonts w:hint="eastAsia" w:asciiTheme="minorEastAsia" w:hAnsiTheme="minorEastAsia" w:eastAsiaTheme="minorEastAsia"/>
          <w:sz w:val="24"/>
          <w:highlight w:val="none"/>
        </w:rPr>
        <w:t>17</w:t>
      </w:r>
      <w:r>
        <w:rPr>
          <w:rFonts w:asciiTheme="minorEastAsia" w:hAnsiTheme="minorEastAsia" w:eastAsiaTheme="minorEastAsia"/>
          <w:sz w:val="24"/>
          <w:highlight w:val="none"/>
        </w:rPr>
        <w:t>名</w:t>
      </w:r>
    </w:p>
    <w:p>
      <w:pPr>
        <w:spacing w:before="156" w:before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4、授予价格：</w:t>
      </w:r>
      <w:r>
        <w:rPr>
          <w:rFonts w:hint="eastAsia" w:asciiTheme="minorEastAsia" w:hAnsiTheme="minorEastAsia" w:eastAsiaTheme="minorEastAsia"/>
          <w:sz w:val="24"/>
          <w:highlight w:val="none"/>
        </w:rPr>
        <w:t>3.49</w:t>
      </w:r>
      <w:r>
        <w:rPr>
          <w:rFonts w:asciiTheme="minorEastAsia" w:hAnsiTheme="minorEastAsia" w:eastAsiaTheme="minorEastAsia"/>
          <w:sz w:val="24"/>
          <w:highlight w:val="none"/>
        </w:rPr>
        <w:t>元/股</w:t>
      </w:r>
    </w:p>
    <w:p>
      <w:pPr>
        <w:spacing w:before="156" w:before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5、股票来源：公司从二级市场回购的本公司人民币A股普通股股票。</w:t>
      </w:r>
    </w:p>
    <w:p>
      <w:pPr>
        <w:spacing w:before="156" w:beforeLines="50" w:line="360" w:lineRule="auto"/>
        <w:ind w:firstLine="480" w:firstLineChars="200"/>
        <w:rPr>
          <w:rFonts w:asciiTheme="minorEastAsia" w:hAnsiTheme="minorEastAsia" w:eastAsiaTheme="minorEastAsia" w:cstheme="minorEastAsia"/>
          <w:sz w:val="24"/>
          <w:highlight w:val="none"/>
        </w:rPr>
      </w:pPr>
      <w:r>
        <w:rPr>
          <w:rFonts w:asciiTheme="minorEastAsia" w:hAnsiTheme="minorEastAsia" w:eastAsiaTheme="minorEastAsia"/>
          <w:sz w:val="24"/>
          <w:highlight w:val="none"/>
        </w:rPr>
        <w:t>6、</w:t>
      </w:r>
      <w:r>
        <w:rPr>
          <w:rFonts w:hint="eastAsia" w:asciiTheme="minorEastAsia" w:hAnsiTheme="minorEastAsia" w:eastAsiaTheme="minorEastAsia"/>
          <w:sz w:val="24"/>
          <w:highlight w:val="none"/>
        </w:rPr>
        <w:t>本次</w:t>
      </w:r>
      <w:r>
        <w:rPr>
          <w:rFonts w:asciiTheme="minorEastAsia" w:hAnsiTheme="minorEastAsia" w:eastAsiaTheme="minorEastAsia"/>
          <w:sz w:val="24"/>
          <w:highlight w:val="none"/>
        </w:rPr>
        <w:t>实际授予数量与拟授予数量</w:t>
      </w:r>
      <w:r>
        <w:rPr>
          <w:rFonts w:hint="eastAsia" w:asciiTheme="minorEastAsia" w:hAnsiTheme="minorEastAsia" w:eastAsiaTheme="minorEastAsia"/>
          <w:sz w:val="24"/>
          <w:highlight w:val="none"/>
        </w:rPr>
        <w:t>一致，不存在</w:t>
      </w:r>
      <w:r>
        <w:rPr>
          <w:rFonts w:asciiTheme="minorEastAsia" w:hAnsiTheme="minorEastAsia" w:eastAsiaTheme="minorEastAsia"/>
          <w:sz w:val="24"/>
          <w:highlight w:val="none"/>
        </w:rPr>
        <w:t>差异</w:t>
      </w:r>
      <w:r>
        <w:rPr>
          <w:rFonts w:hint="eastAsia" w:asciiTheme="minorEastAsia" w:hAnsiTheme="minorEastAsia" w:eastAsiaTheme="minorEastAsia" w:cstheme="minorEastAsia"/>
          <w:sz w:val="24"/>
          <w:highlight w:val="none"/>
        </w:rPr>
        <w:t>。</w:t>
      </w:r>
    </w:p>
    <w:p>
      <w:pPr>
        <w:spacing w:before="156" w:beforeLines="50"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7、限制性股票</w:t>
      </w:r>
      <w:r>
        <w:rPr>
          <w:rFonts w:hint="eastAsia" w:asciiTheme="minorEastAsia" w:hAnsiTheme="minorEastAsia" w:eastAsiaTheme="minorEastAsia"/>
          <w:sz w:val="24"/>
          <w:highlight w:val="none"/>
        </w:rPr>
        <w:t>预留</w:t>
      </w:r>
      <w:r>
        <w:rPr>
          <w:rFonts w:asciiTheme="minorEastAsia" w:hAnsiTheme="minorEastAsia" w:eastAsiaTheme="minorEastAsia"/>
          <w:sz w:val="24"/>
          <w:highlight w:val="none"/>
        </w:rPr>
        <w:t>授予登记对象名单及实际授予情况：</w:t>
      </w:r>
    </w:p>
    <w:tbl>
      <w:tblPr>
        <w:tblStyle w:val="7"/>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2535"/>
        <w:gridCol w:w="1915"/>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288" w:type="dxa"/>
            <w:vAlign w:val="center"/>
          </w:tcPr>
          <w:p>
            <w:pPr>
              <w:spacing w:before="100" w:beforeAutospacing="1" w:after="100" w:afterAutospacing="1" w:line="360" w:lineRule="auto"/>
              <w:jc w:val="center"/>
              <w:rPr>
                <w:rFonts w:ascii="宋体" w:hAnsi="宋体"/>
                <w:b/>
                <w:bCs/>
                <w:kern w:val="0"/>
                <w:highlight w:val="none"/>
              </w:rPr>
            </w:pPr>
            <w:r>
              <w:rPr>
                <w:b/>
                <w:szCs w:val="21"/>
                <w:highlight w:val="none"/>
              </w:rPr>
              <w:t>职务</w:t>
            </w:r>
          </w:p>
        </w:tc>
        <w:tc>
          <w:tcPr>
            <w:tcW w:w="2535" w:type="dxa"/>
            <w:vAlign w:val="center"/>
          </w:tcPr>
          <w:p>
            <w:pPr>
              <w:spacing w:before="100" w:beforeAutospacing="1" w:after="100" w:afterAutospacing="1" w:line="276" w:lineRule="auto"/>
              <w:jc w:val="center"/>
              <w:rPr>
                <w:rFonts w:ascii="宋体" w:hAnsi="宋体"/>
                <w:b/>
                <w:bCs/>
                <w:kern w:val="0"/>
                <w:highlight w:val="none"/>
              </w:rPr>
            </w:pPr>
            <w:r>
              <w:rPr>
                <w:b/>
                <w:szCs w:val="21"/>
                <w:highlight w:val="none"/>
              </w:rPr>
              <w:t>获授的限制性股票数量</w:t>
            </w:r>
            <w:r>
              <w:rPr>
                <w:rFonts w:hint="eastAsia"/>
                <w:b/>
                <w:szCs w:val="21"/>
                <w:highlight w:val="none"/>
              </w:rPr>
              <w:t>（</w:t>
            </w:r>
            <w:r>
              <w:rPr>
                <w:b/>
                <w:szCs w:val="21"/>
                <w:highlight w:val="none"/>
              </w:rPr>
              <w:t>万股</w:t>
            </w:r>
            <w:r>
              <w:rPr>
                <w:rFonts w:hint="eastAsia"/>
                <w:b/>
                <w:szCs w:val="21"/>
                <w:highlight w:val="none"/>
              </w:rPr>
              <w:t>）</w:t>
            </w:r>
          </w:p>
        </w:tc>
        <w:tc>
          <w:tcPr>
            <w:tcW w:w="1915" w:type="dxa"/>
            <w:vAlign w:val="center"/>
          </w:tcPr>
          <w:p>
            <w:pPr>
              <w:spacing w:before="100" w:beforeAutospacing="1" w:after="100" w:afterAutospacing="1" w:line="276" w:lineRule="auto"/>
              <w:jc w:val="center"/>
              <w:rPr>
                <w:rFonts w:ascii="宋体" w:hAnsi="宋体"/>
                <w:b/>
                <w:bCs/>
                <w:kern w:val="0"/>
                <w:highlight w:val="none"/>
              </w:rPr>
            </w:pPr>
            <w:r>
              <w:rPr>
                <w:b/>
                <w:szCs w:val="21"/>
                <w:highlight w:val="none"/>
              </w:rPr>
              <w:t>占本激励计划</w:t>
            </w:r>
            <w:r>
              <w:rPr>
                <w:rFonts w:hint="eastAsia"/>
                <w:b/>
                <w:szCs w:val="21"/>
                <w:highlight w:val="none"/>
              </w:rPr>
              <w:t>拟</w:t>
            </w:r>
            <w:r>
              <w:rPr>
                <w:b/>
                <w:szCs w:val="21"/>
                <w:highlight w:val="none"/>
              </w:rPr>
              <w:t>授出权益数量的比例</w:t>
            </w:r>
          </w:p>
        </w:tc>
        <w:tc>
          <w:tcPr>
            <w:tcW w:w="1760" w:type="dxa"/>
            <w:vAlign w:val="center"/>
          </w:tcPr>
          <w:p>
            <w:pPr>
              <w:spacing w:before="100" w:beforeAutospacing="1" w:after="100" w:afterAutospacing="1"/>
              <w:jc w:val="center"/>
              <w:rPr>
                <w:rFonts w:ascii="宋体" w:hAnsi="宋体"/>
                <w:b/>
                <w:bCs/>
                <w:kern w:val="0"/>
                <w:highlight w:val="none"/>
              </w:rPr>
            </w:pPr>
            <w:r>
              <w:rPr>
                <w:rFonts w:hint="eastAsia"/>
                <w:b/>
                <w:szCs w:val="21"/>
                <w:highlight w:val="none"/>
              </w:rPr>
              <w:t>占预留授予时股本总额比例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88" w:type="dxa"/>
            <w:vAlign w:val="center"/>
          </w:tcPr>
          <w:p>
            <w:pPr>
              <w:jc w:val="center"/>
              <w:rPr>
                <w:rFonts w:ascii="宋体" w:hAnsi="宋体"/>
                <w:kern w:val="0"/>
                <w:highlight w:val="none"/>
              </w:rPr>
            </w:pPr>
            <w:r>
              <w:rPr>
                <w:rFonts w:hint="eastAsia"/>
                <w:szCs w:val="21"/>
                <w:highlight w:val="none"/>
              </w:rPr>
              <w:t>核心技术人员</w:t>
            </w:r>
            <w:r>
              <w:rPr>
                <w:szCs w:val="21"/>
                <w:highlight w:val="none"/>
              </w:rPr>
              <w:t>及</w:t>
            </w:r>
            <w:r>
              <w:rPr>
                <w:rFonts w:hint="eastAsia"/>
                <w:szCs w:val="21"/>
                <w:highlight w:val="none"/>
              </w:rPr>
              <w:t>核心业务人员</w:t>
            </w:r>
            <w:r>
              <w:rPr>
                <w:szCs w:val="21"/>
                <w:highlight w:val="none"/>
              </w:rPr>
              <w:t>（</w:t>
            </w:r>
            <w:r>
              <w:rPr>
                <w:rFonts w:hint="eastAsia"/>
                <w:szCs w:val="21"/>
                <w:highlight w:val="none"/>
              </w:rPr>
              <w:t>17</w:t>
            </w:r>
            <w:r>
              <w:rPr>
                <w:szCs w:val="21"/>
                <w:highlight w:val="none"/>
              </w:rPr>
              <w:t>人）</w:t>
            </w:r>
          </w:p>
        </w:tc>
        <w:tc>
          <w:tcPr>
            <w:tcW w:w="2535" w:type="dxa"/>
            <w:vAlign w:val="center"/>
          </w:tcPr>
          <w:p>
            <w:pPr>
              <w:spacing w:line="360" w:lineRule="auto"/>
              <w:jc w:val="center"/>
              <w:rPr>
                <w:rFonts w:ascii="宋体" w:hAnsi="宋体"/>
                <w:kern w:val="0"/>
                <w:highlight w:val="none"/>
              </w:rPr>
            </w:pPr>
            <w:r>
              <w:rPr>
                <w:rFonts w:hint="eastAsia"/>
                <w:szCs w:val="21"/>
                <w:highlight w:val="none"/>
              </w:rPr>
              <w:t>80.5303</w:t>
            </w:r>
          </w:p>
        </w:tc>
        <w:tc>
          <w:tcPr>
            <w:tcW w:w="1915" w:type="dxa"/>
            <w:vAlign w:val="center"/>
          </w:tcPr>
          <w:p>
            <w:pPr>
              <w:spacing w:line="360" w:lineRule="auto"/>
              <w:jc w:val="center"/>
              <w:rPr>
                <w:rFonts w:ascii="宋体" w:hAnsi="宋体"/>
                <w:kern w:val="0"/>
                <w:highlight w:val="none"/>
              </w:rPr>
            </w:pPr>
            <w:r>
              <w:rPr>
                <w:rFonts w:hint="eastAsia"/>
                <w:szCs w:val="21"/>
                <w:highlight w:val="none"/>
              </w:rPr>
              <w:t>19.53</w:t>
            </w:r>
            <w:r>
              <w:rPr>
                <w:szCs w:val="21"/>
                <w:highlight w:val="none"/>
              </w:rPr>
              <w:t>%</w:t>
            </w:r>
          </w:p>
        </w:tc>
        <w:tc>
          <w:tcPr>
            <w:tcW w:w="1760" w:type="dxa"/>
            <w:vAlign w:val="center"/>
          </w:tcPr>
          <w:p>
            <w:pPr>
              <w:spacing w:line="360" w:lineRule="auto"/>
              <w:jc w:val="center"/>
              <w:rPr>
                <w:rFonts w:ascii="宋体" w:hAnsi="宋体"/>
                <w:kern w:val="0"/>
                <w:highlight w:val="none"/>
              </w:rPr>
            </w:pPr>
            <w:r>
              <w:rPr>
                <w:szCs w:val="21"/>
                <w:highlight w:val="none"/>
              </w:rPr>
              <w:t>0.</w:t>
            </w:r>
            <w:r>
              <w:rPr>
                <w:rFonts w:hint="eastAsia"/>
                <w:szCs w:val="21"/>
                <w:highlight w:val="none"/>
              </w:rPr>
              <w:t>11</w:t>
            </w: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88" w:type="dxa"/>
            <w:vAlign w:val="center"/>
          </w:tcPr>
          <w:p>
            <w:pPr>
              <w:spacing w:line="360" w:lineRule="auto"/>
              <w:jc w:val="center"/>
              <w:rPr>
                <w:rFonts w:ascii="宋体" w:hAnsi="宋体"/>
                <w:kern w:val="0"/>
                <w:highlight w:val="none"/>
              </w:rPr>
            </w:pPr>
            <w:r>
              <w:rPr>
                <w:szCs w:val="21"/>
                <w:highlight w:val="none"/>
              </w:rPr>
              <w:t>合计</w:t>
            </w:r>
          </w:p>
        </w:tc>
        <w:tc>
          <w:tcPr>
            <w:tcW w:w="2535" w:type="dxa"/>
            <w:vAlign w:val="center"/>
          </w:tcPr>
          <w:p>
            <w:pPr>
              <w:spacing w:line="360" w:lineRule="auto"/>
              <w:jc w:val="center"/>
              <w:rPr>
                <w:rFonts w:ascii="宋体" w:hAnsi="宋体"/>
                <w:kern w:val="0"/>
                <w:highlight w:val="none"/>
              </w:rPr>
            </w:pPr>
            <w:r>
              <w:rPr>
                <w:rFonts w:hint="eastAsia"/>
                <w:szCs w:val="21"/>
                <w:highlight w:val="none"/>
              </w:rPr>
              <w:t>80.5303</w:t>
            </w:r>
          </w:p>
        </w:tc>
        <w:tc>
          <w:tcPr>
            <w:tcW w:w="1915" w:type="dxa"/>
            <w:vAlign w:val="center"/>
          </w:tcPr>
          <w:p>
            <w:pPr>
              <w:spacing w:line="360" w:lineRule="auto"/>
              <w:jc w:val="center"/>
              <w:rPr>
                <w:rFonts w:ascii="宋体" w:hAnsi="宋体"/>
                <w:kern w:val="0"/>
                <w:highlight w:val="none"/>
              </w:rPr>
            </w:pPr>
            <w:r>
              <w:rPr>
                <w:rFonts w:hint="eastAsia"/>
                <w:szCs w:val="21"/>
                <w:highlight w:val="none"/>
              </w:rPr>
              <w:t>19.53</w:t>
            </w:r>
            <w:r>
              <w:rPr>
                <w:szCs w:val="21"/>
                <w:highlight w:val="none"/>
              </w:rPr>
              <w:t>%</w:t>
            </w:r>
          </w:p>
        </w:tc>
        <w:tc>
          <w:tcPr>
            <w:tcW w:w="1760" w:type="dxa"/>
            <w:vAlign w:val="center"/>
          </w:tcPr>
          <w:p>
            <w:pPr>
              <w:spacing w:line="360" w:lineRule="auto"/>
              <w:jc w:val="center"/>
              <w:rPr>
                <w:rFonts w:ascii="宋体" w:hAnsi="宋体"/>
                <w:kern w:val="0"/>
                <w:highlight w:val="none"/>
              </w:rPr>
            </w:pPr>
            <w:r>
              <w:rPr>
                <w:szCs w:val="21"/>
                <w:highlight w:val="none"/>
              </w:rPr>
              <w:t>0.</w:t>
            </w:r>
            <w:r>
              <w:rPr>
                <w:rFonts w:hint="eastAsia"/>
                <w:szCs w:val="21"/>
                <w:highlight w:val="none"/>
              </w:rPr>
              <w:t>11</w:t>
            </w:r>
            <w:r>
              <w:rPr>
                <w:szCs w:val="21"/>
                <w:highlight w:val="none"/>
              </w:rPr>
              <w:t>%</w:t>
            </w:r>
          </w:p>
        </w:tc>
      </w:tr>
    </w:tbl>
    <w:p>
      <w:pPr>
        <w:numPr>
          <w:ilvl w:val="0"/>
          <w:numId w:val="2"/>
        </w:numPr>
        <w:spacing w:line="360" w:lineRule="auto"/>
        <w:ind w:firstLine="482" w:firstLineChars="200"/>
        <w:rPr>
          <w:rFonts w:ascii="宋体" w:hAnsi="宋体"/>
          <w:b/>
          <w:bCs/>
          <w:sz w:val="24"/>
          <w:highlight w:val="none"/>
        </w:rPr>
      </w:pPr>
      <w:r>
        <w:rPr>
          <w:rFonts w:hint="eastAsia" w:ascii="宋体" w:hAnsi="宋体"/>
          <w:b/>
          <w:bCs/>
          <w:sz w:val="24"/>
          <w:highlight w:val="none"/>
        </w:rPr>
        <w:t>本激励计划的有效期、限售期和解除限售安排</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（1）本激励计划的有效期</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本激励计划的有效期为自限制性股票授予之日起至激励对象获授的限制性股票全部解除限售或回购注销完毕之日止，最长不超过48个月。</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（2）本激励计划的限售期和解除限售安排</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激励对象获授的全部限制性股票适用不同的限售期，均自授予完成日起计。授予日与首次解除限售日之间的间隔不得少于12个月。激励对象根据本激励计划获授的限制性股票在限售期内不得转让、用于担保或偿还债务。</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（3）本次预留授予的限制性股票的解除限售安排</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若预留部分的限制性股票于2022年9月30日后授予，则预留授予的限制性股票解除限售安排如下表所示：</w:t>
      </w:r>
    </w:p>
    <w:tbl>
      <w:tblPr>
        <w:tblStyle w:val="7"/>
        <w:tblpPr w:leftFromText="180" w:rightFromText="180" w:vertAnchor="text" w:horzAnchor="margin" w:tblpXSpec="center" w:tblpY="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88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51" w:type="dxa"/>
            <w:shd w:val="clear" w:color="auto" w:fill="F2F2F2"/>
            <w:vAlign w:val="center"/>
          </w:tcPr>
          <w:p>
            <w:pPr>
              <w:jc w:val="center"/>
              <w:rPr>
                <w:b/>
                <w:szCs w:val="21"/>
                <w:highlight w:val="none"/>
              </w:rPr>
            </w:pPr>
            <w:r>
              <w:rPr>
                <w:b/>
                <w:szCs w:val="21"/>
                <w:highlight w:val="none"/>
              </w:rPr>
              <w:t>解除限售安排</w:t>
            </w:r>
          </w:p>
        </w:tc>
        <w:tc>
          <w:tcPr>
            <w:tcW w:w="4887" w:type="dxa"/>
            <w:shd w:val="clear" w:color="auto" w:fill="F2F2F2"/>
            <w:vAlign w:val="center"/>
          </w:tcPr>
          <w:p>
            <w:pPr>
              <w:ind w:firstLine="422"/>
              <w:jc w:val="center"/>
              <w:rPr>
                <w:b/>
                <w:szCs w:val="21"/>
                <w:highlight w:val="none"/>
              </w:rPr>
            </w:pPr>
            <w:r>
              <w:rPr>
                <w:b/>
                <w:szCs w:val="21"/>
                <w:highlight w:val="none"/>
              </w:rPr>
              <w:t>解除限售期间</w:t>
            </w:r>
          </w:p>
        </w:tc>
        <w:tc>
          <w:tcPr>
            <w:tcW w:w="1638" w:type="dxa"/>
            <w:shd w:val="clear" w:color="auto" w:fill="F2F2F2"/>
            <w:vAlign w:val="center"/>
          </w:tcPr>
          <w:p>
            <w:pPr>
              <w:jc w:val="center"/>
              <w:rPr>
                <w:b/>
                <w:szCs w:val="21"/>
                <w:highlight w:val="none"/>
              </w:rPr>
            </w:pPr>
            <w:r>
              <w:rPr>
                <w:b/>
                <w:szCs w:val="21"/>
                <w:highlight w:val="none"/>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jc w:val="center"/>
              <w:rPr>
                <w:szCs w:val="21"/>
                <w:highlight w:val="none"/>
              </w:rPr>
            </w:pPr>
            <w:r>
              <w:rPr>
                <w:szCs w:val="21"/>
                <w:highlight w:val="none"/>
              </w:rPr>
              <w:t>第一个解除限售期</w:t>
            </w:r>
          </w:p>
        </w:tc>
        <w:tc>
          <w:tcPr>
            <w:tcW w:w="4887" w:type="dxa"/>
            <w:shd w:val="clear" w:color="auto" w:fill="FFFFFF"/>
          </w:tcPr>
          <w:p>
            <w:pPr>
              <w:rPr>
                <w:szCs w:val="21"/>
                <w:highlight w:val="none"/>
              </w:rPr>
            </w:pPr>
            <w:r>
              <w:rPr>
                <w:szCs w:val="21"/>
                <w:highlight w:val="none"/>
              </w:rPr>
              <w:t>自预留授予部分限制性股票授予日起12个月后的首个交易日起至预留授予部分限制性股票授予日起24个月内的最后一个交易日当日止</w:t>
            </w:r>
          </w:p>
        </w:tc>
        <w:tc>
          <w:tcPr>
            <w:tcW w:w="1638" w:type="dxa"/>
            <w:shd w:val="clear" w:color="auto" w:fill="FFFFFF"/>
            <w:vAlign w:val="center"/>
          </w:tcPr>
          <w:p>
            <w:pPr>
              <w:jc w:val="center"/>
              <w:rPr>
                <w:szCs w:val="21"/>
                <w:highlight w:val="none"/>
              </w:rPr>
            </w:pPr>
            <w:r>
              <w:rPr>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jc w:val="center"/>
              <w:rPr>
                <w:szCs w:val="21"/>
                <w:highlight w:val="none"/>
              </w:rPr>
            </w:pPr>
            <w:r>
              <w:rPr>
                <w:szCs w:val="21"/>
                <w:highlight w:val="none"/>
              </w:rPr>
              <w:t>第二个解除限售期</w:t>
            </w:r>
          </w:p>
        </w:tc>
        <w:tc>
          <w:tcPr>
            <w:tcW w:w="4887" w:type="dxa"/>
            <w:shd w:val="clear" w:color="auto" w:fill="FFFFFF"/>
          </w:tcPr>
          <w:p>
            <w:pPr>
              <w:rPr>
                <w:szCs w:val="21"/>
                <w:highlight w:val="none"/>
              </w:rPr>
            </w:pPr>
            <w:r>
              <w:rPr>
                <w:szCs w:val="21"/>
                <w:highlight w:val="none"/>
              </w:rPr>
              <w:t>自预留授予部分限制性股票授予日起24个月后的首个交易日起至预留授予部分限制性股票授予日起36个月内的最后一个交易日当日止</w:t>
            </w:r>
          </w:p>
        </w:tc>
        <w:tc>
          <w:tcPr>
            <w:tcW w:w="1638" w:type="dxa"/>
            <w:shd w:val="clear" w:color="auto" w:fill="FFFFFF"/>
            <w:vAlign w:val="center"/>
          </w:tcPr>
          <w:p>
            <w:pPr>
              <w:jc w:val="center"/>
              <w:rPr>
                <w:szCs w:val="21"/>
                <w:highlight w:val="none"/>
              </w:rPr>
            </w:pPr>
            <w:r>
              <w:rPr>
                <w:szCs w:val="21"/>
                <w:highlight w:val="none"/>
              </w:rPr>
              <w:t>50%</w:t>
            </w:r>
          </w:p>
        </w:tc>
      </w:tr>
    </w:tbl>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在上述约定期间内因未达到解除限售条件的限制性股票，不得解除限售或递延至下期解除限售，公司将按本激励计划规定的原则回购并注销激励对象相应尚未解除限售的限制性股票。</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cstheme="minorEastAsia"/>
          <w:sz w:val="24"/>
          <w:highlight w:val="none"/>
        </w:rPr>
        <w:t>在满足限制性股票解除限售条件后，公司将统一办理满足解除限售条件的限制性股票解除限售事宜。</w:t>
      </w:r>
    </w:p>
    <w:p>
      <w:pPr>
        <w:numPr>
          <w:ilvl w:val="0"/>
          <w:numId w:val="2"/>
        </w:numPr>
        <w:spacing w:line="360" w:lineRule="auto"/>
        <w:ind w:firstLine="482" w:firstLineChars="200"/>
        <w:rPr>
          <w:rFonts w:ascii="宋体" w:hAnsi="宋体"/>
          <w:b/>
          <w:bCs/>
          <w:sz w:val="24"/>
          <w:highlight w:val="none"/>
        </w:rPr>
      </w:pPr>
      <w:r>
        <w:rPr>
          <w:rFonts w:hint="eastAsia" w:ascii="宋体" w:hAnsi="宋体"/>
          <w:b/>
          <w:bCs/>
          <w:sz w:val="24"/>
          <w:highlight w:val="none"/>
        </w:rPr>
        <w:t>本次限制性股票认购资金的验资情况</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中兴财光华会计师事务所（特殊普通合伙）对公司本次限制性股票激励计划中获授限制性股票激励对象应缴纳资本的实收情况进行了审验，并于2022年11月15日出具了验资报告（中兴财光华审验字（2022）第318011号。截至2022年11月4日，公司共计收到17名激励对象缴纳的限制性股票认购款合计人民币</w:t>
      </w:r>
      <w:r>
        <w:rPr>
          <w:rFonts w:hint="eastAsia" w:ascii="宋体" w:hAnsi="宋体"/>
          <w:sz w:val="24"/>
          <w:highlight w:val="none"/>
        </w:rPr>
        <w:t>2,810,507.47</w:t>
      </w:r>
      <w:r>
        <w:rPr>
          <w:rFonts w:hint="eastAsia" w:asciiTheme="minorEastAsia" w:hAnsiTheme="minorEastAsia" w:eastAsiaTheme="minorEastAsia"/>
          <w:sz w:val="24"/>
          <w:highlight w:val="none"/>
        </w:rPr>
        <w:t>元，公司的注册资本仍为人民币</w:t>
      </w:r>
      <w:r>
        <w:rPr>
          <w:rFonts w:asciiTheme="minorEastAsia" w:hAnsiTheme="minorEastAsia" w:eastAsiaTheme="minorEastAsia"/>
          <w:sz w:val="24"/>
          <w:highlight w:val="none"/>
        </w:rPr>
        <w:t>712,388,832.00</w:t>
      </w:r>
      <w:r>
        <w:rPr>
          <w:rFonts w:hint="eastAsia" w:asciiTheme="minorEastAsia" w:hAnsiTheme="minorEastAsia" w:eastAsiaTheme="minorEastAsia"/>
          <w:sz w:val="24"/>
          <w:highlight w:val="none"/>
        </w:rPr>
        <w:t>元。</w:t>
      </w:r>
    </w:p>
    <w:p>
      <w:pPr>
        <w:numPr>
          <w:ilvl w:val="0"/>
          <w:numId w:val="2"/>
        </w:numPr>
        <w:spacing w:line="360" w:lineRule="auto"/>
        <w:ind w:firstLine="482" w:firstLineChars="200"/>
        <w:rPr>
          <w:rFonts w:ascii="宋体" w:hAnsi="宋体"/>
          <w:b/>
          <w:bCs/>
          <w:sz w:val="24"/>
          <w:highlight w:val="none"/>
        </w:rPr>
      </w:pPr>
      <w:r>
        <w:rPr>
          <w:rFonts w:hint="eastAsia" w:ascii="宋体" w:hAnsi="宋体"/>
          <w:b/>
          <w:bCs/>
          <w:sz w:val="24"/>
          <w:highlight w:val="none"/>
        </w:rPr>
        <w:t>本次限制性股票的登记情况</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本激励计划预留授予登记的限制性股票为80.5303万股，公司于2022年</w:t>
      </w:r>
      <w:r>
        <w:rPr>
          <w:rFonts w:hint="eastAsia" w:asciiTheme="minorEastAsia" w:hAnsiTheme="minorEastAsia" w:eastAsiaTheme="minorEastAsia"/>
          <w:sz w:val="24"/>
          <w:highlight w:val="none"/>
          <w:lang w:val="en-US" w:eastAsia="zh-CN"/>
        </w:rPr>
        <w:t>11</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28</w:t>
      </w:r>
      <w:r>
        <w:rPr>
          <w:rFonts w:hint="eastAsia" w:asciiTheme="minorEastAsia" w:hAnsiTheme="minorEastAsia" w:eastAsiaTheme="minorEastAsia"/>
          <w:sz w:val="24"/>
          <w:highlight w:val="none"/>
        </w:rPr>
        <w:t>日收到中国证券登记结算有限责任公司上海分公司出具的《中国证券登记结算有限责任公司上海分公司证券变更登记证明》《中国证券登记结算有限责任公司过户登记确认书》，本激励计划预留授予的限制性股票的登记日为2022年</w:t>
      </w:r>
      <w:r>
        <w:rPr>
          <w:rFonts w:hint="eastAsia" w:asciiTheme="minorEastAsia" w:hAnsiTheme="minorEastAsia" w:eastAsiaTheme="minorEastAsia"/>
          <w:sz w:val="24"/>
          <w:highlight w:val="none"/>
          <w:lang w:val="en-US" w:eastAsia="zh-CN"/>
        </w:rPr>
        <w:t>11</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28</w:t>
      </w:r>
      <w:r>
        <w:rPr>
          <w:rFonts w:hint="eastAsia" w:asciiTheme="minorEastAsia" w:hAnsiTheme="minorEastAsia" w:eastAsiaTheme="minorEastAsia"/>
          <w:sz w:val="24"/>
          <w:highlight w:val="none"/>
        </w:rPr>
        <w:t>日。</w:t>
      </w:r>
    </w:p>
    <w:p>
      <w:pPr>
        <w:spacing w:line="360" w:lineRule="auto"/>
        <w:ind w:left="420" w:leftChars="200"/>
        <w:rPr>
          <w:rFonts w:ascii="宋体" w:hAnsi="宋体"/>
          <w:b/>
          <w:bCs/>
          <w:sz w:val="24"/>
          <w:highlight w:val="none"/>
        </w:rPr>
      </w:pPr>
      <w:r>
        <w:rPr>
          <w:rFonts w:hint="eastAsia" w:ascii="宋体" w:hAnsi="宋体"/>
          <w:b/>
          <w:bCs/>
          <w:sz w:val="24"/>
          <w:highlight w:val="none"/>
        </w:rPr>
        <w:t>五、授予前后对公司控股股东的影响</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本激励计划所涉限制性股票来源为公司在二级市场上回购的本公司人民币 A 股普通股股票。因此，预留授予完成后，公司总股本不变，不会导致公司控股股东和实际控制人及其持股比例发生变化。</w:t>
      </w:r>
    </w:p>
    <w:p>
      <w:pPr>
        <w:spacing w:line="360" w:lineRule="auto"/>
        <w:ind w:firstLine="482" w:firstLineChars="200"/>
        <w:rPr>
          <w:rFonts w:ascii="宋体" w:hAnsi="宋体"/>
          <w:b/>
          <w:bCs/>
          <w:sz w:val="24"/>
          <w:highlight w:val="none"/>
        </w:rPr>
      </w:pPr>
      <w:r>
        <w:rPr>
          <w:rFonts w:hint="eastAsia" w:ascii="宋体" w:hAnsi="宋体"/>
          <w:b/>
          <w:bCs/>
          <w:sz w:val="24"/>
          <w:highlight w:val="none"/>
        </w:rPr>
        <w:t>六、股权结构变动情况</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本次限制性股票授予完成前后，公司的股本结构变动情况如下：</w:t>
      </w:r>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126"/>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kern w:val="0"/>
                <w:sz w:val="20"/>
                <w:szCs w:val="21"/>
                <w:highlight w:val="none"/>
              </w:rPr>
            </w:pPr>
            <w:r>
              <w:rPr>
                <w:rFonts w:hint="eastAsia" w:ascii="宋体" w:hAnsi="宋体"/>
                <w:b/>
                <w:kern w:val="0"/>
                <w:sz w:val="20"/>
                <w:szCs w:val="21"/>
                <w:highlight w:val="none"/>
              </w:rPr>
              <w:t>证券类别</w:t>
            </w:r>
          </w:p>
        </w:tc>
        <w:tc>
          <w:tcPr>
            <w:tcW w:w="2126" w:type="dxa"/>
            <w:vAlign w:val="center"/>
          </w:tcPr>
          <w:p>
            <w:pPr>
              <w:pStyle w:val="13"/>
              <w:jc w:val="center"/>
              <w:rPr>
                <w:b/>
                <w:sz w:val="21"/>
                <w:szCs w:val="21"/>
                <w:highlight w:val="none"/>
              </w:rPr>
            </w:pPr>
            <w:r>
              <w:rPr>
                <w:rFonts w:hint="eastAsia"/>
                <w:b/>
                <w:sz w:val="21"/>
                <w:szCs w:val="21"/>
                <w:highlight w:val="none"/>
              </w:rPr>
              <w:t>变更前股份数量（股）</w:t>
            </w:r>
          </w:p>
        </w:tc>
        <w:tc>
          <w:tcPr>
            <w:tcW w:w="2410" w:type="dxa"/>
            <w:vAlign w:val="center"/>
          </w:tcPr>
          <w:p>
            <w:pPr>
              <w:pStyle w:val="13"/>
              <w:jc w:val="center"/>
              <w:rPr>
                <w:b/>
                <w:sz w:val="21"/>
                <w:szCs w:val="21"/>
                <w:highlight w:val="none"/>
              </w:rPr>
            </w:pPr>
            <w:r>
              <w:rPr>
                <w:rFonts w:hint="eastAsia"/>
                <w:b/>
                <w:sz w:val="21"/>
                <w:szCs w:val="21"/>
                <w:highlight w:val="none"/>
              </w:rPr>
              <w:t>本次变更股份数量（股）</w:t>
            </w:r>
          </w:p>
        </w:tc>
        <w:tc>
          <w:tcPr>
            <w:tcW w:w="2126" w:type="dxa"/>
            <w:vAlign w:val="center"/>
          </w:tcPr>
          <w:p>
            <w:pPr>
              <w:pStyle w:val="13"/>
              <w:jc w:val="center"/>
              <w:rPr>
                <w:b/>
                <w:sz w:val="21"/>
                <w:szCs w:val="21"/>
                <w:highlight w:val="none"/>
              </w:rPr>
            </w:pPr>
            <w:r>
              <w:rPr>
                <w:rFonts w:hint="eastAsia"/>
                <w:b/>
                <w:sz w:val="21"/>
                <w:szCs w:val="21"/>
                <w:highlight w:val="none"/>
              </w:rPr>
              <w:t>变更后股份数量（股）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kern w:val="0"/>
                <w:sz w:val="20"/>
                <w:szCs w:val="21"/>
                <w:highlight w:val="none"/>
              </w:rPr>
            </w:pPr>
            <w:r>
              <w:rPr>
                <w:rFonts w:hint="eastAsia" w:ascii="宋体" w:hAnsi="宋体"/>
                <w:b/>
                <w:kern w:val="0"/>
                <w:sz w:val="20"/>
                <w:szCs w:val="21"/>
                <w:highlight w:val="none"/>
              </w:rPr>
              <w:t>无限售条件流通股</w:t>
            </w:r>
          </w:p>
        </w:tc>
        <w:tc>
          <w:tcPr>
            <w:tcW w:w="2126" w:type="dxa"/>
            <w:vAlign w:val="center"/>
          </w:tcPr>
          <w:p>
            <w:pPr>
              <w:spacing w:line="360" w:lineRule="auto"/>
              <w:jc w:val="center"/>
              <w:rPr>
                <w:rFonts w:ascii="宋体" w:hAnsi="宋体"/>
                <w:kern w:val="0"/>
                <w:sz w:val="20"/>
                <w:szCs w:val="20"/>
                <w:highlight w:val="none"/>
              </w:rPr>
            </w:pPr>
            <w:r>
              <w:rPr>
                <w:rFonts w:ascii="宋体" w:hAnsi="宋体"/>
                <w:sz w:val="20"/>
                <w:szCs w:val="20"/>
                <w:highlight w:val="none"/>
              </w:rPr>
              <w:t>7</w:t>
            </w:r>
            <w:r>
              <w:rPr>
                <w:rFonts w:hint="eastAsia" w:ascii="宋体" w:hAnsi="宋体"/>
                <w:sz w:val="20"/>
                <w:szCs w:val="20"/>
                <w:highlight w:val="none"/>
              </w:rPr>
              <w:t>09</w:t>
            </w:r>
            <w:r>
              <w:rPr>
                <w:rFonts w:ascii="宋体" w:hAnsi="宋体"/>
                <w:sz w:val="20"/>
                <w:szCs w:val="20"/>
                <w:highlight w:val="none"/>
              </w:rPr>
              <w:t>,</w:t>
            </w:r>
            <w:r>
              <w:rPr>
                <w:rFonts w:hint="eastAsia" w:ascii="宋体" w:hAnsi="宋体"/>
                <w:sz w:val="20"/>
                <w:szCs w:val="20"/>
                <w:highlight w:val="none"/>
              </w:rPr>
              <w:t>084</w:t>
            </w:r>
            <w:r>
              <w:rPr>
                <w:rFonts w:ascii="宋体" w:hAnsi="宋体"/>
                <w:sz w:val="20"/>
                <w:szCs w:val="20"/>
                <w:highlight w:val="none"/>
              </w:rPr>
              <w:t>,832</w:t>
            </w:r>
          </w:p>
        </w:tc>
        <w:tc>
          <w:tcPr>
            <w:tcW w:w="2410" w:type="dxa"/>
            <w:vAlign w:val="center"/>
          </w:tcPr>
          <w:p>
            <w:pPr>
              <w:spacing w:line="360" w:lineRule="auto"/>
              <w:jc w:val="center"/>
              <w:rPr>
                <w:rFonts w:ascii="宋体" w:hAnsi="宋体"/>
                <w:kern w:val="0"/>
                <w:sz w:val="20"/>
                <w:szCs w:val="20"/>
                <w:highlight w:val="none"/>
              </w:rPr>
            </w:pPr>
            <w:r>
              <w:rPr>
                <w:rFonts w:ascii="宋体" w:hAnsi="宋体"/>
                <w:sz w:val="20"/>
                <w:szCs w:val="20"/>
                <w:highlight w:val="none"/>
              </w:rPr>
              <w:t>-</w:t>
            </w:r>
            <w:r>
              <w:rPr>
                <w:rFonts w:hint="eastAsia" w:ascii="宋体" w:hAnsi="宋体"/>
                <w:sz w:val="20"/>
                <w:szCs w:val="20"/>
                <w:highlight w:val="none"/>
              </w:rPr>
              <w:t>805</w:t>
            </w:r>
            <w:r>
              <w:rPr>
                <w:rFonts w:ascii="宋体" w:hAnsi="宋体"/>
                <w:sz w:val="20"/>
                <w:szCs w:val="20"/>
                <w:highlight w:val="none"/>
              </w:rPr>
              <w:t>,</w:t>
            </w:r>
            <w:r>
              <w:rPr>
                <w:rFonts w:hint="eastAsia" w:ascii="宋体" w:hAnsi="宋体"/>
                <w:sz w:val="20"/>
                <w:szCs w:val="20"/>
                <w:highlight w:val="none"/>
              </w:rPr>
              <w:t>303</w:t>
            </w:r>
          </w:p>
        </w:tc>
        <w:tc>
          <w:tcPr>
            <w:tcW w:w="2126" w:type="dxa"/>
            <w:vAlign w:val="center"/>
          </w:tcPr>
          <w:p>
            <w:pPr>
              <w:spacing w:line="360" w:lineRule="auto"/>
              <w:jc w:val="center"/>
              <w:rPr>
                <w:rFonts w:ascii="宋体" w:hAnsi="宋体"/>
                <w:kern w:val="0"/>
                <w:sz w:val="20"/>
                <w:szCs w:val="20"/>
                <w:highlight w:val="none"/>
              </w:rPr>
            </w:pPr>
            <w:r>
              <w:rPr>
                <w:rFonts w:ascii="宋体" w:hAnsi="宋体"/>
                <w:sz w:val="20"/>
                <w:szCs w:val="20"/>
                <w:highlight w:val="none"/>
              </w:rPr>
              <w:t>70</w:t>
            </w:r>
            <w:r>
              <w:rPr>
                <w:rFonts w:hint="eastAsia" w:ascii="宋体" w:hAnsi="宋体"/>
                <w:sz w:val="20"/>
                <w:szCs w:val="20"/>
                <w:highlight w:val="none"/>
              </w:rPr>
              <w:t>8</w:t>
            </w:r>
            <w:r>
              <w:rPr>
                <w:rFonts w:ascii="宋体" w:hAnsi="宋体"/>
                <w:sz w:val="20"/>
                <w:szCs w:val="20"/>
                <w:highlight w:val="none"/>
              </w:rPr>
              <w:t>,</w:t>
            </w:r>
            <w:r>
              <w:rPr>
                <w:rFonts w:hint="eastAsia" w:ascii="宋体" w:hAnsi="宋体"/>
                <w:sz w:val="20"/>
                <w:szCs w:val="20"/>
                <w:highlight w:val="none"/>
              </w:rPr>
              <w:t>279</w:t>
            </w:r>
            <w:r>
              <w:rPr>
                <w:rFonts w:ascii="宋体" w:hAnsi="宋体"/>
                <w:sz w:val="20"/>
                <w:szCs w:val="20"/>
                <w:highlight w:val="none"/>
              </w:rPr>
              <w:t>,</w:t>
            </w:r>
            <w:r>
              <w:rPr>
                <w:rFonts w:hint="eastAsia" w:ascii="宋体" w:hAnsi="宋体"/>
                <w:sz w:val="20"/>
                <w:szCs w:val="20"/>
                <w:highlight w:val="none"/>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kern w:val="0"/>
                <w:sz w:val="20"/>
                <w:szCs w:val="21"/>
                <w:highlight w:val="none"/>
              </w:rPr>
            </w:pPr>
            <w:r>
              <w:rPr>
                <w:rFonts w:hint="eastAsia" w:ascii="宋体" w:hAnsi="宋体"/>
                <w:b/>
                <w:kern w:val="0"/>
                <w:sz w:val="20"/>
                <w:szCs w:val="21"/>
                <w:highlight w:val="none"/>
              </w:rPr>
              <w:t>有限售条件流通股</w:t>
            </w:r>
          </w:p>
        </w:tc>
        <w:tc>
          <w:tcPr>
            <w:tcW w:w="2126" w:type="dxa"/>
            <w:vAlign w:val="center"/>
          </w:tcPr>
          <w:p>
            <w:pPr>
              <w:spacing w:line="360" w:lineRule="auto"/>
              <w:jc w:val="center"/>
              <w:rPr>
                <w:rFonts w:ascii="宋体" w:hAnsi="宋体"/>
                <w:kern w:val="0"/>
                <w:sz w:val="20"/>
                <w:szCs w:val="20"/>
                <w:highlight w:val="none"/>
              </w:rPr>
            </w:pPr>
            <w:r>
              <w:rPr>
                <w:rFonts w:hint="eastAsia" w:ascii="宋体" w:hAnsi="宋体"/>
                <w:sz w:val="20"/>
                <w:szCs w:val="20"/>
                <w:highlight w:val="none"/>
              </w:rPr>
              <w:t>3,304,000</w:t>
            </w:r>
          </w:p>
        </w:tc>
        <w:tc>
          <w:tcPr>
            <w:tcW w:w="2410" w:type="dxa"/>
            <w:vAlign w:val="center"/>
          </w:tcPr>
          <w:p>
            <w:pPr>
              <w:spacing w:line="360" w:lineRule="auto"/>
              <w:jc w:val="center"/>
              <w:rPr>
                <w:rFonts w:ascii="宋体" w:hAnsi="宋体"/>
                <w:kern w:val="0"/>
                <w:sz w:val="20"/>
                <w:szCs w:val="20"/>
                <w:highlight w:val="none"/>
              </w:rPr>
            </w:pPr>
            <w:r>
              <w:rPr>
                <w:rFonts w:hint="eastAsia" w:ascii="宋体" w:hAnsi="宋体"/>
                <w:sz w:val="20"/>
                <w:szCs w:val="20"/>
                <w:highlight w:val="none"/>
              </w:rPr>
              <w:t>805,303</w:t>
            </w:r>
          </w:p>
        </w:tc>
        <w:tc>
          <w:tcPr>
            <w:tcW w:w="2126" w:type="dxa"/>
            <w:vAlign w:val="center"/>
          </w:tcPr>
          <w:p>
            <w:pPr>
              <w:spacing w:line="360" w:lineRule="auto"/>
              <w:jc w:val="center"/>
              <w:rPr>
                <w:rFonts w:ascii="宋体" w:hAnsi="宋体"/>
                <w:kern w:val="0"/>
                <w:sz w:val="20"/>
                <w:szCs w:val="20"/>
                <w:highlight w:val="none"/>
              </w:rPr>
            </w:pPr>
            <w:r>
              <w:rPr>
                <w:rFonts w:hint="eastAsia" w:ascii="宋体" w:hAnsi="宋体"/>
                <w:sz w:val="20"/>
                <w:szCs w:val="20"/>
                <w:highlight w:val="none"/>
              </w:rPr>
              <w:t>4</w:t>
            </w:r>
            <w:r>
              <w:rPr>
                <w:rFonts w:ascii="宋体" w:hAnsi="宋体"/>
                <w:sz w:val="20"/>
                <w:szCs w:val="20"/>
                <w:highlight w:val="none"/>
              </w:rPr>
              <w:t>,</w:t>
            </w:r>
            <w:r>
              <w:rPr>
                <w:rFonts w:hint="eastAsia" w:ascii="宋体" w:hAnsi="宋体"/>
                <w:sz w:val="20"/>
                <w:szCs w:val="20"/>
                <w:highlight w:val="none"/>
              </w:rPr>
              <w:t>109</w:t>
            </w:r>
            <w:r>
              <w:rPr>
                <w:rFonts w:ascii="宋体" w:hAnsi="宋体"/>
                <w:sz w:val="20"/>
                <w:szCs w:val="20"/>
                <w:highlight w:val="none"/>
              </w:rPr>
              <w:t>,</w:t>
            </w:r>
            <w:r>
              <w:rPr>
                <w:rFonts w:hint="eastAsia" w:ascii="宋体" w:hAnsi="宋体"/>
                <w:sz w:val="20"/>
                <w:szCs w:val="20"/>
                <w:highlight w:val="none"/>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auto"/>
              <w:jc w:val="center"/>
              <w:rPr>
                <w:rFonts w:ascii="宋体" w:hAnsi="宋体"/>
                <w:b/>
                <w:kern w:val="0"/>
                <w:sz w:val="20"/>
                <w:szCs w:val="21"/>
                <w:highlight w:val="none"/>
              </w:rPr>
            </w:pPr>
            <w:r>
              <w:rPr>
                <w:rFonts w:hint="eastAsia" w:ascii="宋体" w:hAnsi="宋体"/>
                <w:b/>
                <w:kern w:val="0"/>
                <w:sz w:val="20"/>
                <w:szCs w:val="21"/>
                <w:highlight w:val="none"/>
              </w:rPr>
              <w:t>合计</w:t>
            </w:r>
          </w:p>
        </w:tc>
        <w:tc>
          <w:tcPr>
            <w:tcW w:w="2126" w:type="dxa"/>
            <w:vAlign w:val="center"/>
          </w:tcPr>
          <w:p>
            <w:pPr>
              <w:spacing w:line="360" w:lineRule="auto"/>
              <w:jc w:val="center"/>
              <w:rPr>
                <w:rFonts w:ascii="宋体" w:hAnsi="宋体"/>
                <w:kern w:val="0"/>
                <w:sz w:val="20"/>
                <w:szCs w:val="20"/>
                <w:highlight w:val="none"/>
              </w:rPr>
            </w:pPr>
            <w:r>
              <w:rPr>
                <w:rFonts w:ascii="宋体" w:hAnsi="宋体"/>
                <w:sz w:val="20"/>
                <w:szCs w:val="20"/>
                <w:highlight w:val="none"/>
              </w:rPr>
              <w:t>712,388,832</w:t>
            </w:r>
          </w:p>
        </w:tc>
        <w:tc>
          <w:tcPr>
            <w:tcW w:w="2410" w:type="dxa"/>
            <w:vAlign w:val="center"/>
          </w:tcPr>
          <w:p>
            <w:pPr>
              <w:spacing w:line="360" w:lineRule="auto"/>
              <w:jc w:val="center"/>
              <w:rPr>
                <w:rFonts w:ascii="宋体" w:hAnsi="宋体"/>
                <w:kern w:val="0"/>
                <w:sz w:val="20"/>
                <w:szCs w:val="20"/>
                <w:highlight w:val="none"/>
              </w:rPr>
            </w:pPr>
            <w:r>
              <w:rPr>
                <w:rFonts w:hint="eastAsia" w:ascii="宋体" w:hAnsi="宋体"/>
                <w:sz w:val="20"/>
                <w:szCs w:val="20"/>
                <w:highlight w:val="none"/>
              </w:rPr>
              <w:t>0</w:t>
            </w:r>
          </w:p>
        </w:tc>
        <w:tc>
          <w:tcPr>
            <w:tcW w:w="2126" w:type="dxa"/>
            <w:vAlign w:val="center"/>
          </w:tcPr>
          <w:p>
            <w:pPr>
              <w:spacing w:line="360" w:lineRule="auto"/>
              <w:jc w:val="center"/>
              <w:rPr>
                <w:rFonts w:ascii="宋体" w:hAnsi="宋体"/>
                <w:kern w:val="0"/>
                <w:sz w:val="20"/>
                <w:szCs w:val="20"/>
                <w:highlight w:val="none"/>
              </w:rPr>
            </w:pPr>
            <w:r>
              <w:rPr>
                <w:rFonts w:ascii="宋体" w:hAnsi="宋体"/>
                <w:sz w:val="20"/>
                <w:szCs w:val="20"/>
                <w:highlight w:val="none"/>
              </w:rPr>
              <w:t>712,388,832</w:t>
            </w:r>
          </w:p>
        </w:tc>
      </w:tr>
    </w:tbl>
    <w:p>
      <w:pPr>
        <w:spacing w:line="360" w:lineRule="auto"/>
        <w:ind w:firstLine="482" w:firstLineChars="200"/>
        <w:rPr>
          <w:rFonts w:ascii="宋体" w:hAnsi="宋体"/>
          <w:b/>
          <w:bCs/>
          <w:sz w:val="24"/>
          <w:highlight w:val="none"/>
        </w:rPr>
      </w:pPr>
      <w:r>
        <w:rPr>
          <w:rFonts w:hint="eastAsia" w:ascii="宋体" w:hAnsi="宋体"/>
          <w:b/>
          <w:bCs/>
          <w:sz w:val="24"/>
          <w:highlight w:val="none"/>
        </w:rPr>
        <w:t>七、本次募集资金使用计划</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本激励计划所筹集资金总额为人民币2,810,507.47元，将全部用于补充公司流动资金。</w:t>
      </w:r>
    </w:p>
    <w:p>
      <w:pPr>
        <w:spacing w:line="360" w:lineRule="auto"/>
        <w:ind w:firstLine="482" w:firstLineChars="200"/>
        <w:rPr>
          <w:rFonts w:ascii="宋体" w:hAnsi="宋体"/>
          <w:b/>
          <w:bCs/>
          <w:sz w:val="24"/>
          <w:highlight w:val="none"/>
        </w:rPr>
      </w:pPr>
      <w:r>
        <w:rPr>
          <w:rFonts w:hint="eastAsia" w:ascii="宋体" w:hAnsi="宋体"/>
          <w:b/>
          <w:bCs/>
          <w:sz w:val="24"/>
          <w:highlight w:val="none"/>
        </w:rPr>
        <w:t>八、本次授予后对公司财务状况的影响</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财政部《企业会计准则第11号——股份支付》和《企业会计准则第22号——金融工具确认和计量》的相关规定，公司将在限售期内的每个资产负债表日，根据最新取得的可解除限售人数变动、业绩指标完成情况等后续信息，修正预计可解除限售的限制性股票数量，并按照限制性股票授予日的公允价值，将当期取得的服务计入相关成本或费用和资本公积。</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经测算，</w:t>
      </w:r>
      <w:r>
        <w:rPr>
          <w:rFonts w:hint="eastAsia" w:asciiTheme="minorEastAsia" w:hAnsiTheme="minorEastAsia" w:eastAsiaTheme="minorEastAsia"/>
          <w:sz w:val="24"/>
          <w:highlight w:val="none"/>
        </w:rPr>
        <w:t>公司</w:t>
      </w:r>
      <w:r>
        <w:rPr>
          <w:rFonts w:asciiTheme="minorEastAsia" w:hAnsiTheme="minorEastAsia" w:eastAsiaTheme="minorEastAsia"/>
          <w:sz w:val="24"/>
          <w:highlight w:val="none"/>
        </w:rPr>
        <w:t>于</w:t>
      </w:r>
      <w:r>
        <w:rPr>
          <w:rFonts w:hint="eastAsia" w:asciiTheme="minorEastAsia" w:hAnsiTheme="minorEastAsia" w:eastAsiaTheme="minorEastAsia"/>
          <w:sz w:val="24"/>
          <w:highlight w:val="none"/>
        </w:rPr>
        <w:t>2022年10月31日</w:t>
      </w:r>
      <w:r>
        <w:rPr>
          <w:rFonts w:hint="eastAsia" w:asciiTheme="minorEastAsia" w:hAnsiTheme="minorEastAsia" w:eastAsiaTheme="minorEastAsia"/>
          <w:sz w:val="24"/>
          <w:highlight w:val="none"/>
        </w:rPr>
        <w:t>预留授予的8</w:t>
      </w:r>
      <w:r>
        <w:rPr>
          <w:rFonts w:asciiTheme="minorEastAsia" w:hAnsiTheme="minorEastAsia" w:eastAsiaTheme="minorEastAsia"/>
          <w:sz w:val="24"/>
          <w:highlight w:val="none"/>
        </w:rPr>
        <w:t>0.5303万股限制性股票</w:t>
      </w:r>
      <w:r>
        <w:rPr>
          <w:rFonts w:hint="eastAsia" w:asciiTheme="minorEastAsia" w:hAnsiTheme="minorEastAsia" w:eastAsiaTheme="minorEastAsia" w:cstheme="minorEastAsia"/>
          <w:sz w:val="24"/>
          <w:highlight w:val="none"/>
        </w:rPr>
        <w:t>合计需摊销的总费用为</w:t>
      </w:r>
      <w:r>
        <w:rPr>
          <w:rFonts w:asciiTheme="minorEastAsia" w:hAnsiTheme="minorEastAsia" w:eastAsiaTheme="minorEastAsia" w:cstheme="minorEastAsia"/>
          <w:sz w:val="24"/>
          <w:highlight w:val="none"/>
        </w:rPr>
        <w:t>260.92</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sz w:val="24"/>
          <w:highlight w:val="none"/>
        </w:rPr>
        <w:t>，则202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年至2024年限制性股票成本摊销情况见下表：</w:t>
      </w:r>
    </w:p>
    <w:p>
      <w:pPr>
        <w:spacing w:before="156" w:beforeLines="50" w:line="360" w:lineRule="auto"/>
        <w:ind w:firstLine="42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单位：万元</w:t>
      </w:r>
    </w:p>
    <w:tbl>
      <w:tblPr>
        <w:tblStyle w:val="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2025"/>
        <w:gridCol w:w="181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highlight w:val="none"/>
              </w:rPr>
            </w:pPr>
            <w:r>
              <w:rPr>
                <w:rFonts w:hint="eastAsia"/>
                <w:b/>
                <w:szCs w:val="21"/>
                <w:highlight w:val="none"/>
              </w:rPr>
              <w:t>限制性股票摊销成本</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highlight w:val="none"/>
              </w:rPr>
            </w:pPr>
            <w:r>
              <w:rPr>
                <w:b/>
                <w:szCs w:val="21"/>
                <w:highlight w:val="none"/>
              </w:rPr>
              <w:t>2022</w:t>
            </w:r>
            <w:r>
              <w:rPr>
                <w:rFonts w:hint="eastAsia"/>
                <w:b/>
                <w:szCs w:val="21"/>
                <w:highlight w:val="none"/>
              </w:rPr>
              <w:t>年</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highlight w:val="none"/>
              </w:rPr>
            </w:pPr>
            <w:r>
              <w:rPr>
                <w:b/>
                <w:szCs w:val="21"/>
                <w:highlight w:val="none"/>
              </w:rPr>
              <w:t>2023</w:t>
            </w:r>
            <w:r>
              <w:rPr>
                <w:rFonts w:hint="eastAsia"/>
                <w:b/>
                <w:szCs w:val="21"/>
                <w:highlight w:val="none"/>
              </w:rPr>
              <w:t>年</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
                <w:szCs w:val="21"/>
                <w:highlight w:val="none"/>
              </w:rPr>
            </w:pPr>
            <w:r>
              <w:rPr>
                <w:b/>
                <w:szCs w:val="21"/>
                <w:highlight w:val="none"/>
              </w:rPr>
              <w:t>2024</w:t>
            </w:r>
            <w:r>
              <w:rPr>
                <w:rFonts w:hint="eastAsia"/>
                <w:b/>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szCs w:val="21"/>
                <w:highlight w:val="none"/>
              </w:rPr>
            </w:pPr>
            <w:r>
              <w:rPr>
                <w:b w:val="0"/>
                <w:szCs w:val="21"/>
                <w:highlight w:val="none"/>
              </w:rPr>
              <w:t>260.92</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bCs/>
                <w:szCs w:val="21"/>
                <w:highlight w:val="none"/>
              </w:rPr>
            </w:pPr>
            <w:r>
              <w:rPr>
                <w:b w:val="0"/>
                <w:bCs/>
                <w:color w:val="000000"/>
                <w:sz w:val="21"/>
                <w:szCs w:val="21"/>
                <w:highlight w:val="none"/>
              </w:rPr>
              <w:t xml:space="preserve">32.61 </w:t>
            </w:r>
          </w:p>
        </w:tc>
        <w:tc>
          <w:tcPr>
            <w:tcW w:w="181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Cs/>
                <w:szCs w:val="21"/>
                <w:highlight w:val="none"/>
              </w:rPr>
            </w:pPr>
            <w:r>
              <w:rPr>
                <w:b w:val="0"/>
                <w:bCs/>
                <w:color w:val="000000"/>
                <w:sz w:val="21"/>
                <w:szCs w:val="21"/>
                <w:highlight w:val="none"/>
              </w:rPr>
              <w:t xml:space="preserve">173.95 </w:t>
            </w: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bCs/>
                <w:szCs w:val="21"/>
                <w:highlight w:val="none"/>
              </w:rPr>
            </w:pPr>
            <w:r>
              <w:rPr>
                <w:b w:val="0"/>
                <w:bCs/>
                <w:color w:val="000000"/>
                <w:sz w:val="21"/>
                <w:szCs w:val="21"/>
                <w:highlight w:val="none"/>
              </w:rPr>
              <w:t xml:space="preserve">54.36 </w:t>
            </w:r>
            <w:bookmarkStart w:id="0" w:name="_GoBack"/>
            <w:bookmarkEnd w:id="0"/>
          </w:p>
        </w:tc>
      </w:tr>
    </w:tbl>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w:t>
      </w:r>
      <w:r>
        <w:rPr>
          <w:rFonts w:asciiTheme="minorEastAsia" w:hAnsiTheme="minorEastAsia" w:eastAsiaTheme="minorEastAsia" w:cstheme="minorEastAsia"/>
          <w:szCs w:val="21"/>
          <w:highlight w:val="none"/>
        </w:rPr>
        <w:t>1、上述摊销费用预测对公司经营业绩的最终影响以会计师所出的审计报告为准；</w:t>
      </w:r>
    </w:p>
    <w:p>
      <w:pPr>
        <w:spacing w:line="360" w:lineRule="auto"/>
        <w:ind w:firstLine="420" w:firstLineChars="200"/>
        <w:rPr>
          <w:rFonts w:asciiTheme="minorEastAsia" w:hAnsiTheme="minorEastAsia" w:eastAsiaTheme="minorEastAsia" w:cstheme="minorEastAsia"/>
          <w:sz w:val="24"/>
          <w:highlight w:val="none"/>
        </w:rPr>
      </w:pPr>
      <w:r>
        <w:rPr>
          <w:rFonts w:asciiTheme="minorEastAsia" w:hAnsiTheme="minorEastAsia" w:eastAsiaTheme="minorEastAsia" w:cstheme="minorEastAsia"/>
          <w:szCs w:val="21"/>
          <w:highlight w:val="none"/>
        </w:rPr>
        <w:t>2、上表中合计数与各明细数相加之和在尾数上如有差异，系四舍五入所致。</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激励计划的成本将在成本费用中列支。公司以目前信息估计，在不考虑本激励计划对公司业绩的正向作用情况下，本激励计划成本费用的摊销对有效期内各年净利润有所影响，但影响不重大。考虑到本激励计划对公司经营发展产生的正向作用，由此激发管理、核心团队的积极性，提高经营效率，降低经营成本，本激励计划带来的公司业绩提升将高于因其带来的费用增加。</w:t>
      </w:r>
    </w:p>
    <w:p>
      <w:pPr>
        <w:spacing w:before="156" w:beforeLines="50"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360" w:lineRule="auto"/>
        <w:ind w:firstLine="480" w:firstLineChars="200"/>
        <w:rPr>
          <w:rFonts w:ascii="宋体" w:hAnsi="宋体"/>
          <w:sz w:val="24"/>
          <w:highlight w:val="none"/>
        </w:rPr>
      </w:pPr>
    </w:p>
    <w:p>
      <w:pPr>
        <w:spacing w:line="360" w:lineRule="auto"/>
        <w:ind w:firstLine="4320" w:firstLineChars="1800"/>
        <w:jc w:val="right"/>
        <w:rPr>
          <w:rFonts w:ascii="宋体" w:hAnsi="宋体"/>
          <w:sz w:val="24"/>
          <w:highlight w:val="none"/>
        </w:rPr>
      </w:pPr>
      <w:r>
        <w:rPr>
          <w:rFonts w:hint="eastAsia" w:ascii="宋体" w:hAnsi="宋体"/>
          <w:sz w:val="24"/>
          <w:highlight w:val="none"/>
        </w:rPr>
        <w:t>江苏吴中医药发展股份有限公司</w:t>
      </w:r>
    </w:p>
    <w:p>
      <w:pPr>
        <w:spacing w:line="360" w:lineRule="auto"/>
        <w:ind w:right="1200" w:firstLine="4320" w:firstLineChars="1800"/>
        <w:jc w:val="right"/>
        <w:rPr>
          <w:rFonts w:ascii="宋体" w:hAnsi="宋体"/>
          <w:sz w:val="24"/>
          <w:highlight w:val="none"/>
        </w:rPr>
      </w:pPr>
      <w:r>
        <w:rPr>
          <w:rFonts w:hint="eastAsia" w:ascii="宋体" w:hAnsi="宋体"/>
          <w:sz w:val="24"/>
          <w:highlight w:val="none"/>
        </w:rPr>
        <w:t xml:space="preserve">董事会      </w:t>
      </w:r>
    </w:p>
    <w:p>
      <w:pPr>
        <w:spacing w:line="360" w:lineRule="auto"/>
        <w:ind w:right="480" w:firstLine="5220" w:firstLineChars="2175"/>
        <w:jc w:val="center"/>
        <w:rPr>
          <w:rFonts w:ascii="宋体" w:hAnsi="宋体"/>
          <w:sz w:val="24"/>
          <w:highlight w:val="none"/>
        </w:rPr>
      </w:pPr>
      <w:r>
        <w:rPr>
          <w:rFonts w:hint="eastAsia" w:ascii="宋体" w:hAnsi="宋体"/>
          <w:sz w:val="24"/>
          <w:highlight w:val="none"/>
        </w:rPr>
        <w:t xml:space="preserve">    2022年11月</w:t>
      </w:r>
      <w:r>
        <w:rPr>
          <w:rFonts w:hint="eastAsia" w:ascii="宋体" w:hAnsi="宋体"/>
          <w:sz w:val="24"/>
          <w:highlight w:val="none"/>
          <w:lang w:val="en-US" w:eastAsia="zh-CN"/>
        </w:rPr>
        <w:t>30</w:t>
      </w:r>
      <w:r>
        <w:rPr>
          <w:rFonts w:hint="eastAsia" w:ascii="宋体" w:hAnsi="宋体"/>
          <w:sz w:val="24"/>
          <w:highlight w:val="none"/>
        </w:rPr>
        <w:t>日</w:t>
      </w:r>
    </w:p>
    <w:p>
      <w:pPr>
        <w:tabs>
          <w:tab w:val="left" w:pos="6075"/>
        </w:tabs>
        <w:spacing w:line="360" w:lineRule="auto"/>
        <w:rPr>
          <w:sz w:val="24"/>
        </w:rPr>
      </w:pPr>
      <w:r>
        <w:rPr>
          <w:sz w:val="24"/>
        </w:rPr>
        <w:tab/>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E5411"/>
    <w:multiLevelType w:val="singleLevel"/>
    <w:tmpl w:val="C43E5411"/>
    <w:lvl w:ilvl="0" w:tentative="0">
      <w:start w:val="2"/>
      <w:numFmt w:val="chineseCounting"/>
      <w:suff w:val="nothing"/>
      <w:lvlText w:val="%1、"/>
      <w:lvlJc w:val="left"/>
      <w:rPr>
        <w:rFonts w:hint="eastAsia"/>
      </w:rPr>
    </w:lvl>
  </w:abstractNum>
  <w:abstractNum w:abstractNumId="1">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D30105"/>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C1EBF"/>
    <w:rsid w:val="000D5160"/>
    <w:rsid w:val="000D59A8"/>
    <w:rsid w:val="000E1C17"/>
    <w:rsid w:val="000E2525"/>
    <w:rsid w:val="000E5928"/>
    <w:rsid w:val="000E7F53"/>
    <w:rsid w:val="000F4B47"/>
    <w:rsid w:val="00101299"/>
    <w:rsid w:val="001044FC"/>
    <w:rsid w:val="00115DE0"/>
    <w:rsid w:val="00125BE8"/>
    <w:rsid w:val="00125EB5"/>
    <w:rsid w:val="001302DF"/>
    <w:rsid w:val="00133DAF"/>
    <w:rsid w:val="00141A30"/>
    <w:rsid w:val="0014235B"/>
    <w:rsid w:val="001449C0"/>
    <w:rsid w:val="00151157"/>
    <w:rsid w:val="00163205"/>
    <w:rsid w:val="00167B35"/>
    <w:rsid w:val="00173650"/>
    <w:rsid w:val="00173BB6"/>
    <w:rsid w:val="001741A0"/>
    <w:rsid w:val="00184711"/>
    <w:rsid w:val="00190F6C"/>
    <w:rsid w:val="00194544"/>
    <w:rsid w:val="00196C83"/>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40A1"/>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D65CF"/>
    <w:rsid w:val="002F64AF"/>
    <w:rsid w:val="002F74DC"/>
    <w:rsid w:val="0030503B"/>
    <w:rsid w:val="00324EB8"/>
    <w:rsid w:val="003307ED"/>
    <w:rsid w:val="003334F6"/>
    <w:rsid w:val="003402E8"/>
    <w:rsid w:val="00342CB6"/>
    <w:rsid w:val="00353BA1"/>
    <w:rsid w:val="00360937"/>
    <w:rsid w:val="00360945"/>
    <w:rsid w:val="00363847"/>
    <w:rsid w:val="0036422B"/>
    <w:rsid w:val="003657D5"/>
    <w:rsid w:val="00367CCA"/>
    <w:rsid w:val="003726BC"/>
    <w:rsid w:val="0037324C"/>
    <w:rsid w:val="00373349"/>
    <w:rsid w:val="0038210C"/>
    <w:rsid w:val="003870CC"/>
    <w:rsid w:val="003A1590"/>
    <w:rsid w:val="003B1D84"/>
    <w:rsid w:val="003B5345"/>
    <w:rsid w:val="003C607D"/>
    <w:rsid w:val="003D0C3B"/>
    <w:rsid w:val="003D3FFF"/>
    <w:rsid w:val="003D798A"/>
    <w:rsid w:val="003E1D67"/>
    <w:rsid w:val="003E2FD2"/>
    <w:rsid w:val="003E355B"/>
    <w:rsid w:val="003F5D08"/>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BE0"/>
    <w:rsid w:val="00517C61"/>
    <w:rsid w:val="005216F4"/>
    <w:rsid w:val="0052377B"/>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0C35"/>
    <w:rsid w:val="00606509"/>
    <w:rsid w:val="00615D49"/>
    <w:rsid w:val="0062719F"/>
    <w:rsid w:val="006412D7"/>
    <w:rsid w:val="006446F0"/>
    <w:rsid w:val="00645C77"/>
    <w:rsid w:val="00647683"/>
    <w:rsid w:val="00662769"/>
    <w:rsid w:val="00663516"/>
    <w:rsid w:val="0067327D"/>
    <w:rsid w:val="0067661A"/>
    <w:rsid w:val="00682D83"/>
    <w:rsid w:val="00683AED"/>
    <w:rsid w:val="00690371"/>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1F15"/>
    <w:rsid w:val="008B3703"/>
    <w:rsid w:val="008B3DD4"/>
    <w:rsid w:val="008B43ED"/>
    <w:rsid w:val="008B4735"/>
    <w:rsid w:val="008B5B30"/>
    <w:rsid w:val="008B6235"/>
    <w:rsid w:val="008C0E07"/>
    <w:rsid w:val="008D00C7"/>
    <w:rsid w:val="008E57CC"/>
    <w:rsid w:val="008F5155"/>
    <w:rsid w:val="008F6AB5"/>
    <w:rsid w:val="009049C7"/>
    <w:rsid w:val="00932542"/>
    <w:rsid w:val="00933FA5"/>
    <w:rsid w:val="00934104"/>
    <w:rsid w:val="009440E4"/>
    <w:rsid w:val="0094672C"/>
    <w:rsid w:val="00955A3F"/>
    <w:rsid w:val="00960430"/>
    <w:rsid w:val="00967AA4"/>
    <w:rsid w:val="00972218"/>
    <w:rsid w:val="009841CB"/>
    <w:rsid w:val="00995DC5"/>
    <w:rsid w:val="009B261C"/>
    <w:rsid w:val="009B75B1"/>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60F5"/>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2896"/>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010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37758"/>
    <w:rsid w:val="00E4508D"/>
    <w:rsid w:val="00E62058"/>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53EA6"/>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4A42800"/>
    <w:rsid w:val="09150170"/>
    <w:rsid w:val="09A432A2"/>
    <w:rsid w:val="0A9E7CF1"/>
    <w:rsid w:val="12ED7A68"/>
    <w:rsid w:val="133236CD"/>
    <w:rsid w:val="138F28CD"/>
    <w:rsid w:val="159A3ED7"/>
    <w:rsid w:val="16096967"/>
    <w:rsid w:val="1B23671D"/>
    <w:rsid w:val="1CA76EDA"/>
    <w:rsid w:val="21C67E02"/>
    <w:rsid w:val="21C87805"/>
    <w:rsid w:val="25EB3918"/>
    <w:rsid w:val="2C2916B9"/>
    <w:rsid w:val="2E5844D8"/>
    <w:rsid w:val="316A2C84"/>
    <w:rsid w:val="348A1163"/>
    <w:rsid w:val="34B418C0"/>
    <w:rsid w:val="35335357"/>
    <w:rsid w:val="431C742A"/>
    <w:rsid w:val="44521E3C"/>
    <w:rsid w:val="45DD5596"/>
    <w:rsid w:val="46024FFD"/>
    <w:rsid w:val="48A71E8C"/>
    <w:rsid w:val="48DA400F"/>
    <w:rsid w:val="4ABD24B3"/>
    <w:rsid w:val="54E67898"/>
    <w:rsid w:val="59235F35"/>
    <w:rsid w:val="63041F5D"/>
    <w:rsid w:val="694A110D"/>
    <w:rsid w:val="6BE75F78"/>
    <w:rsid w:val="700370F8"/>
    <w:rsid w:val="70741DA4"/>
    <w:rsid w:val="71E338E5"/>
    <w:rsid w:val="74021B30"/>
    <w:rsid w:val="779154A5"/>
    <w:rsid w:val="77974CF6"/>
    <w:rsid w:val="7E79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批注框文本 字符"/>
    <w:basedOn w:val="9"/>
    <w:link w:val="3"/>
    <w:semiHidden/>
    <w:qFormat/>
    <w:uiPriority w:val="99"/>
    <w:rPr>
      <w:rFonts w:ascii="Times New Roman" w:hAnsi="Times New Roman" w:eastAsia="宋体" w:cs="Times New Roman"/>
      <w:kern w:val="2"/>
      <w:sz w:val="18"/>
      <w:szCs w:val="18"/>
    </w:rPr>
  </w:style>
  <w:style w:type="character" w:customStyle="1" w:styleId="15">
    <w:name w:val="批注文字 字符"/>
    <w:basedOn w:val="9"/>
    <w:link w:val="2"/>
    <w:semiHidden/>
    <w:qFormat/>
    <w:uiPriority w:val="99"/>
    <w:rPr>
      <w:rFonts w:ascii="Times New Roman" w:hAnsi="Times New Roman" w:eastAsia="宋体" w:cs="Times New Roman"/>
      <w:kern w:val="2"/>
      <w:sz w:val="21"/>
      <w:szCs w:val="24"/>
    </w:rPr>
  </w:style>
  <w:style w:type="character" w:customStyle="1" w:styleId="16">
    <w:name w:val="批注主题 字符"/>
    <w:basedOn w:val="15"/>
    <w:link w:val="6"/>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2298</Words>
  <Characters>2600</Characters>
  <Lines>23</Lines>
  <Paragraphs>6</Paragraphs>
  <TotalTime>4</TotalTime>
  <ScaleCrop>false</ScaleCrop>
  <LinksUpToDate>false</LinksUpToDate>
  <CharactersWithSpaces>2633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2022-11-24T03:36:00Z</dcterms:created>
  <dc:creator>李锐</dc:creator>
  <cp:lastModifiedBy>王雅杰</cp:lastModifiedBy>
  <dcterms:modified xsi:type="dcterms:W3CDTF">2022-11-29T05:09:28Z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6CAA45D123E04065A479566BE68EDC50</vt:lpwstr>
  </property>
</Properties>
</file>