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153" w:rightChars="-73"/>
        <w:jc w:val="center"/>
        <w:rPr>
          <w:rFonts w:ascii="黑体" w:hAnsi="宋体"/>
          <w:b/>
          <w:bCs/>
          <w:color w:val="FF0000"/>
          <w:sz w:val="32"/>
        </w:rPr>
      </w:pPr>
      <w:r>
        <w:rPr>
          <w:rFonts w:hint="eastAsia" w:ascii="宋体" w:hAnsi="宋体" w:cs="宋体"/>
          <w:color w:val="000000"/>
          <w:kern w:val="0"/>
          <w:sz w:val="24"/>
        </w:rPr>
        <w:t>证券代码：600200         证券简称：江苏吴中      公告编号：临2023-022</w:t>
      </w:r>
    </w:p>
    <w:p>
      <w:pPr>
        <w:spacing w:line="360" w:lineRule="auto"/>
        <w:ind w:right="-153" w:rightChars="-73"/>
        <w:jc w:val="center"/>
        <w:rPr>
          <w:rFonts w:ascii="黑体" w:hAnsi="宋体" w:eastAsia="黑体"/>
          <w:b/>
          <w:bCs/>
          <w:color w:val="FF0000"/>
          <w:sz w:val="32"/>
        </w:rPr>
      </w:pPr>
    </w:p>
    <w:p>
      <w:pPr>
        <w:spacing w:line="360" w:lineRule="auto"/>
        <w:ind w:right="-153" w:rightChars="-73"/>
        <w:jc w:val="center"/>
        <w:rPr>
          <w:rFonts w:ascii="黑体" w:hAnsi="宋体" w:eastAsia="黑体"/>
          <w:b/>
          <w:bCs/>
          <w:color w:val="FF0000"/>
          <w:sz w:val="32"/>
        </w:rPr>
      </w:pPr>
      <w:r>
        <w:rPr>
          <w:rFonts w:hint="eastAsia" w:ascii="黑体" w:hAnsi="宋体" w:eastAsia="黑体"/>
          <w:b/>
          <w:bCs/>
          <w:color w:val="FF0000"/>
          <w:sz w:val="32"/>
        </w:rPr>
        <w:t>江苏吴中医药发展股份有限公司</w:t>
      </w:r>
    </w:p>
    <w:p>
      <w:pPr>
        <w:autoSpaceDE w:val="0"/>
        <w:autoSpaceDN w:val="0"/>
        <w:adjustRightInd w:val="0"/>
        <w:spacing w:line="360" w:lineRule="auto"/>
        <w:ind w:firstLine="643" w:firstLineChars="200"/>
        <w:jc w:val="center"/>
        <w:rPr>
          <w:rFonts w:ascii="黑体" w:hAnsi="宋体" w:eastAsia="黑体"/>
          <w:b/>
          <w:bCs/>
          <w:color w:val="FF0000"/>
          <w:sz w:val="32"/>
        </w:rPr>
      </w:pPr>
      <w:r>
        <w:rPr>
          <w:rFonts w:hint="eastAsia" w:ascii="黑体" w:hAnsi="宋体" w:eastAsia="黑体"/>
          <w:b/>
          <w:bCs/>
          <w:color w:val="FF0000"/>
          <w:sz w:val="32"/>
        </w:rPr>
        <w:t>关于第一期员工持股计划第一个锁定期届满暨解锁</w:t>
      </w:r>
    </w:p>
    <w:p>
      <w:pPr>
        <w:autoSpaceDE w:val="0"/>
        <w:autoSpaceDN w:val="0"/>
        <w:adjustRightInd w:val="0"/>
        <w:spacing w:line="360" w:lineRule="auto"/>
        <w:ind w:firstLine="643" w:firstLineChars="200"/>
        <w:jc w:val="center"/>
        <w:rPr>
          <w:rFonts w:hint="eastAsia" w:ascii="ˎ̥" w:hAnsi="ˎ̥"/>
          <w:b/>
          <w:sz w:val="24"/>
        </w:rPr>
      </w:pPr>
      <w:r>
        <w:rPr>
          <w:rFonts w:hint="eastAsia" w:ascii="黑体" w:hAnsi="宋体" w:eastAsia="黑体"/>
          <w:b/>
          <w:bCs/>
          <w:color w:val="FF0000"/>
          <w:sz w:val="32"/>
        </w:rPr>
        <w:t>条件成就的公告</w:t>
      </w:r>
    </w:p>
    <w:p>
      <w:pPr>
        <w:autoSpaceDE w:val="0"/>
        <w:autoSpaceDN w:val="0"/>
        <w:adjustRightInd w:val="0"/>
        <w:spacing w:line="360" w:lineRule="auto"/>
        <w:ind w:firstLine="482" w:firstLineChars="200"/>
        <w:rPr>
          <w:rFonts w:hint="eastAsia" w:ascii="ˎ̥" w:hAnsi="ˎ̥"/>
          <w:b/>
          <w:sz w:val="24"/>
        </w:rPr>
      </w:pPr>
    </w:p>
    <w:p>
      <w:pPr>
        <w:autoSpaceDE w:val="0"/>
        <w:autoSpaceDN w:val="0"/>
        <w:adjustRightInd w:val="0"/>
        <w:spacing w:line="360" w:lineRule="auto"/>
        <w:ind w:firstLine="482" w:firstLineChars="200"/>
        <w:rPr>
          <w:rFonts w:hint="eastAsia" w:ascii="ˎ̥" w:hAnsi="ˎ̥"/>
          <w:b/>
          <w:sz w:val="24"/>
        </w:rPr>
      </w:pPr>
      <w:r>
        <w:rPr>
          <w:rFonts w:hint="eastAsia" w:ascii="ˎ̥" w:hAnsi="ˎ̥"/>
          <w:b/>
          <w:sz w:val="24"/>
        </w:rPr>
        <w:t>本公司董事会及董事会全体成员保证公告内容不存在虚假记载、误导性陈述或者重大遗漏，并对其内容的真实、准确和完整承担法律责任。</w:t>
      </w:r>
    </w:p>
    <w:p>
      <w:pPr>
        <w:pStyle w:val="11"/>
        <w:spacing w:line="360" w:lineRule="auto"/>
      </w:pP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江苏吴中医药发展股份有限公司（以下简称“公司”）于2023年4月25日召开第十届董事会第七次会议、第十届监事会第七次会议，审议通过了《关于第一期员工持股计划第一个锁定期届满暨解锁条件成就的议案》，具体情况如下：</w:t>
      </w:r>
    </w:p>
    <w:p>
      <w:pPr>
        <w:spacing w:line="360" w:lineRule="auto"/>
        <w:ind w:firstLine="482" w:firstLineChars="200"/>
        <w:rPr>
          <w:rFonts w:asciiTheme="minorEastAsia" w:hAnsiTheme="minorEastAsia" w:eastAsiaTheme="minorEastAsia" w:cstheme="minorEastAsia"/>
          <w:sz w:val="24"/>
        </w:rPr>
      </w:pPr>
      <w:bookmarkStart w:id="0" w:name="_GoBack"/>
      <w:bookmarkEnd w:id="0"/>
      <w:r>
        <w:rPr>
          <w:rFonts w:hint="eastAsia" w:asciiTheme="minorEastAsia" w:hAnsiTheme="minorEastAsia" w:eastAsiaTheme="minorEastAsia" w:cstheme="minorEastAsia"/>
          <w:b/>
          <w:bCs/>
          <w:sz w:val="24"/>
        </w:rPr>
        <w:t>一、本员工持股计划的实施进展</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2021年12月16日，公司召开了第十届董事会2021年第四次临时会议（通讯表决），审议通过了《关于&lt;江苏吴中医药发展股份有限公司第一期员工持股计划（草案）&gt;及其摘要的议案》《关于&lt;江苏吴中医药发展股份有限公司第一期员工持股计划管理办法&gt;的议案》《关于提请股东大会授权董事会办理公司第一期员工持股计划有关事项的议案》等议案。公司独立董事发表了同意的独立意见。</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同日，公司召开第十届监事会2021年第三次临时会议（通讯表决），审议通过了《关于&lt;江苏吴中医药发展股份有限公司第一期员工持股计划（草案）&gt;及其摘要的议案》《关于&lt;江苏吴中医药发展股份有限公司第一期员工持股计划管理办法&gt;的议案》等议案，公司监事会对第一期员工持股计划（以下简称“本员工持股计划”或“本持股计划”）的相关事项进行核实并出具了相关核查意见。</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2022年1月5日，公司召开2022年第一次临时股东大会,审议通过了《关于&lt;江苏吴中医药发展股份有限公司第一期员工持股计划（草案）&gt;及其摘要的议案》《关于&lt;江苏吴中医药发展股份有限公司第一期员工持股计划管理办法&gt;的议案》《关于提请股东大会授权董事会办理公司第一期员工持股计划有关事项的议案》等议案。</w:t>
      </w:r>
    </w:p>
    <w:p>
      <w:pPr>
        <w:spacing w:line="360" w:lineRule="auto"/>
        <w:ind w:firstLine="480" w:firstLineChars="200"/>
        <w:rPr>
          <w:rFonts w:asciiTheme="minorEastAsia" w:hAnsiTheme="minorEastAsia" w:eastAsiaTheme="minorEastAsia" w:cstheme="minorEastAsia"/>
          <w:sz w:val="24"/>
        </w:rPr>
      </w:pPr>
      <w:r>
        <w:rPr>
          <w:rFonts w:asciiTheme="minorEastAsia" w:hAnsiTheme="minorEastAsia" w:eastAsiaTheme="minorEastAsia" w:cstheme="minorEastAsia"/>
          <w:sz w:val="24"/>
        </w:rPr>
        <w:t>3</w:t>
      </w:r>
      <w:r>
        <w:rPr>
          <w:rFonts w:hint="eastAsia" w:asciiTheme="minorEastAsia" w:hAnsiTheme="minorEastAsia" w:eastAsiaTheme="minorEastAsia" w:cstheme="minorEastAsia"/>
          <w:sz w:val="24"/>
        </w:rPr>
        <w:t>、2022年3月15日，公司收到中国证券登记结算有限责任公司出具的《过户登记确认书》，公司回购专用证券账户所持有的370.50万股已于2022年3月14日非交易过户至公司第一期员工持股计划账户，过户价格为3.68元/股。</w:t>
      </w:r>
    </w:p>
    <w:p>
      <w:pPr>
        <w:spacing w:line="360" w:lineRule="auto"/>
        <w:ind w:firstLine="480" w:firstLineChars="200"/>
        <w:rPr>
          <w:rFonts w:asciiTheme="minorEastAsia" w:hAnsiTheme="minorEastAsia" w:eastAsiaTheme="minorEastAsia" w:cstheme="minorEastAsia"/>
          <w:sz w:val="24"/>
        </w:rPr>
      </w:pPr>
      <w:r>
        <w:rPr>
          <w:rFonts w:asciiTheme="minorEastAsia" w:hAnsiTheme="minorEastAsia" w:eastAsiaTheme="minorEastAsia" w:cstheme="minorEastAsia"/>
          <w:sz w:val="24"/>
        </w:rPr>
        <w:t>4</w:t>
      </w:r>
      <w:r>
        <w:rPr>
          <w:rFonts w:hint="eastAsia" w:asciiTheme="minorEastAsia" w:hAnsiTheme="minorEastAsia" w:eastAsiaTheme="minorEastAsia" w:cstheme="minorEastAsia"/>
          <w:sz w:val="24"/>
        </w:rPr>
        <w:t>、2023年4月25日，公司召开第十届董事会第七次会议及第十届监事会第七次会议，审议通过《关于第一期员工持股计划第一个锁定期届满暨解锁条件成就的议案》，公司独立董事对此发表了同意的独立意见。</w:t>
      </w:r>
    </w:p>
    <w:p>
      <w:pPr>
        <w:spacing w:line="360" w:lineRule="auto"/>
        <w:ind w:firstLine="482" w:firstLineChars="200"/>
        <w:rPr>
          <w:rFonts w:asciiTheme="minorEastAsia" w:hAnsiTheme="minorEastAsia" w:eastAsiaTheme="minorEastAsia" w:cstheme="minorEastAsia"/>
          <w:b/>
          <w:bCs/>
          <w:sz w:val="24"/>
        </w:rPr>
      </w:pPr>
    </w:p>
    <w:p>
      <w:pPr>
        <w:spacing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二、本员工持股计划的锁定期</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1、本持股计划购买所获标的股票，自本持股计划草案经公司股东大会审议通过且公司公告最后一笔标的股票过户至本持股计划名下之日起12个月后，在满足相关条件的前提下，分三期解锁，具体如下：</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第一个解锁期：为自本持股计划草案经公司股东大会审议通过且公司公告最后一笔标的股票过户至本持股计划名下之日起的12个月后，解锁股份数量为本持股计划所持标的股票总数的40%。</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第二个解锁期：为自本持股计划草案经公司股东大会审议通过且公司公告最后一笔标的股票过户至本持股计划名下之日起的24个月后，解锁股份数量为本持股计划所持标的股票总数的30%。</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第三个解锁期：为自本持股计划草案经公司股东大会审议通过且公司公告最后一笔标的股票过户至本持股计划名下之日起的36个月后，解锁股份数量为本持股计划所持标的股票总数的30%。</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公司第一期员工持股计划第一个锁定期已于2023年3月13日届满。届满后，公司第一期员工持股计划管理委员会将根据本员工持股计划的安排、市场情况等综合因素决定是否出售公司股票。</w:t>
      </w:r>
    </w:p>
    <w:p>
      <w:pPr>
        <w:spacing w:line="360" w:lineRule="auto"/>
        <w:ind w:firstLine="480" w:firstLineChars="200"/>
        <w:rPr>
          <w:rFonts w:asciiTheme="minorEastAsia" w:hAnsiTheme="minorEastAsia" w:eastAsiaTheme="minorEastAsia" w:cstheme="minorEastAsia"/>
          <w:sz w:val="24"/>
        </w:rPr>
      </w:pPr>
    </w:p>
    <w:p>
      <w:pPr>
        <w:spacing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三、本员工持股计划部分份额解锁条件成就情况</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根据《江苏吴中医药发展股份有限公司第一期员工持股计划》和《江苏吴中医药发展股份有限公司第一期员工持股计划管理办法》的规定，本员工持股计划业绩考核指标分为公司层面的业绩考核指标与个人绩效考核指标。本员工持股计划第一个解锁期业绩考核指标成就说明如下：</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0"/>
        <w:gridCol w:w="2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0" w:type="dxa"/>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业绩考核目标</w:t>
            </w:r>
          </w:p>
        </w:tc>
        <w:tc>
          <w:tcPr>
            <w:tcW w:w="2902" w:type="dxa"/>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是否满足考核条件的说明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0"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公司需满足下列两个条件之一：</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1、以公司2021年营业收入为基数，2022年营业收入增长率不低于10%；</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2、以公司2021年净利润为基数，2022年净利润增长率不低于10%。</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注：</w:t>
            </w:r>
            <w:r>
              <w:rPr>
                <w:rFonts w:asciiTheme="minorEastAsia" w:hAnsiTheme="minorEastAsia" w:eastAsiaTheme="minorEastAsia" w:cstheme="minorEastAsia"/>
                <w:szCs w:val="21"/>
              </w:rPr>
              <w:t>1、上述“营业收入”指经审计的上市公司营业收入；</w:t>
            </w:r>
          </w:p>
          <w:p>
            <w:pPr>
              <w:rPr>
                <w:rFonts w:asciiTheme="minorEastAsia" w:hAnsiTheme="minorEastAsia" w:eastAsiaTheme="minorEastAsia" w:cstheme="minorEastAsia"/>
                <w:szCs w:val="21"/>
              </w:rPr>
            </w:pPr>
            <w:r>
              <w:rPr>
                <w:rFonts w:asciiTheme="minorEastAsia" w:hAnsiTheme="minorEastAsia" w:eastAsiaTheme="minorEastAsia" w:cstheme="minorEastAsia"/>
                <w:szCs w:val="21"/>
              </w:rPr>
              <w:t>2、上述“净利润”指经审计的归属于上市公司股东的净利润，但剔除本次及其</w:t>
            </w:r>
            <w:r>
              <w:rPr>
                <w:rFonts w:hint="eastAsia" w:asciiTheme="minorEastAsia" w:hAnsiTheme="minorEastAsia" w:eastAsiaTheme="minorEastAsia" w:cstheme="minorEastAsia"/>
                <w:szCs w:val="21"/>
              </w:rPr>
              <w:t>它员工持股计划和股权激励计划股份支付费用影响的数值作为计算依据。</w:t>
            </w:r>
          </w:p>
        </w:tc>
        <w:tc>
          <w:tcPr>
            <w:tcW w:w="2902"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根据中兴财光华会计师事务所（特殊普通合伙）出具的《公司2022年度审计报告》,公司业绩情况如下： 2022年度,公司营业收入为202,623.28万元，与2021年度营业收入177,545.07万元相比，增长率为14.12%，满足解除限售条件。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0"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持有人个人层面的考核根据公司内部绩效考核相关制度实施。公司将对持有人每个考核年度的综合考评进行打分，并依照持有人的个人绩效考核等级确定其解锁比例。具体如下表所示：：</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4"/>
              <w:gridCol w:w="998"/>
              <w:gridCol w:w="1086"/>
              <w:gridCol w:w="1129"/>
              <w:gridCol w:w="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27" w:type="pct"/>
                  <w:shd w:val="clear" w:color="auto" w:fill="F2F2F2"/>
                </w:tcPr>
                <w:p>
                  <w:pPr>
                    <w:jc w:val="center"/>
                    <w:rPr>
                      <w:b/>
                      <w:bCs/>
                      <w:szCs w:val="21"/>
                    </w:rPr>
                  </w:pPr>
                  <w:r>
                    <w:rPr>
                      <w:b/>
                      <w:bCs/>
                      <w:szCs w:val="21"/>
                    </w:rPr>
                    <w:t>等级</w:t>
                  </w:r>
                </w:p>
              </w:tc>
              <w:tc>
                <w:tcPr>
                  <w:tcW w:w="925" w:type="pct"/>
                  <w:shd w:val="clear" w:color="auto" w:fill="F2F2F2"/>
                </w:tcPr>
                <w:p>
                  <w:pPr>
                    <w:jc w:val="center"/>
                    <w:rPr>
                      <w:b/>
                      <w:bCs/>
                      <w:szCs w:val="21"/>
                    </w:rPr>
                  </w:pPr>
                  <w:r>
                    <w:rPr>
                      <w:b/>
                      <w:bCs/>
                      <w:szCs w:val="21"/>
                    </w:rPr>
                    <w:t>A</w:t>
                  </w:r>
                </w:p>
              </w:tc>
              <w:tc>
                <w:tcPr>
                  <w:tcW w:w="1006" w:type="pct"/>
                  <w:shd w:val="clear" w:color="auto" w:fill="F2F2F2"/>
                </w:tcPr>
                <w:p>
                  <w:pPr>
                    <w:jc w:val="center"/>
                    <w:rPr>
                      <w:b/>
                      <w:bCs/>
                      <w:szCs w:val="21"/>
                    </w:rPr>
                  </w:pPr>
                  <w:r>
                    <w:rPr>
                      <w:b/>
                      <w:bCs/>
                      <w:szCs w:val="21"/>
                    </w:rPr>
                    <w:t>B</w:t>
                  </w:r>
                </w:p>
              </w:tc>
              <w:tc>
                <w:tcPr>
                  <w:tcW w:w="1046" w:type="pct"/>
                  <w:shd w:val="clear" w:color="auto" w:fill="F2F2F2"/>
                </w:tcPr>
                <w:p>
                  <w:pPr>
                    <w:jc w:val="center"/>
                    <w:rPr>
                      <w:b/>
                      <w:bCs/>
                      <w:szCs w:val="21"/>
                    </w:rPr>
                  </w:pPr>
                  <w:r>
                    <w:rPr>
                      <w:b/>
                      <w:bCs/>
                      <w:szCs w:val="21"/>
                    </w:rPr>
                    <w:t>C</w:t>
                  </w:r>
                </w:p>
              </w:tc>
              <w:tc>
                <w:tcPr>
                  <w:tcW w:w="794" w:type="pct"/>
                  <w:shd w:val="clear" w:color="auto" w:fill="F2F2F2"/>
                </w:tcPr>
                <w:p>
                  <w:pPr>
                    <w:jc w:val="center"/>
                    <w:rPr>
                      <w:b/>
                      <w:bCs/>
                      <w:szCs w:val="21"/>
                    </w:rPr>
                  </w:pPr>
                  <w:r>
                    <w:rPr>
                      <w:b/>
                      <w:bCs/>
                      <w:szCs w:val="21"/>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pct"/>
                  <w:shd w:val="clear" w:color="auto" w:fill="auto"/>
                </w:tcPr>
                <w:p>
                  <w:pPr>
                    <w:jc w:val="center"/>
                    <w:rPr>
                      <w:b/>
                      <w:bCs/>
                      <w:szCs w:val="21"/>
                    </w:rPr>
                  </w:pPr>
                  <w:r>
                    <w:rPr>
                      <w:b/>
                      <w:bCs/>
                      <w:szCs w:val="21"/>
                    </w:rPr>
                    <w:t>分数（S）</w:t>
                  </w:r>
                </w:p>
              </w:tc>
              <w:tc>
                <w:tcPr>
                  <w:tcW w:w="925" w:type="pct"/>
                  <w:shd w:val="clear" w:color="auto" w:fill="auto"/>
                </w:tcPr>
                <w:p>
                  <w:pPr>
                    <w:jc w:val="center"/>
                    <w:rPr>
                      <w:szCs w:val="21"/>
                    </w:rPr>
                  </w:pPr>
                  <w:r>
                    <w:rPr>
                      <w:szCs w:val="21"/>
                    </w:rPr>
                    <w:t>S≥80</w:t>
                  </w:r>
                </w:p>
              </w:tc>
              <w:tc>
                <w:tcPr>
                  <w:tcW w:w="1006" w:type="pct"/>
                  <w:shd w:val="clear" w:color="auto" w:fill="auto"/>
                </w:tcPr>
                <w:p>
                  <w:pPr>
                    <w:jc w:val="center"/>
                    <w:rPr>
                      <w:szCs w:val="21"/>
                    </w:rPr>
                  </w:pPr>
                  <w:r>
                    <w:rPr>
                      <w:szCs w:val="21"/>
                    </w:rPr>
                    <w:t>70≤S＜80</w:t>
                  </w:r>
                </w:p>
              </w:tc>
              <w:tc>
                <w:tcPr>
                  <w:tcW w:w="1046" w:type="pct"/>
                  <w:shd w:val="clear" w:color="auto" w:fill="auto"/>
                </w:tcPr>
                <w:p>
                  <w:pPr>
                    <w:jc w:val="center"/>
                    <w:rPr>
                      <w:szCs w:val="21"/>
                    </w:rPr>
                  </w:pPr>
                  <w:r>
                    <w:rPr>
                      <w:szCs w:val="21"/>
                    </w:rPr>
                    <w:t>60≤S＜70</w:t>
                  </w:r>
                </w:p>
              </w:tc>
              <w:tc>
                <w:tcPr>
                  <w:tcW w:w="794" w:type="pct"/>
                  <w:shd w:val="clear" w:color="auto" w:fill="auto"/>
                </w:tcPr>
                <w:p>
                  <w:pPr>
                    <w:jc w:val="center"/>
                    <w:rPr>
                      <w:szCs w:val="21"/>
                    </w:rPr>
                  </w:pPr>
                  <w:r>
                    <w:rPr>
                      <w:szCs w:val="21"/>
                    </w:rPr>
                    <w:t>S＜60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pct"/>
                  <w:shd w:val="clear" w:color="auto" w:fill="auto"/>
                </w:tcPr>
                <w:p>
                  <w:pPr>
                    <w:jc w:val="center"/>
                    <w:rPr>
                      <w:b/>
                      <w:bCs/>
                      <w:szCs w:val="21"/>
                    </w:rPr>
                  </w:pPr>
                  <w:r>
                    <w:rPr>
                      <w:b/>
                      <w:bCs/>
                      <w:szCs w:val="21"/>
                    </w:rPr>
                    <w:t>个人解锁比例</w:t>
                  </w:r>
                </w:p>
              </w:tc>
              <w:tc>
                <w:tcPr>
                  <w:tcW w:w="925" w:type="pct"/>
                  <w:shd w:val="clear" w:color="auto" w:fill="auto"/>
                </w:tcPr>
                <w:p>
                  <w:pPr>
                    <w:jc w:val="center"/>
                    <w:rPr>
                      <w:szCs w:val="21"/>
                    </w:rPr>
                  </w:pPr>
                  <w:r>
                    <w:rPr>
                      <w:szCs w:val="21"/>
                    </w:rPr>
                    <w:t>100%</w:t>
                  </w:r>
                </w:p>
              </w:tc>
              <w:tc>
                <w:tcPr>
                  <w:tcW w:w="1006" w:type="pct"/>
                  <w:shd w:val="clear" w:color="auto" w:fill="auto"/>
                </w:tcPr>
                <w:p>
                  <w:pPr>
                    <w:jc w:val="center"/>
                    <w:rPr>
                      <w:szCs w:val="21"/>
                    </w:rPr>
                  </w:pPr>
                  <w:r>
                    <w:rPr>
                      <w:szCs w:val="21"/>
                    </w:rPr>
                    <w:t>80%</w:t>
                  </w:r>
                </w:p>
              </w:tc>
              <w:tc>
                <w:tcPr>
                  <w:tcW w:w="1046" w:type="pct"/>
                  <w:shd w:val="clear" w:color="auto" w:fill="auto"/>
                </w:tcPr>
                <w:p>
                  <w:pPr>
                    <w:jc w:val="center"/>
                    <w:rPr>
                      <w:szCs w:val="21"/>
                    </w:rPr>
                  </w:pPr>
                  <w:r>
                    <w:rPr>
                      <w:szCs w:val="21"/>
                    </w:rPr>
                    <w:t>60%</w:t>
                  </w:r>
                </w:p>
              </w:tc>
              <w:tc>
                <w:tcPr>
                  <w:tcW w:w="794" w:type="pct"/>
                  <w:shd w:val="clear" w:color="auto" w:fill="auto"/>
                </w:tcPr>
                <w:p>
                  <w:pPr>
                    <w:jc w:val="center"/>
                    <w:rPr>
                      <w:szCs w:val="21"/>
                    </w:rPr>
                  </w:pPr>
                  <w:r>
                    <w:rPr>
                      <w:szCs w:val="21"/>
                    </w:rPr>
                    <w:t>0%</w:t>
                  </w:r>
                </w:p>
              </w:tc>
            </w:tr>
          </w:tbl>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在达到公司层面业绩考核的前提下，持有人可按照本持股计划规定比例解锁对应的标的股票，持有人个人当年可解锁额度=个人当年计划解锁额度×个人解锁比例。</w:t>
            </w:r>
          </w:p>
        </w:tc>
        <w:tc>
          <w:tcPr>
            <w:tcW w:w="2902"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30名持有人个人考核等级为“A”，符合全额解锁条件。</w:t>
            </w:r>
          </w:p>
        </w:tc>
      </w:tr>
    </w:tbl>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综上所述，实际参与公司本次员工持股计划认购的持有人共计</w:t>
      </w:r>
      <w:r>
        <w:rPr>
          <w:rFonts w:asciiTheme="minorEastAsia" w:hAnsiTheme="minorEastAsia" w:eastAsiaTheme="minorEastAsia"/>
          <w:sz w:val="24"/>
        </w:rPr>
        <w:t>32</w:t>
      </w:r>
      <w:r>
        <w:rPr>
          <w:rFonts w:hint="eastAsia" w:asciiTheme="minorEastAsia" w:hAnsiTheme="minorEastAsia" w:eastAsiaTheme="minorEastAsia"/>
          <w:sz w:val="24"/>
        </w:rPr>
        <w:t>人，其中2名员工已离职，其余员工第一个解锁期的份额解锁条件已成就，符合解锁条件的持有人共30人，对应股票权益数量为</w:t>
      </w:r>
      <w:r>
        <w:rPr>
          <w:rFonts w:asciiTheme="minorEastAsia" w:hAnsiTheme="minorEastAsia" w:eastAsiaTheme="minorEastAsia"/>
          <w:sz w:val="24"/>
        </w:rPr>
        <w:t>131.32</w:t>
      </w:r>
      <w:r>
        <w:rPr>
          <w:rFonts w:hint="eastAsia" w:asciiTheme="minorEastAsia" w:hAnsiTheme="minorEastAsia" w:eastAsiaTheme="minorEastAsia"/>
          <w:sz w:val="24"/>
        </w:rPr>
        <w:t>万股。公司将按照本次员工持股计划的规定对本员工持股计划的部分份额进行卖出清算。</w:t>
      </w:r>
    </w:p>
    <w:p>
      <w:pPr>
        <w:spacing w:line="360" w:lineRule="auto"/>
        <w:ind w:firstLine="540"/>
        <w:rPr>
          <w:rFonts w:asciiTheme="minorEastAsia" w:hAnsiTheme="minorEastAsia" w:eastAsiaTheme="minorEastAsia"/>
          <w:sz w:val="24"/>
        </w:rPr>
      </w:pPr>
    </w:p>
    <w:p>
      <w:pPr>
        <w:spacing w:line="360" w:lineRule="auto"/>
        <w:ind w:firstLine="540"/>
        <w:rPr>
          <w:rFonts w:asciiTheme="minorEastAsia" w:hAnsiTheme="minorEastAsia" w:eastAsiaTheme="minorEastAsia"/>
          <w:b/>
          <w:bCs/>
          <w:sz w:val="24"/>
        </w:rPr>
      </w:pPr>
      <w:r>
        <w:rPr>
          <w:rFonts w:hint="eastAsia" w:asciiTheme="minorEastAsia" w:hAnsiTheme="minorEastAsia" w:eastAsiaTheme="minorEastAsia"/>
          <w:b/>
          <w:bCs/>
          <w:sz w:val="24"/>
        </w:rPr>
        <w:t>四、独立董事意见</w:t>
      </w:r>
    </w:p>
    <w:p>
      <w:pPr>
        <w:spacing w:line="360" w:lineRule="auto"/>
        <w:ind w:firstLine="540"/>
        <w:rPr>
          <w:rFonts w:asciiTheme="minorEastAsia" w:hAnsiTheme="minorEastAsia" w:eastAsiaTheme="minorEastAsia"/>
          <w:sz w:val="24"/>
        </w:rPr>
      </w:pPr>
      <w:r>
        <w:rPr>
          <w:rFonts w:hint="eastAsia" w:asciiTheme="minorEastAsia" w:hAnsiTheme="minorEastAsia" w:eastAsiaTheme="minorEastAsia"/>
          <w:sz w:val="24"/>
        </w:rPr>
        <w:t>独立董事认为：经核查，公司第一期员工持股计划第一个锁定期已届满且部分员工的份额解锁条件已成就，符合《关于上市公司实施员工持股计划试点的指导意见》等法律法规及《江苏吴中医药发展股份有限公司第一期员工持股计划》和《江苏吴中医药发展股份有限公司第一期员工持股计划管理办法》的相关规定。本次员工持股计划的解锁未侵犯公司及全体股东尤其是中小股东的利益。我们一致同意本次解锁条件成就事项。</w:t>
      </w:r>
    </w:p>
    <w:p>
      <w:pPr>
        <w:spacing w:line="360" w:lineRule="auto"/>
        <w:ind w:firstLine="540"/>
        <w:rPr>
          <w:rFonts w:asciiTheme="minorEastAsia" w:hAnsiTheme="minorEastAsia" w:eastAsiaTheme="minorEastAsia"/>
          <w:sz w:val="24"/>
        </w:rPr>
      </w:pPr>
    </w:p>
    <w:p>
      <w:pPr>
        <w:spacing w:line="360" w:lineRule="auto"/>
        <w:ind w:firstLine="540"/>
        <w:rPr>
          <w:rFonts w:asciiTheme="minorEastAsia" w:hAnsiTheme="minorEastAsia" w:eastAsiaTheme="minorEastAsia"/>
          <w:b/>
          <w:bCs/>
          <w:sz w:val="24"/>
        </w:rPr>
      </w:pPr>
      <w:r>
        <w:rPr>
          <w:rFonts w:hint="eastAsia" w:asciiTheme="minorEastAsia" w:hAnsiTheme="minorEastAsia" w:eastAsiaTheme="minorEastAsia"/>
          <w:b/>
          <w:bCs/>
          <w:sz w:val="24"/>
        </w:rPr>
        <w:t>五、监事会意见</w:t>
      </w:r>
    </w:p>
    <w:p>
      <w:pPr>
        <w:spacing w:line="360" w:lineRule="auto"/>
        <w:ind w:firstLine="540"/>
        <w:rPr>
          <w:rFonts w:asciiTheme="minorEastAsia" w:hAnsiTheme="minorEastAsia" w:eastAsiaTheme="minorEastAsia"/>
          <w:sz w:val="24"/>
        </w:rPr>
      </w:pPr>
      <w:r>
        <w:rPr>
          <w:rFonts w:hint="eastAsia" w:asciiTheme="minorEastAsia" w:hAnsiTheme="minorEastAsia" w:eastAsiaTheme="minorEastAsia"/>
          <w:sz w:val="24"/>
        </w:rPr>
        <w:t>监事会认为：公司第一期员工持股计划第一个锁定期已届满。依据《江苏吴中医药发展股份有限公司第一期员工持股计划》和《江苏吴中医药发展股份有限公司第一期员工持股计划管理办法》的相关规定，公司第一期员工持股计划第一个解锁期部分员工的份额解锁条件已成就，解锁程序合法、有效，不存在损害公司及全体股东利益的情形。因此，监事会同意《关于第一期员工持股计划第一个锁定期届满暨解锁条件成就的议案》。</w:t>
      </w:r>
    </w:p>
    <w:p>
      <w:pPr>
        <w:spacing w:line="360" w:lineRule="auto"/>
        <w:ind w:firstLine="540"/>
        <w:rPr>
          <w:rFonts w:asciiTheme="minorEastAsia" w:hAnsiTheme="minorEastAsia" w:eastAsiaTheme="minorEastAsia"/>
          <w:sz w:val="24"/>
        </w:rPr>
      </w:pPr>
    </w:p>
    <w:p>
      <w:pPr>
        <w:spacing w:line="360" w:lineRule="auto"/>
        <w:ind w:firstLine="540"/>
        <w:rPr>
          <w:rFonts w:asciiTheme="minorEastAsia" w:hAnsiTheme="minorEastAsia" w:eastAsiaTheme="minorEastAsia"/>
          <w:b/>
          <w:bCs/>
          <w:sz w:val="24"/>
        </w:rPr>
      </w:pPr>
      <w:r>
        <w:rPr>
          <w:rFonts w:hint="eastAsia" w:asciiTheme="minorEastAsia" w:hAnsiTheme="minorEastAsia" w:eastAsiaTheme="minorEastAsia"/>
          <w:b/>
          <w:bCs/>
          <w:sz w:val="24"/>
        </w:rPr>
        <w:t>六、本员工持股计划存续期满后所持股份的处置办法</w:t>
      </w:r>
    </w:p>
    <w:p>
      <w:pPr>
        <w:spacing w:line="360" w:lineRule="auto"/>
        <w:ind w:firstLine="540"/>
        <w:rPr>
          <w:rFonts w:asciiTheme="minorEastAsia" w:hAnsiTheme="minorEastAsia" w:eastAsiaTheme="minorEastAsia"/>
          <w:sz w:val="24"/>
        </w:rPr>
      </w:pPr>
      <w:r>
        <w:rPr>
          <w:rFonts w:hint="eastAsia" w:asciiTheme="minorEastAsia" w:hAnsiTheme="minorEastAsia" w:eastAsiaTheme="minorEastAsia"/>
          <w:sz w:val="24"/>
        </w:rPr>
        <w:t>（一）若本持股计划所持有的公司股票全部出售或过户至持股计划份额持有人，且持股计划资产依照本持股计划规定清算、分配完毕的，本持股计划即可终止。</w:t>
      </w:r>
    </w:p>
    <w:p>
      <w:pPr>
        <w:spacing w:line="360" w:lineRule="auto"/>
        <w:ind w:firstLine="540"/>
        <w:rPr>
          <w:rFonts w:asciiTheme="minorEastAsia" w:hAnsiTheme="minorEastAsia" w:eastAsiaTheme="minorEastAsia"/>
          <w:sz w:val="24"/>
        </w:rPr>
      </w:pPr>
      <w:r>
        <w:rPr>
          <w:rFonts w:hint="eastAsia" w:asciiTheme="minorEastAsia" w:hAnsiTheme="minorEastAsia" w:eastAsiaTheme="minorEastAsia"/>
          <w:sz w:val="24"/>
        </w:rPr>
        <w:t>（二）本持股计划的存续期届满前1个月，如持有的公司股票仍未全部出售或过户至持股计划份额持有人，经出席持有人会议的持有人所持2/3以上（含）份额同意并提交公司董事会审议通过，本持股计划的存续期可以延长。</w:t>
      </w:r>
    </w:p>
    <w:p>
      <w:pPr>
        <w:spacing w:line="360" w:lineRule="auto"/>
        <w:ind w:firstLine="540"/>
        <w:rPr>
          <w:rFonts w:asciiTheme="minorEastAsia" w:hAnsiTheme="minorEastAsia" w:eastAsiaTheme="minorEastAsia"/>
          <w:sz w:val="24"/>
        </w:rPr>
      </w:pPr>
      <w:r>
        <w:rPr>
          <w:rFonts w:hint="eastAsia" w:asciiTheme="minorEastAsia" w:hAnsiTheme="minorEastAsia" w:eastAsiaTheme="minorEastAsia"/>
          <w:sz w:val="24"/>
        </w:rPr>
        <w:t>（三）本持股计划提前终止或存续期满后，由管理委员会根据持有人会议的授权对持股计划资产进行清算，在终止或存续期届满后30个工作日内完成清算，并在依法扣除相关税费后，按照持有人所持份额进行分配。</w:t>
      </w:r>
    </w:p>
    <w:p>
      <w:pPr>
        <w:spacing w:line="360" w:lineRule="auto"/>
        <w:ind w:firstLine="540"/>
        <w:rPr>
          <w:rFonts w:asciiTheme="minorEastAsia" w:hAnsiTheme="minorEastAsia" w:eastAsiaTheme="minorEastAsia"/>
          <w:sz w:val="24"/>
        </w:rPr>
      </w:pPr>
      <w:r>
        <w:rPr>
          <w:rFonts w:hint="eastAsia" w:asciiTheme="minorEastAsia" w:hAnsiTheme="minorEastAsia" w:eastAsiaTheme="minorEastAsia"/>
          <w:sz w:val="24"/>
        </w:rPr>
        <w:t>（四）本持股计划存续期满后，若持股计划所持资产仍包含标的股票的，由管理委员会确定处置办法。</w:t>
      </w:r>
    </w:p>
    <w:p>
      <w:pPr>
        <w:spacing w:line="360" w:lineRule="auto"/>
        <w:ind w:firstLine="540"/>
        <w:rPr>
          <w:rFonts w:asciiTheme="minorEastAsia" w:hAnsiTheme="minorEastAsia" w:eastAsiaTheme="minorEastAsia"/>
          <w:sz w:val="24"/>
        </w:rPr>
      </w:pPr>
    </w:p>
    <w:p>
      <w:pPr>
        <w:spacing w:line="360" w:lineRule="auto"/>
        <w:ind w:firstLine="540"/>
        <w:rPr>
          <w:rFonts w:asciiTheme="minorEastAsia" w:hAnsiTheme="minorEastAsia" w:eastAsiaTheme="minorEastAsia"/>
          <w:b/>
          <w:bCs/>
          <w:sz w:val="24"/>
        </w:rPr>
      </w:pPr>
      <w:r>
        <w:rPr>
          <w:rFonts w:hint="eastAsia" w:asciiTheme="minorEastAsia" w:hAnsiTheme="minorEastAsia" w:eastAsiaTheme="minorEastAsia"/>
          <w:b/>
          <w:bCs/>
          <w:sz w:val="24"/>
        </w:rPr>
        <w:t>七、其他说明</w:t>
      </w:r>
    </w:p>
    <w:p>
      <w:pPr>
        <w:spacing w:line="360" w:lineRule="auto"/>
        <w:ind w:firstLine="540"/>
        <w:rPr>
          <w:rFonts w:asciiTheme="minorEastAsia" w:hAnsiTheme="minorEastAsia" w:eastAsiaTheme="minorEastAsia"/>
          <w:sz w:val="24"/>
        </w:rPr>
      </w:pPr>
      <w:r>
        <w:rPr>
          <w:rFonts w:hint="eastAsia" w:asciiTheme="minorEastAsia" w:hAnsiTheme="minorEastAsia" w:eastAsiaTheme="minorEastAsia"/>
          <w:sz w:val="24"/>
        </w:rPr>
        <w:t>公司将根据第一期员工持股计划实施的进展情况，按照相关法律法规的规定及时履行信息披露义务。</w:t>
      </w:r>
    </w:p>
    <w:p>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特此公告。</w:t>
      </w:r>
    </w:p>
    <w:p>
      <w:pPr>
        <w:widowControl/>
        <w:spacing w:line="360" w:lineRule="auto"/>
        <w:ind w:firstLine="480" w:firstLineChars="200"/>
        <w:jc w:val="left"/>
        <w:rPr>
          <w:rFonts w:cs="宋体" w:asciiTheme="minorEastAsia" w:hAnsiTheme="minorEastAsia" w:eastAsiaTheme="minorEastAsia"/>
          <w:kern w:val="0"/>
          <w:sz w:val="24"/>
        </w:rPr>
      </w:pPr>
    </w:p>
    <w:p>
      <w:pPr>
        <w:spacing w:line="360" w:lineRule="auto"/>
        <w:ind w:firstLine="4320" w:firstLineChars="1800"/>
        <w:jc w:val="right"/>
        <w:rPr>
          <w:rFonts w:asciiTheme="minorEastAsia" w:hAnsiTheme="minorEastAsia" w:eastAsiaTheme="minorEastAsia"/>
          <w:sz w:val="24"/>
        </w:rPr>
      </w:pPr>
      <w:r>
        <w:rPr>
          <w:rFonts w:hint="eastAsia" w:asciiTheme="minorEastAsia" w:hAnsiTheme="minorEastAsia" w:eastAsiaTheme="minorEastAsia"/>
          <w:sz w:val="24"/>
        </w:rPr>
        <w:t>江苏吴中医药发展股份有限公司</w:t>
      </w:r>
    </w:p>
    <w:p>
      <w:pPr>
        <w:spacing w:line="360" w:lineRule="auto"/>
        <w:ind w:right="1200" w:firstLine="4320" w:firstLineChars="1800"/>
        <w:jc w:val="right"/>
        <w:rPr>
          <w:rFonts w:asciiTheme="minorEastAsia" w:hAnsiTheme="minorEastAsia" w:eastAsiaTheme="minorEastAsia"/>
          <w:sz w:val="24"/>
        </w:rPr>
      </w:pPr>
      <w:r>
        <w:rPr>
          <w:rFonts w:hint="eastAsia" w:asciiTheme="minorEastAsia" w:hAnsiTheme="minorEastAsia" w:eastAsiaTheme="minorEastAsia"/>
          <w:sz w:val="24"/>
        </w:rPr>
        <w:t xml:space="preserve">董事会      </w:t>
      </w:r>
    </w:p>
    <w:p>
      <w:pPr>
        <w:spacing w:line="360" w:lineRule="auto"/>
        <w:ind w:right="480" w:firstLine="5220" w:firstLineChars="2175"/>
        <w:jc w:val="center"/>
        <w:rPr>
          <w:rFonts w:ascii="宋体" w:hAnsi="宋体"/>
          <w:sz w:val="24"/>
        </w:rPr>
      </w:pPr>
      <w:r>
        <w:rPr>
          <w:rFonts w:hint="eastAsia" w:asciiTheme="minorEastAsia" w:hAnsiTheme="minorEastAsia" w:eastAsiaTheme="minorEastAsia"/>
          <w:sz w:val="24"/>
        </w:rPr>
        <w:t xml:space="preserve">    2023年4月27日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iNjFmNzExYjIxOGZkYmIzZDZjMzU4MDM2MDNkODEifQ=="/>
  </w:docVars>
  <w:rsids>
    <w:rsidRoot w:val="00A45784"/>
    <w:rsid w:val="000122B5"/>
    <w:rsid w:val="00014D70"/>
    <w:rsid w:val="0003171D"/>
    <w:rsid w:val="000377FA"/>
    <w:rsid w:val="00086E94"/>
    <w:rsid w:val="00087AF0"/>
    <w:rsid w:val="000A47DF"/>
    <w:rsid w:val="000A4818"/>
    <w:rsid w:val="000B2840"/>
    <w:rsid w:val="000B471C"/>
    <w:rsid w:val="000C1EBF"/>
    <w:rsid w:val="000C334F"/>
    <w:rsid w:val="000D4DEB"/>
    <w:rsid w:val="000D5160"/>
    <w:rsid w:val="000F112E"/>
    <w:rsid w:val="00105C70"/>
    <w:rsid w:val="00115846"/>
    <w:rsid w:val="00115DE0"/>
    <w:rsid w:val="00125BB5"/>
    <w:rsid w:val="00125EB5"/>
    <w:rsid w:val="00141A30"/>
    <w:rsid w:val="0014235B"/>
    <w:rsid w:val="001449C0"/>
    <w:rsid w:val="00167B35"/>
    <w:rsid w:val="00172DDE"/>
    <w:rsid w:val="00184711"/>
    <w:rsid w:val="001A519A"/>
    <w:rsid w:val="001A6F91"/>
    <w:rsid w:val="001E24B1"/>
    <w:rsid w:val="001E7F03"/>
    <w:rsid w:val="00207C98"/>
    <w:rsid w:val="0021037C"/>
    <w:rsid w:val="00226381"/>
    <w:rsid w:val="00241269"/>
    <w:rsid w:val="002442A3"/>
    <w:rsid w:val="00244CA8"/>
    <w:rsid w:val="0025726D"/>
    <w:rsid w:val="0025795B"/>
    <w:rsid w:val="0027220C"/>
    <w:rsid w:val="002808AB"/>
    <w:rsid w:val="002818D2"/>
    <w:rsid w:val="00284B6B"/>
    <w:rsid w:val="00284BDA"/>
    <w:rsid w:val="002B7CCB"/>
    <w:rsid w:val="002D2369"/>
    <w:rsid w:val="002E17DB"/>
    <w:rsid w:val="002E3664"/>
    <w:rsid w:val="00324EB8"/>
    <w:rsid w:val="00340B27"/>
    <w:rsid w:val="00345027"/>
    <w:rsid w:val="0036359C"/>
    <w:rsid w:val="003870CC"/>
    <w:rsid w:val="003B5345"/>
    <w:rsid w:val="003D3FFF"/>
    <w:rsid w:val="003E355B"/>
    <w:rsid w:val="003E611D"/>
    <w:rsid w:val="004502F4"/>
    <w:rsid w:val="00452CF5"/>
    <w:rsid w:val="00463A87"/>
    <w:rsid w:val="00487F80"/>
    <w:rsid w:val="004A01A5"/>
    <w:rsid w:val="004A22D0"/>
    <w:rsid w:val="004D6CC0"/>
    <w:rsid w:val="004E363D"/>
    <w:rsid w:val="004F1F15"/>
    <w:rsid w:val="004F23D4"/>
    <w:rsid w:val="005111BC"/>
    <w:rsid w:val="00515F09"/>
    <w:rsid w:val="005433E7"/>
    <w:rsid w:val="005712CB"/>
    <w:rsid w:val="00577CBB"/>
    <w:rsid w:val="005A49B9"/>
    <w:rsid w:val="005B3AB2"/>
    <w:rsid w:val="005B4F18"/>
    <w:rsid w:val="005C3668"/>
    <w:rsid w:val="005E7D3F"/>
    <w:rsid w:val="005F7FC6"/>
    <w:rsid w:val="0060613D"/>
    <w:rsid w:val="00613790"/>
    <w:rsid w:val="00615D49"/>
    <w:rsid w:val="006412D7"/>
    <w:rsid w:val="00644FB5"/>
    <w:rsid w:val="00651F4C"/>
    <w:rsid w:val="00662769"/>
    <w:rsid w:val="00683AED"/>
    <w:rsid w:val="00695D72"/>
    <w:rsid w:val="006B197C"/>
    <w:rsid w:val="006B29CA"/>
    <w:rsid w:val="006B2B65"/>
    <w:rsid w:val="006C1077"/>
    <w:rsid w:val="006C5D79"/>
    <w:rsid w:val="006D09DF"/>
    <w:rsid w:val="006D33D8"/>
    <w:rsid w:val="006D7E73"/>
    <w:rsid w:val="006E36D5"/>
    <w:rsid w:val="006F165C"/>
    <w:rsid w:val="007014FC"/>
    <w:rsid w:val="00704271"/>
    <w:rsid w:val="0070577A"/>
    <w:rsid w:val="007134BF"/>
    <w:rsid w:val="00730D6E"/>
    <w:rsid w:val="007507C1"/>
    <w:rsid w:val="007734A6"/>
    <w:rsid w:val="007902F4"/>
    <w:rsid w:val="00794177"/>
    <w:rsid w:val="00802A0A"/>
    <w:rsid w:val="00803388"/>
    <w:rsid w:val="00813FAD"/>
    <w:rsid w:val="00817B01"/>
    <w:rsid w:val="00831ED0"/>
    <w:rsid w:val="0083330B"/>
    <w:rsid w:val="00855EF2"/>
    <w:rsid w:val="00866E04"/>
    <w:rsid w:val="00867EC2"/>
    <w:rsid w:val="00891BAD"/>
    <w:rsid w:val="00893296"/>
    <w:rsid w:val="008935D4"/>
    <w:rsid w:val="008B050D"/>
    <w:rsid w:val="008B282E"/>
    <w:rsid w:val="008C473B"/>
    <w:rsid w:val="008E182A"/>
    <w:rsid w:val="008E57CC"/>
    <w:rsid w:val="008F6AB5"/>
    <w:rsid w:val="0090509B"/>
    <w:rsid w:val="00907D4E"/>
    <w:rsid w:val="00933FA5"/>
    <w:rsid w:val="00955A3F"/>
    <w:rsid w:val="00961C50"/>
    <w:rsid w:val="009626AA"/>
    <w:rsid w:val="00965CA7"/>
    <w:rsid w:val="00990D42"/>
    <w:rsid w:val="009E123A"/>
    <w:rsid w:val="009E210A"/>
    <w:rsid w:val="009F2B75"/>
    <w:rsid w:val="00A267F9"/>
    <w:rsid w:val="00A45784"/>
    <w:rsid w:val="00A47C97"/>
    <w:rsid w:val="00A57867"/>
    <w:rsid w:val="00A61011"/>
    <w:rsid w:val="00A66838"/>
    <w:rsid w:val="00A803BB"/>
    <w:rsid w:val="00A84782"/>
    <w:rsid w:val="00A86141"/>
    <w:rsid w:val="00AA10D4"/>
    <w:rsid w:val="00AA5774"/>
    <w:rsid w:val="00AB6F9F"/>
    <w:rsid w:val="00AC7ABF"/>
    <w:rsid w:val="00AD0DA5"/>
    <w:rsid w:val="00B0355E"/>
    <w:rsid w:val="00B07E79"/>
    <w:rsid w:val="00B31A8D"/>
    <w:rsid w:val="00B37E5C"/>
    <w:rsid w:val="00B47F4C"/>
    <w:rsid w:val="00B562A7"/>
    <w:rsid w:val="00B825D8"/>
    <w:rsid w:val="00B93CE6"/>
    <w:rsid w:val="00B959E7"/>
    <w:rsid w:val="00BB065F"/>
    <w:rsid w:val="00BB5F62"/>
    <w:rsid w:val="00BF2501"/>
    <w:rsid w:val="00BF68F7"/>
    <w:rsid w:val="00C1430A"/>
    <w:rsid w:val="00C14435"/>
    <w:rsid w:val="00C35333"/>
    <w:rsid w:val="00C4428C"/>
    <w:rsid w:val="00C9411D"/>
    <w:rsid w:val="00C948D1"/>
    <w:rsid w:val="00CA24CA"/>
    <w:rsid w:val="00CC65AD"/>
    <w:rsid w:val="00CD5891"/>
    <w:rsid w:val="00CD6EAB"/>
    <w:rsid w:val="00CE1F4F"/>
    <w:rsid w:val="00CF40EA"/>
    <w:rsid w:val="00D04CBB"/>
    <w:rsid w:val="00D21B8D"/>
    <w:rsid w:val="00D26D15"/>
    <w:rsid w:val="00D37C75"/>
    <w:rsid w:val="00D45281"/>
    <w:rsid w:val="00D45300"/>
    <w:rsid w:val="00D53DC4"/>
    <w:rsid w:val="00D773FE"/>
    <w:rsid w:val="00D90214"/>
    <w:rsid w:val="00D90BC6"/>
    <w:rsid w:val="00DB50BC"/>
    <w:rsid w:val="00E003D0"/>
    <w:rsid w:val="00E025CD"/>
    <w:rsid w:val="00E05034"/>
    <w:rsid w:val="00E05DAC"/>
    <w:rsid w:val="00E13E1C"/>
    <w:rsid w:val="00E220DE"/>
    <w:rsid w:val="00E40DCB"/>
    <w:rsid w:val="00E73DAA"/>
    <w:rsid w:val="00E74755"/>
    <w:rsid w:val="00E9529E"/>
    <w:rsid w:val="00E96688"/>
    <w:rsid w:val="00E96761"/>
    <w:rsid w:val="00EA6444"/>
    <w:rsid w:val="00EB7FBA"/>
    <w:rsid w:val="00EF6E03"/>
    <w:rsid w:val="00F032CF"/>
    <w:rsid w:val="00F03FA2"/>
    <w:rsid w:val="00F07EAF"/>
    <w:rsid w:val="00F12BEE"/>
    <w:rsid w:val="00F13AFE"/>
    <w:rsid w:val="00F551C7"/>
    <w:rsid w:val="00F5739B"/>
    <w:rsid w:val="00F632C3"/>
    <w:rsid w:val="00F86A04"/>
    <w:rsid w:val="00F91D7D"/>
    <w:rsid w:val="00FA2B97"/>
    <w:rsid w:val="00FA381C"/>
    <w:rsid w:val="00FA5496"/>
    <w:rsid w:val="00FC08A7"/>
    <w:rsid w:val="00FD5CB7"/>
    <w:rsid w:val="00FE5ACA"/>
    <w:rsid w:val="00FF1000"/>
    <w:rsid w:val="00FF51D5"/>
    <w:rsid w:val="05D6496E"/>
    <w:rsid w:val="064415F4"/>
    <w:rsid w:val="077C1812"/>
    <w:rsid w:val="09537971"/>
    <w:rsid w:val="0C300E1D"/>
    <w:rsid w:val="14592CC2"/>
    <w:rsid w:val="15284EB3"/>
    <w:rsid w:val="18F55681"/>
    <w:rsid w:val="243F38C6"/>
    <w:rsid w:val="247D7B99"/>
    <w:rsid w:val="2A980C0D"/>
    <w:rsid w:val="2FEB0531"/>
    <w:rsid w:val="3509498C"/>
    <w:rsid w:val="368E7B14"/>
    <w:rsid w:val="3AD9074E"/>
    <w:rsid w:val="41F63994"/>
    <w:rsid w:val="45F4493C"/>
    <w:rsid w:val="46FD1503"/>
    <w:rsid w:val="4ACE3700"/>
    <w:rsid w:val="535A355B"/>
    <w:rsid w:val="58E803E0"/>
    <w:rsid w:val="59B9557B"/>
    <w:rsid w:val="5A2C21F1"/>
    <w:rsid w:val="5B70610D"/>
    <w:rsid w:val="619F78E4"/>
    <w:rsid w:val="61BC60E8"/>
    <w:rsid w:val="625413F1"/>
    <w:rsid w:val="67277FC8"/>
    <w:rsid w:val="6CFA1CDB"/>
    <w:rsid w:val="72F571CC"/>
    <w:rsid w:val="7D812C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8"/>
    <w:semiHidden/>
    <w:unhideWhenUsed/>
    <w:qFormat/>
    <w:uiPriority w:val="99"/>
    <w:rPr>
      <w:b/>
      <w:bCs/>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paragraph" w:customStyle="1" w:styleId="1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2">
    <w:name w:val="页眉 Char"/>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paragraph" w:styleId="15">
    <w:name w:val="List Paragraph"/>
    <w:basedOn w:val="1"/>
    <w:qFormat/>
    <w:uiPriority w:val="1"/>
    <w:pPr>
      <w:ind w:left="220" w:firstLine="599"/>
    </w:pPr>
    <w:rPr>
      <w:rFonts w:ascii="宋体" w:hAnsi="宋体" w:cs="宋体"/>
      <w:lang w:val="zh-CN" w:bidi="zh-CN"/>
    </w:rPr>
  </w:style>
  <w:style w:type="table" w:customStyle="1" w:styleId="16">
    <w:name w:val="网格型1"/>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批注文字 Char"/>
    <w:basedOn w:val="9"/>
    <w:link w:val="2"/>
    <w:semiHidden/>
    <w:qFormat/>
    <w:uiPriority w:val="99"/>
    <w:rPr>
      <w:kern w:val="2"/>
      <w:sz w:val="21"/>
      <w:szCs w:val="24"/>
    </w:rPr>
  </w:style>
  <w:style w:type="character" w:customStyle="1" w:styleId="18">
    <w:name w:val="批注主题 Char"/>
    <w:basedOn w:val="17"/>
    <w:link w:val="6"/>
    <w:semiHidden/>
    <w:qFormat/>
    <w:uiPriority w:val="99"/>
    <w:rPr>
      <w:b/>
      <w:bCs/>
      <w:kern w:val="2"/>
      <w:sz w:val="21"/>
      <w:szCs w:val="24"/>
    </w:rPr>
  </w:style>
  <w:style w:type="paragraph" w:customStyle="1" w:styleId="19">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2896</Words>
  <Characters>3046</Characters>
  <Lines>22</Lines>
  <Paragraphs>6</Paragraphs>
  <TotalTime>30</TotalTime>
  <ScaleCrop>false</ScaleCrop>
  <LinksUpToDate>false</LinksUpToDate>
  <CharactersWithSpaces>3073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2023-04-21T09:35:00Z</dcterms:created>
  <dc:creator>李锐</dc:creator>
  <cp:lastModifiedBy>王雅杰</cp:lastModifiedBy>
  <dcterms:modified xsi:type="dcterms:W3CDTF">2023-04-26T06:03:30Z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9B0EE80910A547FCB9161BB39683E911_12</vt:lpwstr>
  </property>
</Properties>
</file>