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153" w:rightChars="-73"/>
        <w:jc w:val="center"/>
        <w:rPr>
          <w:rFonts w:hint="default" w:ascii="黑体" w:hAnsi="宋体" w:eastAsia="宋体"/>
          <w:b/>
          <w:bCs/>
          <w:color w:val="FF0000"/>
          <w:sz w:val="32"/>
          <w:highlight w:val="none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highlight w:val="none"/>
        </w:rPr>
        <w:t xml:space="preserve">证券代码：600200      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4"/>
          <w:highlight w:val="none"/>
        </w:rPr>
        <w:t xml:space="preserve">   证券简称：江苏吴中      公告编号：临202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4"/>
          <w:highlight w:val="none"/>
        </w:rPr>
        <w:t>-</w:t>
      </w:r>
      <w:r>
        <w:rPr>
          <w:rFonts w:hint="eastAsia" w:ascii="宋体" w:hAnsi="宋体" w:cs="宋体"/>
          <w:color w:val="000000"/>
          <w:kern w:val="0"/>
          <w:sz w:val="24"/>
          <w:highlight w:val="none"/>
          <w:lang w:val="en-US" w:eastAsia="zh-CN"/>
        </w:rPr>
        <w:t>039</w:t>
      </w:r>
    </w:p>
    <w:p>
      <w:pPr>
        <w:spacing w:line="360" w:lineRule="auto"/>
        <w:ind w:right="-153" w:rightChars="-73"/>
        <w:jc w:val="center"/>
        <w:rPr>
          <w:rFonts w:ascii="黑体" w:hAnsi="宋体" w:eastAsia="黑体"/>
          <w:b/>
          <w:bCs/>
          <w:color w:val="FF0000"/>
          <w:sz w:val="32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ind w:firstLine="643" w:firstLineChars="200"/>
        <w:jc w:val="center"/>
        <w:rPr>
          <w:rFonts w:hint="eastAsia" w:ascii="黑体" w:hAnsi="宋体" w:eastAsia="黑体"/>
          <w:b/>
          <w:bCs/>
          <w:color w:val="FF0000"/>
          <w:sz w:val="32"/>
          <w:szCs w:val="24"/>
          <w:highlight w:val="none"/>
        </w:rPr>
      </w:pPr>
      <w:r>
        <w:rPr>
          <w:rFonts w:hint="eastAsia" w:ascii="黑体" w:hAnsi="宋体" w:eastAsia="黑体"/>
          <w:b/>
          <w:bCs/>
          <w:color w:val="FF0000"/>
          <w:sz w:val="32"/>
          <w:szCs w:val="24"/>
          <w:highlight w:val="none"/>
        </w:rPr>
        <w:t>江苏吴中医药发展股份有限公司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黑体" w:hAnsi="宋体" w:eastAsia="黑体"/>
          <w:b/>
          <w:bCs/>
          <w:color w:val="FF0000"/>
          <w:sz w:val="32"/>
          <w:szCs w:val="24"/>
          <w:highlight w:val="none"/>
        </w:rPr>
      </w:pPr>
      <w:r>
        <w:rPr>
          <w:rFonts w:hint="eastAsia" w:ascii="黑体" w:hAnsi="宋体" w:eastAsia="黑体"/>
          <w:b/>
          <w:bCs/>
          <w:color w:val="FF0000"/>
          <w:sz w:val="32"/>
          <w:szCs w:val="24"/>
          <w:highlight w:val="none"/>
        </w:rPr>
        <w:t>关于参加沪市主板生物医药行业上市公司2022年年报集体业绩说明会暨2023年第一季度业绩说明会的公告</w:t>
      </w:r>
    </w:p>
    <w:p>
      <w:pPr>
        <w:autoSpaceDE w:val="0"/>
        <w:autoSpaceDN w:val="0"/>
        <w:adjustRightInd w:val="0"/>
        <w:spacing w:line="360" w:lineRule="auto"/>
        <w:ind w:firstLine="723" w:firstLineChars="200"/>
        <w:rPr>
          <w:rFonts w:hint="eastAsia" w:ascii="黑体" w:hAnsi="宋体" w:eastAsia="黑体"/>
          <w:b/>
          <w:bCs/>
          <w:color w:val="FF0000"/>
          <w:sz w:val="36"/>
          <w:szCs w:val="28"/>
          <w:highlight w:val="none"/>
        </w:rPr>
      </w:pPr>
    </w:p>
    <w:p>
      <w:pPr>
        <w:autoSpaceDE w:val="0"/>
        <w:autoSpaceDN w:val="0"/>
        <w:adjustRightInd w:val="0"/>
        <w:spacing w:line="360" w:lineRule="auto"/>
        <w:ind w:firstLine="482" w:firstLineChars="200"/>
        <w:rPr>
          <w:rFonts w:hint="eastAsia" w:ascii="ˎ̥" w:hAnsi="ˎ̥"/>
          <w:b/>
          <w:sz w:val="24"/>
          <w:highlight w:val="none"/>
        </w:rPr>
      </w:pPr>
      <w:r>
        <w:rPr>
          <w:rFonts w:hint="eastAsia" w:ascii="ˎ̥" w:hAnsi="ˎ̥"/>
          <w:b/>
          <w:sz w:val="24"/>
          <w:highlight w:val="none"/>
        </w:rPr>
        <w:t>本公司董事会及董事会全体成员保证公告内容不存在虚假记载、误导性陈述或者重大遗漏，并对其内容的真实、准确和完整承担</w:t>
      </w:r>
      <w:r>
        <w:rPr>
          <w:rFonts w:hint="eastAsia" w:ascii="ˎ̥" w:hAnsi="ˎ̥"/>
          <w:b/>
          <w:sz w:val="24"/>
          <w:highlight w:val="none"/>
          <w:lang w:val="en-US" w:eastAsia="zh-CN"/>
        </w:rPr>
        <w:t>法律</w:t>
      </w:r>
      <w:r>
        <w:rPr>
          <w:rFonts w:hint="eastAsia" w:ascii="ˎ̥" w:hAnsi="ˎ̥"/>
          <w:b/>
          <w:sz w:val="24"/>
          <w:highlight w:val="none"/>
        </w:rPr>
        <w:t>责任。</w:t>
      </w:r>
    </w:p>
    <w:p>
      <w:pPr>
        <w:spacing w:line="360" w:lineRule="auto"/>
        <w:rPr>
          <w:rFonts w:ascii="宋体" w:cs="宋体"/>
          <w:color w:val="000000"/>
          <w:kern w:val="0"/>
          <w:sz w:val="24"/>
          <w:highlight w:val="none"/>
        </w:rPr>
      </w:pPr>
    </w:p>
    <w:p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重要内容提示：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会议召开时间：202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星期五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: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0-1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: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0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会议召开地点：上海证券交易所上证路演中心（网址：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  <w:highlight w:val="none"/>
        </w:rPr>
        <w:instrText xml:space="preserve"> HYPERLINK "http://roadshow.sseinfo.com/）" </w:instrText>
      </w:r>
      <w:r>
        <w:rPr>
          <w:rFonts w:hint="eastAsia" w:ascii="宋体" w:hAnsi="宋体" w:eastAsia="宋体" w:cs="宋体"/>
          <w:sz w:val="24"/>
          <w:szCs w:val="24"/>
          <w:highlight w:val="none"/>
        </w:rPr>
        <w:fldChar w:fldCharType="separate"/>
      </w:r>
      <w:r>
        <w:rPr>
          <w:rStyle w:val="7"/>
          <w:rFonts w:hint="eastAsia" w:ascii="宋体" w:hAnsi="宋体" w:eastAsia="宋体" w:cs="宋体"/>
          <w:sz w:val="24"/>
          <w:szCs w:val="24"/>
          <w:highlight w:val="none"/>
        </w:rPr>
        <w:t>http://roadshow.sseinfo.com/）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fldChar w:fldCharType="end"/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会议主题：沪市主板生物医药行业上市公司集</w:t>
      </w:r>
      <w:r>
        <w:rPr>
          <w:rFonts w:hint="eastAsia" w:ascii="宋体" w:hAnsi="宋体" w:eastAsia="宋体" w:cs="宋体"/>
          <w:sz w:val="24"/>
          <w:szCs w:val="24"/>
        </w:rPr>
        <w:t>体业绩说明会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firstLine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会议召开方式：上证路演中心网络互动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420" w:firstLine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投资者可于2023年05月05日（星期五）至05月11日（星期四）16:00前登录上证路演中心网站首页点击“提问预征集”栏目或通过公司邮箱lirui@600200.com进行提问。公司将在说明会上对投资者普遍关注的问题进行回答。</w:t>
      </w: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江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苏吴中医药发展股份有限公司（以下简称“公司”）于202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年4月27日披露了公司2022年度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报告及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2023年第一季度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报告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，为便于广大投资者更全面深入地了解公司2022年度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及2023年一季度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经营成果、财务状况，同时更加充分地向投资者展示生物医药行业发展情况，公司计划于202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下午15:00-16:00参加沪市主板生物医药行业上市公司2022年年报集体业绩说明会，就投资者关心的问题进行交流。</w:t>
      </w:r>
    </w:p>
    <w:p>
      <w:pPr>
        <w:spacing w:before="312" w:beforeLines="100" w:after="0" w:line="360" w:lineRule="auto"/>
        <w:ind w:firstLine="482" w:firstLineChars="200"/>
        <w:rPr>
          <w:rFonts w:hint="eastAsia" w:ascii="宋体" w:hAnsi="宋体" w:eastAsia="宋体" w:cs="宋体"/>
          <w:b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一、说明会类型</w:t>
      </w:r>
    </w:p>
    <w:p>
      <w:pPr>
        <w:spacing w:before="156" w:beforeLines="50" w:after="0" w:line="360" w:lineRule="auto"/>
        <w:ind w:firstLine="480" w:firstLineChars="200"/>
        <w:jc w:val="both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本次投资者说明会</w:t>
      </w:r>
      <w:r>
        <w:rPr>
          <w:rFonts w:hint="eastAsia" w:ascii="Times New Roman" w:hAnsi="Times New Roman" w:cs="Times New Roman"/>
          <w:color w:val="000000"/>
          <w:sz w:val="24"/>
        </w:rPr>
        <w:t>以</w:t>
      </w:r>
      <w:r>
        <w:rPr>
          <w:rFonts w:hint="eastAsia" w:ascii="宋体" w:hAnsi="宋体"/>
          <w:sz w:val="24"/>
          <w:szCs w:val="24"/>
        </w:rPr>
        <w:t>网络</w:t>
      </w:r>
      <w:r>
        <w:rPr>
          <w:rFonts w:hint="eastAsia" w:ascii="宋体" w:hAnsi="宋体"/>
          <w:sz w:val="24"/>
          <w:szCs w:val="24"/>
          <w:lang w:val="en-US" w:eastAsia="zh-CN"/>
        </w:rPr>
        <w:t>文字</w:t>
      </w:r>
      <w:r>
        <w:rPr>
          <w:rFonts w:hint="eastAsia" w:ascii="宋体" w:hAnsi="宋体"/>
          <w:sz w:val="24"/>
          <w:szCs w:val="24"/>
        </w:rPr>
        <w:t>互动</w:t>
      </w:r>
      <w:r>
        <w:rPr>
          <w:rFonts w:hint="eastAsia" w:ascii="宋体" w:hAnsi="宋体"/>
          <w:sz w:val="24"/>
          <w:szCs w:val="24"/>
          <w:lang w:val="en-US" w:eastAsia="zh-CN"/>
        </w:rPr>
        <w:t>形式</w:t>
      </w:r>
      <w:r>
        <w:rPr>
          <w:rFonts w:hint="eastAsia" w:ascii="Times New Roman" w:hAnsi="Times New Roman" w:cs="Times New Roman"/>
          <w:color w:val="000000"/>
          <w:sz w:val="24"/>
        </w:rPr>
        <w:t>召开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，行业分析师将就生物医药行业情况进行深入解析，公司将针对2022年度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及2023年一季度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经营成果及财务指标的具体情况与投资者进行互动交流和沟通，在信息披露允许的范围内就投资者普遍关注的问题进行回答。</w:t>
      </w: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二、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说明会召开的时间、地点及活动日程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（一）会议召开时间：202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</w:rPr>
        <w:t>日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星期五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0-1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: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（二）会议召开地点：上海证券交易所上证路演中心（网址：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"http://roadshow.sseinfo.com/"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sz w:val="24"/>
          <w:szCs w:val="24"/>
        </w:rPr>
        <w:t>http://roadshow.sseinfo.com/</w:t>
      </w:r>
      <w:r>
        <w:rPr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sz w:val="24"/>
          <w:szCs w:val="24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（三）召开方式：上证路演中心网络互动</w:t>
      </w: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三、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highlight w:val="none"/>
        </w:rPr>
        <w:t>参加人员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公司董事长兼首席执行官钱群山先生、财务总监孙曦先生、董事会秘书顾铁军先生、独立董事沈一开先生（如有特殊情况，参会人员可能进行调整）。</w:t>
      </w: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四、投资者参加方式</w:t>
      </w:r>
    </w:p>
    <w:p>
      <w:pPr>
        <w:spacing w:after="0" w:line="360" w:lineRule="auto"/>
        <w:ind w:firstLine="480" w:firstLineChars="200"/>
        <w:jc w:val="both"/>
        <w:rPr>
          <w:rFonts w:hint="eastAsia" w:ascii="宋体" w:hAnsi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（一）投资者可在202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星期五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: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-1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: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0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，通过互联网登录沪市主板生物医药行业上市公司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2022年度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集体业绩说明会页面（http://roadshow.sseinfo.com/roadshowDisplay.do?tag=biomed），在线参与本次业绩说明会，公司将及时回答投资者的提问。</w:t>
      </w:r>
    </w:p>
    <w:p>
      <w:pPr>
        <w:spacing w:after="0"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投资者可于2023年05月05日（星期五）至05月11日（星期四）16:00前登录上证路演中心网站首页，点击“提问预征集”栏目（http://roadshow.sseinfo.com/questionCollection.do）向公司提问；或通过公司邮箱lirui@600200.com向公司提问，公司将在说明会上对投资者普遍关注的问题进行回答。</w:t>
      </w:r>
    </w:p>
    <w:p>
      <w:pPr>
        <w:spacing w:after="0"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生物医药行业专场页面二维码如下：</w:t>
      </w:r>
    </w:p>
    <w:p>
      <w:pPr>
        <w:spacing w:after="0"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eastAsia="zh-CN"/>
        </w:rPr>
        <w:drawing>
          <wp:inline distT="0" distB="0" distL="114300" distR="114300">
            <wp:extent cx="1876425" cy="1876425"/>
            <wp:effectExtent l="0" t="0" r="9525" b="9525"/>
            <wp:docPr id="1" name="图片 1" descr="4ff26d9118732dfd909c743ca380a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ff26d9118732dfd909c743ca380a4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2" w:firstLineChars="200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五、联系人及咨询办法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部门：董事会办公室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联系电话：0512-65686153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电子邮箱：lirui@600200.com</w:t>
      </w:r>
    </w:p>
    <w:p>
      <w:pPr>
        <w:spacing w:line="360" w:lineRule="auto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b/>
          <w:sz w:val="24"/>
          <w:szCs w:val="24"/>
        </w:rPr>
        <w:t xml:space="preserve">  六、其他事项</w:t>
      </w:r>
    </w:p>
    <w:p>
      <w:pPr>
        <w:spacing w:before="156" w:beforeLines="50" w:after="0" w:line="360" w:lineRule="auto"/>
        <w:ind w:firstLine="480" w:firstLineChars="200"/>
        <w:jc w:val="both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本次投资者说明会召开后，投资者可以通过上证路演中心（</w:t>
      </w:r>
      <w:r>
        <w:rPr>
          <w:rFonts w:hint="eastAsia" w:ascii="宋体" w:hAnsi="宋体" w:eastAsia="宋体" w:cs="宋体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sz w:val="24"/>
          <w:szCs w:val="24"/>
        </w:rPr>
        <w:instrText xml:space="preserve"> HYPERLINK "http://roadshow.sseinfo.com/" </w:instrText>
      </w:r>
      <w:r>
        <w:rPr>
          <w:rFonts w:hint="eastAsia" w:ascii="宋体" w:hAnsi="宋体" w:eastAsia="宋体" w:cs="宋体"/>
          <w:sz w:val="24"/>
          <w:szCs w:val="24"/>
        </w:rPr>
        <w:fldChar w:fldCharType="separate"/>
      </w:r>
      <w:r>
        <w:rPr>
          <w:rStyle w:val="7"/>
          <w:rFonts w:hint="eastAsia" w:ascii="宋体" w:hAnsi="宋体" w:eastAsia="宋体" w:cs="宋体"/>
          <w:sz w:val="24"/>
          <w:szCs w:val="24"/>
        </w:rPr>
        <w:t>http://roadshow.sseinfo.com/</w:t>
      </w:r>
      <w:r>
        <w:rPr>
          <w:rStyle w:val="7"/>
          <w:rFonts w:hint="eastAsia" w:ascii="宋体" w:hAnsi="宋体" w:eastAsia="宋体" w:cs="宋体"/>
          <w:sz w:val="24"/>
          <w:szCs w:val="24"/>
        </w:rPr>
        <w:fldChar w:fldCharType="end"/>
      </w:r>
      <w:r>
        <w:rPr>
          <w:rFonts w:hint="eastAsia" w:ascii="宋体" w:hAnsi="宋体" w:eastAsia="宋体" w:cs="宋体"/>
          <w:color w:val="000000"/>
          <w:sz w:val="24"/>
          <w:szCs w:val="24"/>
        </w:rPr>
        <w:t>）查看本次投资者说明会的召开情况及主要内容。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特此公告。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江苏吴中医药发展股份有限公司</w:t>
      </w:r>
    </w:p>
    <w:p>
      <w:pPr>
        <w:wordWrap w:val="0"/>
        <w:spacing w:line="360" w:lineRule="auto"/>
        <w:ind w:right="48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董事会      </w:t>
      </w:r>
    </w:p>
    <w:p>
      <w:pPr>
        <w:spacing w:line="360" w:lineRule="auto"/>
        <w:ind w:right="480" w:firstLine="480" w:firstLineChars="200"/>
        <w:jc w:val="center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                                          202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</w:t>
      </w:r>
    </w:p>
    <w:p>
      <w:pPr>
        <w:spacing w:line="360" w:lineRule="auto"/>
        <w:rPr>
          <w:rFonts w:asciiTheme="minorEastAsia" w:hAnsiTheme="minorEastAsia" w:eastAsiaTheme="minorEastAsia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7D0067"/>
    <w:multiLevelType w:val="singleLevel"/>
    <w:tmpl w:val="127D0067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iNjFmNzExYjIxOGZkYmIzZDZjMzU4MDM2MDNkODEifQ=="/>
  </w:docVars>
  <w:rsids>
    <w:rsidRoot w:val="00DF1C34"/>
    <w:rsid w:val="000052DC"/>
    <w:rsid w:val="0001153F"/>
    <w:rsid w:val="00015559"/>
    <w:rsid w:val="0003171D"/>
    <w:rsid w:val="00034EAF"/>
    <w:rsid w:val="000377FA"/>
    <w:rsid w:val="00037B42"/>
    <w:rsid w:val="000514F9"/>
    <w:rsid w:val="00055DC4"/>
    <w:rsid w:val="0007113B"/>
    <w:rsid w:val="00077985"/>
    <w:rsid w:val="000C1EBF"/>
    <w:rsid w:val="000D5160"/>
    <w:rsid w:val="000D59A8"/>
    <w:rsid w:val="000E2525"/>
    <w:rsid w:val="000E5928"/>
    <w:rsid w:val="000E7F53"/>
    <w:rsid w:val="001044FC"/>
    <w:rsid w:val="00115DE0"/>
    <w:rsid w:val="00125BE8"/>
    <w:rsid w:val="00125EB5"/>
    <w:rsid w:val="001302DF"/>
    <w:rsid w:val="00141A30"/>
    <w:rsid w:val="0014235B"/>
    <w:rsid w:val="001449C0"/>
    <w:rsid w:val="00151157"/>
    <w:rsid w:val="00163205"/>
    <w:rsid w:val="00167B35"/>
    <w:rsid w:val="00173650"/>
    <w:rsid w:val="001741A0"/>
    <w:rsid w:val="00184711"/>
    <w:rsid w:val="00190F6C"/>
    <w:rsid w:val="00194544"/>
    <w:rsid w:val="001A6F91"/>
    <w:rsid w:val="001B0807"/>
    <w:rsid w:val="001C16DA"/>
    <w:rsid w:val="001D0721"/>
    <w:rsid w:val="001D198B"/>
    <w:rsid w:val="001E39C4"/>
    <w:rsid w:val="001E49FF"/>
    <w:rsid w:val="001E57CA"/>
    <w:rsid w:val="001F698F"/>
    <w:rsid w:val="00201E57"/>
    <w:rsid w:val="00204DB0"/>
    <w:rsid w:val="002101B8"/>
    <w:rsid w:val="002127B8"/>
    <w:rsid w:val="00227A64"/>
    <w:rsid w:val="002343EA"/>
    <w:rsid w:val="002442A3"/>
    <w:rsid w:val="00251C73"/>
    <w:rsid w:val="00256018"/>
    <w:rsid w:val="002561CC"/>
    <w:rsid w:val="0025726D"/>
    <w:rsid w:val="0025795B"/>
    <w:rsid w:val="00266464"/>
    <w:rsid w:val="00270486"/>
    <w:rsid w:val="0027220C"/>
    <w:rsid w:val="002808AB"/>
    <w:rsid w:val="00284CD2"/>
    <w:rsid w:val="00297F43"/>
    <w:rsid w:val="002A1B60"/>
    <w:rsid w:val="002B5713"/>
    <w:rsid w:val="002B7CCB"/>
    <w:rsid w:val="002C43B8"/>
    <w:rsid w:val="002C71E7"/>
    <w:rsid w:val="002D2369"/>
    <w:rsid w:val="002D4C8C"/>
    <w:rsid w:val="002F64AF"/>
    <w:rsid w:val="002F74DC"/>
    <w:rsid w:val="00324EB8"/>
    <w:rsid w:val="003307ED"/>
    <w:rsid w:val="003334F6"/>
    <w:rsid w:val="003402E8"/>
    <w:rsid w:val="00342CB6"/>
    <w:rsid w:val="00353BA1"/>
    <w:rsid w:val="00360937"/>
    <w:rsid w:val="00363847"/>
    <w:rsid w:val="0037324C"/>
    <w:rsid w:val="00373349"/>
    <w:rsid w:val="0038210C"/>
    <w:rsid w:val="003870CC"/>
    <w:rsid w:val="003A1590"/>
    <w:rsid w:val="003B1D84"/>
    <w:rsid w:val="003B505F"/>
    <w:rsid w:val="003B5345"/>
    <w:rsid w:val="003C607D"/>
    <w:rsid w:val="003D0C3B"/>
    <w:rsid w:val="003D3FFF"/>
    <w:rsid w:val="003D798A"/>
    <w:rsid w:val="003E2FD2"/>
    <w:rsid w:val="003E355B"/>
    <w:rsid w:val="003F5DA1"/>
    <w:rsid w:val="00417107"/>
    <w:rsid w:val="0041720E"/>
    <w:rsid w:val="0042410C"/>
    <w:rsid w:val="004254D6"/>
    <w:rsid w:val="004374BE"/>
    <w:rsid w:val="00444265"/>
    <w:rsid w:val="004502F4"/>
    <w:rsid w:val="004667F2"/>
    <w:rsid w:val="00475AC0"/>
    <w:rsid w:val="004958E0"/>
    <w:rsid w:val="00496E8A"/>
    <w:rsid w:val="004A41EF"/>
    <w:rsid w:val="004A44DF"/>
    <w:rsid w:val="004B70B1"/>
    <w:rsid w:val="004B7E3E"/>
    <w:rsid w:val="004C0C76"/>
    <w:rsid w:val="004C27B9"/>
    <w:rsid w:val="004C3A3E"/>
    <w:rsid w:val="004C3DB4"/>
    <w:rsid w:val="004D2BA0"/>
    <w:rsid w:val="004D5D8A"/>
    <w:rsid w:val="004E363D"/>
    <w:rsid w:val="004F1ED6"/>
    <w:rsid w:val="004F1F15"/>
    <w:rsid w:val="004F65E5"/>
    <w:rsid w:val="005014D1"/>
    <w:rsid w:val="00517C61"/>
    <w:rsid w:val="005216F4"/>
    <w:rsid w:val="0054211F"/>
    <w:rsid w:val="00542DA0"/>
    <w:rsid w:val="0054311D"/>
    <w:rsid w:val="005477DA"/>
    <w:rsid w:val="005542A7"/>
    <w:rsid w:val="00555131"/>
    <w:rsid w:val="00557690"/>
    <w:rsid w:val="005712CB"/>
    <w:rsid w:val="005737FA"/>
    <w:rsid w:val="00577CBB"/>
    <w:rsid w:val="00580E39"/>
    <w:rsid w:val="00591636"/>
    <w:rsid w:val="005B4F18"/>
    <w:rsid w:val="005C3668"/>
    <w:rsid w:val="005D417A"/>
    <w:rsid w:val="005D4ACB"/>
    <w:rsid w:val="005D5EDA"/>
    <w:rsid w:val="005E4AFF"/>
    <w:rsid w:val="005F0AEF"/>
    <w:rsid w:val="00606509"/>
    <w:rsid w:val="00615D49"/>
    <w:rsid w:val="006412D7"/>
    <w:rsid w:val="006446F0"/>
    <w:rsid w:val="00645C77"/>
    <w:rsid w:val="00647683"/>
    <w:rsid w:val="00662769"/>
    <w:rsid w:val="00663516"/>
    <w:rsid w:val="0067327D"/>
    <w:rsid w:val="00682D83"/>
    <w:rsid w:val="00683AED"/>
    <w:rsid w:val="0069424B"/>
    <w:rsid w:val="00695D72"/>
    <w:rsid w:val="006A4EA1"/>
    <w:rsid w:val="006B29CA"/>
    <w:rsid w:val="006B2B65"/>
    <w:rsid w:val="006B7491"/>
    <w:rsid w:val="006C1D25"/>
    <w:rsid w:val="006E12CC"/>
    <w:rsid w:val="006E29A4"/>
    <w:rsid w:val="007001F0"/>
    <w:rsid w:val="007014FC"/>
    <w:rsid w:val="00712B2A"/>
    <w:rsid w:val="00715C07"/>
    <w:rsid w:val="007230C3"/>
    <w:rsid w:val="0075060C"/>
    <w:rsid w:val="007564B5"/>
    <w:rsid w:val="0076676A"/>
    <w:rsid w:val="00766EEB"/>
    <w:rsid w:val="00772A33"/>
    <w:rsid w:val="0078609E"/>
    <w:rsid w:val="007918EE"/>
    <w:rsid w:val="007A1575"/>
    <w:rsid w:val="007C79A9"/>
    <w:rsid w:val="007C7BAF"/>
    <w:rsid w:val="007E3476"/>
    <w:rsid w:val="00802A0A"/>
    <w:rsid w:val="00824AB0"/>
    <w:rsid w:val="008378DC"/>
    <w:rsid w:val="00837AFB"/>
    <w:rsid w:val="008412C9"/>
    <w:rsid w:val="00887DA0"/>
    <w:rsid w:val="00893296"/>
    <w:rsid w:val="00893305"/>
    <w:rsid w:val="008935D4"/>
    <w:rsid w:val="008A72B1"/>
    <w:rsid w:val="008B3703"/>
    <w:rsid w:val="008B3DD4"/>
    <w:rsid w:val="008B43ED"/>
    <w:rsid w:val="008B4735"/>
    <w:rsid w:val="008C0E07"/>
    <w:rsid w:val="008E57CC"/>
    <w:rsid w:val="008F5155"/>
    <w:rsid w:val="008F6AB5"/>
    <w:rsid w:val="00933FA5"/>
    <w:rsid w:val="00934104"/>
    <w:rsid w:val="0094672C"/>
    <w:rsid w:val="00955A3F"/>
    <w:rsid w:val="00960430"/>
    <w:rsid w:val="00967AA4"/>
    <w:rsid w:val="00972218"/>
    <w:rsid w:val="009841CB"/>
    <w:rsid w:val="00995DC5"/>
    <w:rsid w:val="009E1FA0"/>
    <w:rsid w:val="009E3014"/>
    <w:rsid w:val="009F0BB3"/>
    <w:rsid w:val="00A05A16"/>
    <w:rsid w:val="00A06832"/>
    <w:rsid w:val="00A1341B"/>
    <w:rsid w:val="00A13AC5"/>
    <w:rsid w:val="00A1423D"/>
    <w:rsid w:val="00A204FB"/>
    <w:rsid w:val="00A205C1"/>
    <w:rsid w:val="00A206E4"/>
    <w:rsid w:val="00A267F9"/>
    <w:rsid w:val="00A31603"/>
    <w:rsid w:val="00A34683"/>
    <w:rsid w:val="00A36051"/>
    <w:rsid w:val="00A37C3C"/>
    <w:rsid w:val="00A42891"/>
    <w:rsid w:val="00A51FF0"/>
    <w:rsid w:val="00A569E1"/>
    <w:rsid w:val="00A72475"/>
    <w:rsid w:val="00A842DF"/>
    <w:rsid w:val="00A950B9"/>
    <w:rsid w:val="00A973BC"/>
    <w:rsid w:val="00AA10D4"/>
    <w:rsid w:val="00AA706B"/>
    <w:rsid w:val="00AB0CFB"/>
    <w:rsid w:val="00AB15F8"/>
    <w:rsid w:val="00AB2664"/>
    <w:rsid w:val="00AB53AC"/>
    <w:rsid w:val="00AB6C97"/>
    <w:rsid w:val="00AC11D0"/>
    <w:rsid w:val="00AC7ABF"/>
    <w:rsid w:val="00AD0003"/>
    <w:rsid w:val="00AD7DEB"/>
    <w:rsid w:val="00AE7AF5"/>
    <w:rsid w:val="00AF45BF"/>
    <w:rsid w:val="00AF476E"/>
    <w:rsid w:val="00B03668"/>
    <w:rsid w:val="00B07E79"/>
    <w:rsid w:val="00B17AF8"/>
    <w:rsid w:val="00B27494"/>
    <w:rsid w:val="00B31A8D"/>
    <w:rsid w:val="00B369BE"/>
    <w:rsid w:val="00B40795"/>
    <w:rsid w:val="00B40E4D"/>
    <w:rsid w:val="00B52013"/>
    <w:rsid w:val="00B57C2F"/>
    <w:rsid w:val="00B83EF8"/>
    <w:rsid w:val="00B87AB6"/>
    <w:rsid w:val="00B929E0"/>
    <w:rsid w:val="00BA1EF6"/>
    <w:rsid w:val="00BA46C7"/>
    <w:rsid w:val="00BB5C59"/>
    <w:rsid w:val="00BB5E17"/>
    <w:rsid w:val="00BB5F62"/>
    <w:rsid w:val="00BC7D27"/>
    <w:rsid w:val="00BE0A0A"/>
    <w:rsid w:val="00BE7989"/>
    <w:rsid w:val="00BF5380"/>
    <w:rsid w:val="00BF68F7"/>
    <w:rsid w:val="00C01D90"/>
    <w:rsid w:val="00C1036D"/>
    <w:rsid w:val="00C14435"/>
    <w:rsid w:val="00C37A71"/>
    <w:rsid w:val="00C442D1"/>
    <w:rsid w:val="00C51C5F"/>
    <w:rsid w:val="00C62BAA"/>
    <w:rsid w:val="00C65924"/>
    <w:rsid w:val="00C66833"/>
    <w:rsid w:val="00C6792D"/>
    <w:rsid w:val="00C71DAA"/>
    <w:rsid w:val="00C745A9"/>
    <w:rsid w:val="00C770B6"/>
    <w:rsid w:val="00C77455"/>
    <w:rsid w:val="00C77936"/>
    <w:rsid w:val="00C77C63"/>
    <w:rsid w:val="00C8490D"/>
    <w:rsid w:val="00C84E9B"/>
    <w:rsid w:val="00C875F5"/>
    <w:rsid w:val="00CA1004"/>
    <w:rsid w:val="00CB0711"/>
    <w:rsid w:val="00CB1155"/>
    <w:rsid w:val="00CB2DCE"/>
    <w:rsid w:val="00CC65AD"/>
    <w:rsid w:val="00CC7C0B"/>
    <w:rsid w:val="00CD2A4D"/>
    <w:rsid w:val="00CD5891"/>
    <w:rsid w:val="00CD607E"/>
    <w:rsid w:val="00CD6EAB"/>
    <w:rsid w:val="00CD7F62"/>
    <w:rsid w:val="00CE3B3D"/>
    <w:rsid w:val="00CE4D8A"/>
    <w:rsid w:val="00CF2676"/>
    <w:rsid w:val="00CF42BE"/>
    <w:rsid w:val="00CF7E7A"/>
    <w:rsid w:val="00D0156B"/>
    <w:rsid w:val="00D04CBB"/>
    <w:rsid w:val="00D05E2F"/>
    <w:rsid w:val="00D141A5"/>
    <w:rsid w:val="00D21B8D"/>
    <w:rsid w:val="00D24824"/>
    <w:rsid w:val="00D26D15"/>
    <w:rsid w:val="00D3212E"/>
    <w:rsid w:val="00D431AD"/>
    <w:rsid w:val="00D45281"/>
    <w:rsid w:val="00D53DC4"/>
    <w:rsid w:val="00D601FE"/>
    <w:rsid w:val="00D6753A"/>
    <w:rsid w:val="00D7040A"/>
    <w:rsid w:val="00D71559"/>
    <w:rsid w:val="00D73864"/>
    <w:rsid w:val="00D77523"/>
    <w:rsid w:val="00D819D3"/>
    <w:rsid w:val="00D86A2F"/>
    <w:rsid w:val="00D909E7"/>
    <w:rsid w:val="00D90BC6"/>
    <w:rsid w:val="00D92B06"/>
    <w:rsid w:val="00D9452A"/>
    <w:rsid w:val="00DC0757"/>
    <w:rsid w:val="00DD409A"/>
    <w:rsid w:val="00DE24B3"/>
    <w:rsid w:val="00DE3893"/>
    <w:rsid w:val="00DF08C9"/>
    <w:rsid w:val="00DF1C34"/>
    <w:rsid w:val="00DF2730"/>
    <w:rsid w:val="00E003D0"/>
    <w:rsid w:val="00E025CD"/>
    <w:rsid w:val="00E05034"/>
    <w:rsid w:val="00E14AD6"/>
    <w:rsid w:val="00E220DE"/>
    <w:rsid w:val="00E26F68"/>
    <w:rsid w:val="00E30EA1"/>
    <w:rsid w:val="00E31233"/>
    <w:rsid w:val="00E373CB"/>
    <w:rsid w:val="00E74755"/>
    <w:rsid w:val="00E74E4D"/>
    <w:rsid w:val="00E77D37"/>
    <w:rsid w:val="00E81D6C"/>
    <w:rsid w:val="00E90C0B"/>
    <w:rsid w:val="00E915EA"/>
    <w:rsid w:val="00E9451B"/>
    <w:rsid w:val="00E94C73"/>
    <w:rsid w:val="00E9529E"/>
    <w:rsid w:val="00E96761"/>
    <w:rsid w:val="00E97E93"/>
    <w:rsid w:val="00EA6444"/>
    <w:rsid w:val="00EB0FB2"/>
    <w:rsid w:val="00EB7FBA"/>
    <w:rsid w:val="00EC2DCE"/>
    <w:rsid w:val="00ED4428"/>
    <w:rsid w:val="00ED6800"/>
    <w:rsid w:val="00EE1637"/>
    <w:rsid w:val="00EF67AA"/>
    <w:rsid w:val="00F03FA2"/>
    <w:rsid w:val="00F07A0E"/>
    <w:rsid w:val="00F11687"/>
    <w:rsid w:val="00F13C59"/>
    <w:rsid w:val="00F161EE"/>
    <w:rsid w:val="00F168FB"/>
    <w:rsid w:val="00F21312"/>
    <w:rsid w:val="00F23D77"/>
    <w:rsid w:val="00F25681"/>
    <w:rsid w:val="00F3504C"/>
    <w:rsid w:val="00F41B3B"/>
    <w:rsid w:val="00F43502"/>
    <w:rsid w:val="00F642E6"/>
    <w:rsid w:val="00F75621"/>
    <w:rsid w:val="00F75B8D"/>
    <w:rsid w:val="00F7601B"/>
    <w:rsid w:val="00F84401"/>
    <w:rsid w:val="00F92A30"/>
    <w:rsid w:val="00FA5496"/>
    <w:rsid w:val="00FB3375"/>
    <w:rsid w:val="00FB56C5"/>
    <w:rsid w:val="00FB79DD"/>
    <w:rsid w:val="00FC49C6"/>
    <w:rsid w:val="00FD17D4"/>
    <w:rsid w:val="00FD212D"/>
    <w:rsid w:val="00FE4FBE"/>
    <w:rsid w:val="00FE57F0"/>
    <w:rsid w:val="00FE5ACA"/>
    <w:rsid w:val="00FF4417"/>
    <w:rsid w:val="0B965FF8"/>
    <w:rsid w:val="12DD201C"/>
    <w:rsid w:val="1D4F408F"/>
    <w:rsid w:val="1DF75C3F"/>
    <w:rsid w:val="22454D1D"/>
    <w:rsid w:val="238B1418"/>
    <w:rsid w:val="2D71156A"/>
    <w:rsid w:val="2E8B21B7"/>
    <w:rsid w:val="3BAC5E63"/>
    <w:rsid w:val="3E4E5EA7"/>
    <w:rsid w:val="523031DD"/>
    <w:rsid w:val="54FB77E7"/>
    <w:rsid w:val="56AC0482"/>
    <w:rsid w:val="5D110191"/>
    <w:rsid w:val="66240220"/>
    <w:rsid w:val="697D65C5"/>
    <w:rsid w:val="70EB0105"/>
    <w:rsid w:val="738D5733"/>
    <w:rsid w:val="79AB4832"/>
    <w:rsid w:val="7C633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1095</Words>
  <Characters>1464</Characters>
  <Lines>7</Lines>
  <Paragraphs>2</Paragraphs>
  <TotalTime>29</TotalTime>
  <ScaleCrop>false</ScaleCrop>
  <LinksUpToDate>false</LinksUpToDate>
  <CharactersWithSpaces>1544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2021-04-24T07:38:00Z</dcterms:created>
  <dc:creator>李锐</dc:creator>
  <cp:lastModifiedBy>王雅杰</cp:lastModifiedBy>
  <cp:lastPrinted>2023-05-05T06:35:31Z</cp:lastPrinted>
  <dcterms:modified xsi:type="dcterms:W3CDTF">2023-05-05T06:39:39Z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994F42335A0044CF89B56B6FE8CA4DAA_12</vt:lpwstr>
  </property>
</Properties>
</file>