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53" w:rightChars="-73"/>
        <w:jc w:val="center"/>
        <w:rPr>
          <w:rFonts w:ascii="黑体" w:hAnsi="宋体" w:eastAsia="黑体"/>
          <w:b/>
          <w:bCs/>
          <w:color w:val="FF0000"/>
          <w:sz w:val="32"/>
        </w:rPr>
      </w:pPr>
      <w:r>
        <w:rPr>
          <w:rFonts w:hint="eastAsia" w:ascii="宋体" w:hAnsi="宋体" w:cs="宋体"/>
          <w:color w:val="000000"/>
          <w:kern w:val="0"/>
          <w:sz w:val="24"/>
        </w:rPr>
        <w:t>证券代码：600200         证券简称：江苏吴中      公告编号：临2023-</w:t>
      </w:r>
      <w:r>
        <w:rPr>
          <w:rFonts w:ascii="宋体" w:hAnsi="宋体" w:cs="宋体"/>
          <w:color w:val="000000"/>
          <w:kern w:val="0"/>
          <w:sz w:val="24"/>
        </w:rPr>
        <w:t>018</w:t>
      </w:r>
    </w:p>
    <w:p>
      <w:pPr>
        <w:spacing w:line="360" w:lineRule="auto"/>
        <w:ind w:right="-153" w:rightChars="-73"/>
        <w:jc w:val="center"/>
        <w:rPr>
          <w:rFonts w:ascii="黑体" w:hAnsi="宋体" w:eastAsia="黑体"/>
          <w:b/>
          <w:bCs/>
          <w:color w:val="FF0000"/>
          <w:sz w:val="32"/>
        </w:rPr>
      </w:pP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江苏吴中医药发展股份有限公司关于非公开发行</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募集资金2022年存放与实际使用情况的专项报告</w:t>
      </w:r>
    </w:p>
    <w:p>
      <w:pPr>
        <w:autoSpaceDE w:val="0"/>
        <w:autoSpaceDN w:val="0"/>
        <w:adjustRightInd w:val="0"/>
        <w:spacing w:line="360" w:lineRule="auto"/>
        <w:ind w:firstLine="482" w:firstLineChars="200"/>
        <w:rPr>
          <w:rFonts w:hint="eastAsia" w:ascii="ˎ̥" w:hAnsi="ˎ̥"/>
          <w:b/>
          <w:sz w:val="24"/>
        </w:rPr>
      </w:pPr>
    </w:p>
    <w:p>
      <w:pPr>
        <w:autoSpaceDE w:val="0"/>
        <w:autoSpaceDN w:val="0"/>
        <w:adjustRightInd w:val="0"/>
        <w:spacing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本公司董事会及董事会全体成员保证公告内容不存在虚假记载、误导性陈述或者重大遗漏，并对其内容的真实、准确和完整承担法律责任。</w:t>
      </w:r>
    </w:p>
    <w:p>
      <w:pPr>
        <w:pStyle w:val="8"/>
        <w:spacing w:line="360" w:lineRule="auto"/>
        <w:rPr>
          <w:rFonts w:asciiTheme="minorEastAsia" w:hAnsiTheme="minorEastAsia" w:eastAsiaTheme="minorEastAsia" w:cstheme="minorEastAsia"/>
        </w:rPr>
      </w:pPr>
    </w:p>
    <w:p>
      <w:pPr>
        <w:spacing w:line="4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w:t>
      </w:r>
      <w:r>
        <w:rPr>
          <w:rFonts w:hint="eastAsia" w:asciiTheme="minorEastAsia" w:hAnsiTheme="minorEastAsia" w:eastAsiaTheme="minorEastAsia" w:cstheme="minorEastAsia"/>
          <w:color w:val="000000"/>
          <w:sz w:val="24"/>
        </w:rPr>
        <w:t>据《上海证券交易所上市公司自律监管指引第1号——规范运作》及相关格式指引的要求，现将本公司非公开发行募集资金2022年度存放与实际使用情况专项报告如下：</w:t>
      </w:r>
    </w:p>
    <w:p>
      <w:pPr>
        <w:autoSpaceDE w:val="0"/>
        <w:autoSpaceDN w:val="0"/>
        <w:adjustRightInd w:val="0"/>
        <w:spacing w:line="360" w:lineRule="auto"/>
        <w:ind w:firstLine="482" w:firstLineChars="200"/>
        <w:rPr>
          <w:rFonts w:asciiTheme="minorEastAsia" w:hAnsiTheme="minorEastAsia" w:eastAsiaTheme="minorEastAsia" w:cstheme="minorEastAsia"/>
          <w:b/>
          <w:sz w:val="24"/>
        </w:rPr>
      </w:pPr>
    </w:p>
    <w:p>
      <w:pPr>
        <w:keepNext/>
        <w:keepLines/>
        <w:spacing w:line="360" w:lineRule="auto"/>
        <w:ind w:firstLine="482" w:firstLineChars="200"/>
        <w:outlineLvl w:val="0"/>
        <w:rPr>
          <w:rFonts w:asciiTheme="minorEastAsia" w:hAnsiTheme="minorEastAsia" w:eastAsiaTheme="minorEastAsia" w:cstheme="minorEastAsia"/>
          <w:b/>
          <w:bCs/>
          <w:kern w:val="44"/>
          <w:sz w:val="24"/>
        </w:rPr>
      </w:pPr>
      <w:r>
        <w:rPr>
          <w:rFonts w:hint="eastAsia" w:asciiTheme="minorEastAsia" w:hAnsiTheme="minorEastAsia" w:eastAsiaTheme="minorEastAsia" w:cstheme="minorEastAsia"/>
          <w:b/>
          <w:bCs/>
          <w:kern w:val="44"/>
          <w:sz w:val="24"/>
        </w:rPr>
        <w:t>一、募集资金基本情况</w:t>
      </w:r>
    </w:p>
    <w:p>
      <w:pPr>
        <w:keepNext/>
        <w:keepLines/>
        <w:spacing w:line="360" w:lineRule="auto"/>
        <w:ind w:firstLine="482" w:firstLineChars="200"/>
        <w:outlineLvl w:val="1"/>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 实际募集资金金额、资金到账时间</w:t>
      </w:r>
    </w:p>
    <w:p>
      <w:pPr>
        <w:autoSpaceDE w:val="0"/>
        <w:autoSpaceDN w:val="0"/>
        <w:adjustRightIn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经中国证券监督管理委员会《关于核准江苏吴中实业股份有限公司非公开发行股票的批复》(证监许可[2015]2084号)核准，本公司获准非公开发行不超过4,538万股新股(以下简称“本次发行”)。本次发行实际发行数量为41,046,070股，发行对象为6名，发行价格为12.52元/股，募集资金总额513,896,796.40元(含发行费用)。扣除发行费用合计人民币11,519,544.24元后，本次募集资金净额为人民币502,377,252.16元，上述募集资金已于2015年9月29日划至公司指定账户。上述募集资金到位情况经立信会计师事务所(特殊普通合伙)审验，并由其于2015年9月30日出具了《验资报告》(信会师报字[2015]第115325号)验证。</w:t>
      </w:r>
    </w:p>
    <w:p>
      <w:pPr>
        <w:keepNext/>
        <w:keepLines/>
        <w:spacing w:line="360" w:lineRule="auto"/>
        <w:ind w:firstLine="482" w:firstLineChars="200"/>
        <w:outlineLvl w:val="1"/>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 募集金额使用情况和结余情况</w:t>
      </w:r>
    </w:p>
    <w:p>
      <w:pPr>
        <w:widowControl/>
        <w:spacing w:line="360" w:lineRule="auto"/>
        <w:ind w:firstLine="480" w:firstLineChars="200"/>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sz w:val="24"/>
        </w:rPr>
        <w:t>2015年度公司使用募集资金155,016,482.59元，2016年度公司使用募集资金95,989,632.36元，2017年度公司使用募集资金57,198,274.13元，2018年度公司使用募集资金34,233,833.35元，2019年度使用募集资金48,861,522.03元，2020年度使用募集资金21,956,213.55元，2021年度使用募集资金</w:t>
      </w:r>
      <w:r>
        <w:rPr>
          <w:rFonts w:asciiTheme="minorEastAsia" w:hAnsiTheme="minorEastAsia" w:eastAsiaTheme="minorEastAsia" w:cstheme="minorEastAsia"/>
          <w:kern w:val="0"/>
          <w:sz w:val="24"/>
        </w:rPr>
        <w:t>72,409,807.54</w:t>
      </w:r>
      <w:r>
        <w:rPr>
          <w:rFonts w:hint="eastAsia" w:asciiTheme="minorEastAsia" w:hAnsiTheme="minorEastAsia" w:eastAsiaTheme="minorEastAsia" w:cstheme="minorEastAsia"/>
          <w:color w:val="000000"/>
          <w:kern w:val="0"/>
          <w:sz w:val="24"/>
        </w:rPr>
        <w:t>元</w:t>
      </w:r>
      <w:r>
        <w:rPr>
          <w:rFonts w:hint="eastAsia" w:asciiTheme="minorEastAsia" w:hAnsiTheme="minorEastAsia" w:eastAsiaTheme="minorEastAsia" w:cstheme="minorEastAsia"/>
          <w:sz w:val="24"/>
        </w:rPr>
        <w:t>，2022年公司使用募集资金</w:t>
      </w:r>
      <w:r>
        <w:rPr>
          <w:rFonts w:hint="eastAsia" w:asciiTheme="minorEastAsia" w:hAnsiTheme="minorEastAsia" w:eastAsiaTheme="minorEastAsia" w:cstheme="minorEastAsia"/>
          <w:kern w:val="0"/>
          <w:sz w:val="24"/>
        </w:rPr>
        <w:t>3,909,800.79</w:t>
      </w:r>
      <w:r>
        <w:rPr>
          <w:rFonts w:hint="eastAsia" w:asciiTheme="minorEastAsia" w:hAnsiTheme="minorEastAsia" w:eastAsiaTheme="minorEastAsia" w:cstheme="minorEastAsia"/>
          <w:sz w:val="24"/>
        </w:rPr>
        <w:t>元，截至2022年12月31日，公司累计使用募集资金</w:t>
      </w:r>
      <w:r>
        <w:rPr>
          <w:rFonts w:hint="eastAsia" w:asciiTheme="minorEastAsia" w:hAnsiTheme="minorEastAsia" w:eastAsiaTheme="minorEastAsia" w:cstheme="minorEastAsia"/>
          <w:kern w:val="0"/>
          <w:sz w:val="24"/>
        </w:rPr>
        <w:t>489,575,566.34</w:t>
      </w:r>
      <w:r>
        <w:rPr>
          <w:rFonts w:hint="eastAsia" w:asciiTheme="minorEastAsia" w:hAnsiTheme="minorEastAsia" w:eastAsiaTheme="minorEastAsia" w:cstheme="minorEastAsia"/>
          <w:sz w:val="24"/>
        </w:rPr>
        <w:t>元，未使用募集资金余额为</w:t>
      </w:r>
      <w:r>
        <w:rPr>
          <w:rFonts w:hint="eastAsia" w:asciiTheme="minorEastAsia" w:hAnsiTheme="minorEastAsia" w:eastAsiaTheme="minorEastAsia" w:cstheme="minorEastAsia"/>
          <w:kern w:val="0"/>
          <w:sz w:val="24"/>
        </w:rPr>
        <w:t>32,858,130.49</w:t>
      </w:r>
      <w:r>
        <w:rPr>
          <w:rFonts w:hint="eastAsia" w:asciiTheme="minorEastAsia" w:hAnsiTheme="minorEastAsia" w:eastAsiaTheme="minorEastAsia" w:cstheme="minorEastAsia"/>
          <w:sz w:val="24"/>
        </w:rPr>
        <w:t>元（含利息收入和扣减手续费）。</w:t>
      </w:r>
    </w:p>
    <w:p>
      <w:pPr>
        <w:spacing w:line="360" w:lineRule="auto"/>
        <w:ind w:firstLine="482" w:firstLineChars="200"/>
        <w:rPr>
          <w:rFonts w:asciiTheme="minorEastAsia" w:hAnsiTheme="minorEastAsia" w:eastAsiaTheme="minorEastAsia" w:cstheme="minorEastAsia"/>
          <w:b/>
          <w:bCs/>
          <w:kern w:val="44"/>
          <w:sz w:val="24"/>
        </w:rPr>
      </w:pPr>
    </w:p>
    <w:p>
      <w:pPr>
        <w:spacing w:line="360" w:lineRule="auto"/>
        <w:ind w:firstLine="482" w:firstLineChars="200"/>
        <w:rPr>
          <w:rFonts w:asciiTheme="minorEastAsia" w:hAnsiTheme="minorEastAsia" w:eastAsiaTheme="minorEastAsia" w:cstheme="minorEastAsia"/>
          <w:b/>
          <w:bCs/>
          <w:kern w:val="44"/>
          <w:sz w:val="24"/>
        </w:rPr>
      </w:pPr>
      <w:r>
        <w:rPr>
          <w:rFonts w:hint="eastAsia" w:asciiTheme="minorEastAsia" w:hAnsiTheme="minorEastAsia" w:eastAsiaTheme="minorEastAsia" w:cstheme="minorEastAsia"/>
          <w:b/>
          <w:bCs/>
          <w:kern w:val="44"/>
          <w:sz w:val="24"/>
        </w:rPr>
        <w:t>二、募集资金管理情况</w:t>
      </w:r>
    </w:p>
    <w:p>
      <w:pPr>
        <w:keepNext/>
        <w:keepLines/>
        <w:spacing w:line="360" w:lineRule="auto"/>
        <w:ind w:firstLine="482" w:firstLineChars="200"/>
        <w:outlineLvl w:val="1"/>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 xml:space="preserve"> (一) 募集资金的管理情况 </w:t>
      </w: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bookmarkStart w:id="0" w:name="OLE_LINK2"/>
      <w:bookmarkStart w:id="1" w:name="OLE_LINK1"/>
      <w:r>
        <w:rPr>
          <w:rFonts w:hint="eastAsia" w:asciiTheme="minorEastAsia" w:hAnsiTheme="minorEastAsia" w:eastAsiaTheme="minorEastAsia" w:cstheme="minorEastAsia"/>
          <w:kern w:val="0"/>
          <w:sz w:val="24"/>
        </w:rPr>
        <w:t>为规范募集资金的管理和使用，提高资金使用效率和效益，保护投资者利益，本公司根据《公司法》《证券法》《上市公司监管指引第2号——上市公司募集资金管理和使用的监管要求》《上海证券交易所股票上市规则》等有关法律、法规和规范性文件的规定，结合公司实际情况，公司制定了《江苏吴中实业股份有限公司募集资金管理办法》(以下简称《管理办法》)，并提交公司2014年12月15日召开的2014年第二次临时股东大会审议通过。根据《管理办法》，本公司对募集资金采用专户存储制度，在银行设立募集资金专户，并连同下属公司、保荐机构东吴证券股份有限公司分别与中国农业银行股份有限公司苏州姑苏支行、中国银行股份有限公司苏州吴中支行、中国工商银行股份有限公司苏州吴中支行签订了《募集资金四方监管协议》，明确了各方的权利和义务。</w:t>
      </w: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经公司第八届董事会第十一次会议、第八届监事会第十一次会议及2016年度股东大会决议审议通过《江苏吴中实业股份有限公司关于变更部分募集资金投资项目的议案》，同意公司将原非公开发行的募集资金投资项目“药品自动化立体仓库项目”变更为“江苏吴中医药集团有限公司苏州制药厂原料药二期项目”(具体见公司于2017年4月28日及5月19日在《中国证券报》、《上海证券报》及上海证券交易所网站上披露的相关公告)。</w:t>
      </w: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2017年6月8日，本公司、东吴证券股份有限公司(以下简称“东吴证券”)、中国银行股份有限公司苏州吴中支行、江苏吴中医药集团有限公司苏州制药厂在苏州签订了募集资金专户存储四方监管协议(具体见公司于2017年6月9日在《中国证券报》《上海证券报》及上海证券交易所网站上披露的相关公告)。</w:t>
      </w: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经公司第九届董事会第六次会议、第九届监事会第六次会议及2019年第五次临时股东大会决议审议通过《江苏吴中实业股份有限公司关于变更部分募集资金投资项目的议案》，同意公司将原非公开发行的募集资金投资项目“国家一类生物抗癌新药重组人血管内皮抑素注射液研发项目”中部分未使用资金约12,055万元进行变更，变更后的募集资金投向为抗肿瘤1类新药YS001的研发、西洛他唑等上市化学仿制药的一致性评价、利奈唑胺与沃诺拉赞的仿制(具体见公司于2019年8月23日及9月11日在《中国证券报》《上海证券报》及上海证券交易所网站上披露的相关公告)。</w:t>
      </w: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2019年9月20日，本公司、东吴证券股份有限公司、中国农业银行股份有限公司苏州姑苏支行、苏州泽润新药研发有限公司/江苏吴中医药集团有限公司苏州制药厂在苏州签订了募集资金专户存储四方监管协议(具体见公司于2019年9月21日在《中国证券报》《上海证券报》及上海证券交易所网站上披露的相关公告)。</w:t>
      </w: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上述募集资金专户存储四方监管协议的内容与上海证券交易所三方监管协议范本不存在重大差异，本公司在使用募集资金时已经严格遵照履行，以便于募集资金的管理和使用以及对其使用情况进行监督，保证专款专用。</w:t>
      </w:r>
    </w:p>
    <w:p>
      <w:pPr>
        <w:autoSpaceDE w:val="0"/>
        <w:autoSpaceDN w:val="0"/>
        <w:adjustRightInd w:val="0"/>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2021年4月26日，经本公司第十届董事会第一次会议、第十届监事会第一次会议及2020年年度股东大会审议通过的《江苏吴中医药发展股份有限公司关于变更部分募集资金用途并永久补充流动资金的议案》，同意公司终止非公开发行的募集资金投资项目“西洛他唑等上市化学仿制药的一致性评价项目”中的西洛他唑片、利奈唑胺葡萄糖注射液、注射用艾司奥美拉唑钠3个子研发项目，以及“利奈唑胺与沃诺拉赞的仿制项目”中的利奈唑胺片剂的仿制、沃诺拉赞片剂的仿制2个子研发项目，并将剩余的募集资金用于永久补充流动资金。(具体见公司于2021年4月26日及5月19日在《中国证券报》、《上海证券报》及上海证券交易所网站上披露的相关公告)。</w:t>
      </w:r>
    </w:p>
    <w:bookmarkEnd w:id="0"/>
    <w:bookmarkEnd w:id="1"/>
    <w:p>
      <w:pPr>
        <w:keepNext/>
        <w:keepLines/>
        <w:spacing w:line="360" w:lineRule="auto"/>
        <w:ind w:firstLine="472" w:firstLineChars="196"/>
        <w:outlineLvl w:val="1"/>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 xml:space="preserve">(二) 募集资金的专户存储情况 </w:t>
      </w:r>
    </w:p>
    <w:p>
      <w:pPr>
        <w:spacing w:line="360" w:lineRule="auto"/>
        <w:ind w:firstLine="480" w:firstLineChars="200"/>
        <w:rPr>
          <w:rFonts w:cs="宋体" w:asciiTheme="minorEastAsia" w:hAnsiTheme="minorEastAsia"/>
          <w:kern w:val="0"/>
          <w:sz w:val="24"/>
        </w:rPr>
      </w:pPr>
      <w:r>
        <w:rPr>
          <w:rFonts w:hint="eastAsia" w:asciiTheme="minorEastAsia" w:hAnsiTheme="minorEastAsia" w:eastAsiaTheme="minorEastAsia" w:cstheme="minorEastAsia"/>
          <w:kern w:val="0"/>
          <w:sz w:val="24"/>
        </w:rPr>
        <w:t>截至2022年12月31日，公司募集资金专户存储情况（含利息收入和扣减手续费）如下表所示：</w:t>
      </w:r>
    </w:p>
    <w:tbl>
      <w:tblPr>
        <w:tblStyle w:val="4"/>
        <w:tblW w:w="8843" w:type="dxa"/>
        <w:tblInd w:w="0" w:type="dxa"/>
        <w:tblBorders>
          <w:top w:val="single" w:color="auto" w:sz="4" w:space="0"/>
          <w:left w:val="none" w:color="auto" w:sz="0" w:space="0"/>
          <w:bottom w:val="single" w:color="auto" w:sz="4" w:space="0"/>
          <w:right w:val="none" w:color="auto" w:sz="0" w:space="0"/>
          <w:insideH w:val="dashed" w:color="auto" w:sz="4" w:space="0"/>
          <w:insideV w:val="dashed" w:color="auto" w:sz="4" w:space="0"/>
        </w:tblBorders>
        <w:tblLayout w:type="fixed"/>
        <w:tblCellMar>
          <w:top w:w="0" w:type="dxa"/>
          <w:left w:w="108" w:type="dxa"/>
          <w:bottom w:w="0" w:type="dxa"/>
          <w:right w:w="108" w:type="dxa"/>
        </w:tblCellMar>
      </w:tblPr>
      <w:tblGrid>
        <w:gridCol w:w="1384"/>
        <w:gridCol w:w="1418"/>
        <w:gridCol w:w="1134"/>
        <w:gridCol w:w="1984"/>
        <w:gridCol w:w="1701"/>
        <w:gridCol w:w="1222"/>
      </w:tblGrid>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5" w:hRule="atLeast"/>
        </w:trPr>
        <w:tc>
          <w:tcPr>
            <w:tcW w:w="1384" w:type="dxa"/>
          </w:tcPr>
          <w:p>
            <w:pPr>
              <w:ind w:left="84" w:leftChars="40"/>
              <w:jc w:val="left"/>
              <w:rPr>
                <w:rFonts w:ascii="宋体" w:hAnsi="宋体"/>
                <w:sz w:val="18"/>
                <w:szCs w:val="18"/>
              </w:rPr>
            </w:pPr>
            <w:r>
              <w:rPr>
                <w:rFonts w:hint="eastAsia" w:ascii="宋体" w:hAnsi="宋体"/>
                <w:sz w:val="18"/>
                <w:szCs w:val="18"/>
              </w:rPr>
              <w:t>账户名称</w:t>
            </w:r>
          </w:p>
        </w:tc>
        <w:tc>
          <w:tcPr>
            <w:tcW w:w="1418" w:type="dxa"/>
            <w:shd w:val="clear" w:color="auto" w:fill="auto"/>
            <w:vAlign w:val="center"/>
          </w:tcPr>
          <w:p>
            <w:pPr>
              <w:ind w:left="84" w:leftChars="40"/>
              <w:jc w:val="left"/>
              <w:rPr>
                <w:rFonts w:ascii="宋体" w:hAnsi="宋体"/>
                <w:sz w:val="18"/>
                <w:szCs w:val="18"/>
              </w:rPr>
            </w:pPr>
            <w:r>
              <w:rPr>
                <w:rFonts w:hint="eastAsia" w:ascii="宋体" w:hAnsi="宋体"/>
                <w:sz w:val="18"/>
                <w:szCs w:val="18"/>
              </w:rPr>
              <w:t>开户银行</w:t>
            </w:r>
          </w:p>
        </w:tc>
        <w:tc>
          <w:tcPr>
            <w:tcW w:w="1134" w:type="dxa"/>
            <w:shd w:val="clear" w:color="auto" w:fill="auto"/>
            <w:vAlign w:val="center"/>
          </w:tcPr>
          <w:p>
            <w:pPr>
              <w:ind w:left="84" w:leftChars="40"/>
              <w:jc w:val="left"/>
              <w:rPr>
                <w:rFonts w:ascii="宋体" w:hAnsi="宋体"/>
                <w:sz w:val="18"/>
                <w:szCs w:val="18"/>
              </w:rPr>
            </w:pPr>
            <w:r>
              <w:rPr>
                <w:rFonts w:hint="eastAsia" w:ascii="宋体" w:hAnsi="宋体"/>
                <w:sz w:val="18"/>
                <w:szCs w:val="18"/>
              </w:rPr>
              <w:t>账户类别</w:t>
            </w:r>
          </w:p>
        </w:tc>
        <w:tc>
          <w:tcPr>
            <w:tcW w:w="1984" w:type="dxa"/>
            <w:shd w:val="clear" w:color="auto" w:fill="auto"/>
            <w:vAlign w:val="center"/>
          </w:tcPr>
          <w:p>
            <w:pPr>
              <w:ind w:left="84" w:leftChars="40"/>
              <w:jc w:val="left"/>
              <w:rPr>
                <w:rFonts w:ascii="宋体" w:hAnsi="宋体"/>
                <w:sz w:val="18"/>
                <w:szCs w:val="18"/>
              </w:rPr>
            </w:pPr>
            <w:r>
              <w:rPr>
                <w:rFonts w:hint="eastAsia" w:ascii="宋体" w:hAnsi="宋体"/>
                <w:sz w:val="18"/>
                <w:szCs w:val="18"/>
              </w:rPr>
              <w:t>银行账号</w:t>
            </w:r>
          </w:p>
        </w:tc>
        <w:tc>
          <w:tcPr>
            <w:tcW w:w="1701" w:type="dxa"/>
            <w:shd w:val="clear" w:color="auto" w:fill="auto"/>
            <w:vAlign w:val="center"/>
          </w:tcPr>
          <w:p>
            <w:pPr>
              <w:ind w:left="84" w:leftChars="40"/>
              <w:jc w:val="left"/>
              <w:rPr>
                <w:rFonts w:ascii="宋体" w:hAnsi="宋体"/>
                <w:sz w:val="18"/>
                <w:szCs w:val="18"/>
              </w:rPr>
            </w:pPr>
            <w:r>
              <w:rPr>
                <w:rFonts w:hint="eastAsia" w:ascii="宋体" w:hAnsi="宋体"/>
                <w:sz w:val="18"/>
                <w:szCs w:val="18"/>
              </w:rPr>
              <w:t>存储余额</w:t>
            </w:r>
          </w:p>
        </w:tc>
        <w:tc>
          <w:tcPr>
            <w:tcW w:w="1222" w:type="dxa"/>
            <w:shd w:val="clear" w:color="auto" w:fill="auto"/>
            <w:vAlign w:val="center"/>
          </w:tcPr>
          <w:p>
            <w:pPr>
              <w:ind w:left="84" w:leftChars="40"/>
              <w:jc w:val="left"/>
              <w:rPr>
                <w:rFonts w:ascii="宋体" w:hAnsi="宋体"/>
                <w:sz w:val="18"/>
                <w:szCs w:val="18"/>
              </w:rPr>
            </w:pPr>
            <w:r>
              <w:rPr>
                <w:rFonts w:hint="eastAsia" w:ascii="宋体" w:hAnsi="宋体"/>
                <w:sz w:val="18"/>
                <w:szCs w:val="18"/>
              </w:rPr>
              <w:t>备注</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5" w:hRule="atLeast"/>
        </w:trPr>
        <w:tc>
          <w:tcPr>
            <w:tcW w:w="1384" w:type="dxa"/>
            <w:vAlign w:val="center"/>
          </w:tcPr>
          <w:p>
            <w:pPr>
              <w:rPr>
                <w:sz w:val="20"/>
              </w:rPr>
            </w:pPr>
            <w:r>
              <w:rPr>
                <w:rFonts w:hint="eastAsia"/>
                <w:sz w:val="20"/>
              </w:rPr>
              <w:t>江苏吴中医药发展股份有限公司</w:t>
            </w:r>
          </w:p>
        </w:tc>
        <w:tc>
          <w:tcPr>
            <w:tcW w:w="1418" w:type="dxa"/>
            <w:shd w:val="clear" w:color="auto" w:fill="auto"/>
            <w:vAlign w:val="center"/>
          </w:tcPr>
          <w:p>
            <w:pPr>
              <w:rPr>
                <w:sz w:val="20"/>
              </w:rPr>
            </w:pPr>
            <w:r>
              <w:rPr>
                <w:rFonts w:hint="eastAsia"/>
                <w:sz w:val="20"/>
              </w:rPr>
              <w:t>中国农业银行股份有限公司苏州南门支行</w:t>
            </w:r>
          </w:p>
        </w:tc>
        <w:tc>
          <w:tcPr>
            <w:tcW w:w="1134" w:type="dxa"/>
            <w:shd w:val="clear" w:color="auto" w:fill="auto"/>
            <w:vAlign w:val="center"/>
          </w:tcPr>
          <w:p>
            <w:pPr>
              <w:rPr>
                <w:sz w:val="20"/>
              </w:rPr>
            </w:pPr>
            <w:r>
              <w:rPr>
                <w:rFonts w:hint="eastAsia"/>
                <w:sz w:val="20"/>
              </w:rPr>
              <w:t>募集资金专户</w:t>
            </w:r>
          </w:p>
        </w:tc>
        <w:tc>
          <w:tcPr>
            <w:tcW w:w="1984" w:type="dxa"/>
            <w:shd w:val="clear" w:color="auto" w:fill="auto"/>
            <w:vAlign w:val="center"/>
          </w:tcPr>
          <w:p>
            <w:pPr>
              <w:jc w:val="center"/>
              <w:rPr>
                <w:rFonts w:ascii="宋体" w:hAnsi="宋体"/>
                <w:sz w:val="20"/>
              </w:rPr>
            </w:pPr>
            <w:r>
              <w:rPr>
                <w:rFonts w:hint="eastAsia" w:ascii="宋体" w:hAnsi="宋体"/>
                <w:sz w:val="20"/>
              </w:rPr>
              <w:t>10553301040012703</w:t>
            </w:r>
          </w:p>
        </w:tc>
        <w:tc>
          <w:tcPr>
            <w:tcW w:w="1701" w:type="dxa"/>
            <w:shd w:val="clear" w:color="auto" w:fill="auto"/>
            <w:vAlign w:val="center"/>
          </w:tcPr>
          <w:p>
            <w:pPr>
              <w:jc w:val="center"/>
              <w:rPr>
                <w:rFonts w:ascii="宋体" w:hAnsi="宋体"/>
                <w:sz w:val="20"/>
              </w:rPr>
            </w:pPr>
            <w:r>
              <w:rPr>
                <w:rFonts w:hint="eastAsia" w:ascii="宋体" w:hAnsi="宋体"/>
                <w:sz w:val="20"/>
              </w:rPr>
              <w:t>已注销[注5]</w:t>
            </w:r>
          </w:p>
        </w:tc>
        <w:tc>
          <w:tcPr>
            <w:tcW w:w="1222" w:type="dxa"/>
            <w:shd w:val="clear" w:color="auto" w:fill="auto"/>
            <w:vAlign w:val="center"/>
          </w:tcPr>
          <w:p>
            <w:pPr>
              <w:rPr>
                <w:sz w:val="20"/>
              </w:rPr>
            </w:pPr>
            <w:r>
              <w:rPr>
                <w:rFonts w:hint="eastAsia"/>
                <w:sz w:val="20"/>
              </w:rPr>
              <w:t>划款账户</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1810" w:hRule="atLeast"/>
        </w:trPr>
        <w:tc>
          <w:tcPr>
            <w:tcW w:w="1384" w:type="dxa"/>
            <w:vAlign w:val="center"/>
          </w:tcPr>
          <w:p>
            <w:pPr>
              <w:rPr>
                <w:sz w:val="20"/>
              </w:rPr>
            </w:pPr>
            <w:r>
              <w:rPr>
                <w:rFonts w:hint="eastAsia"/>
                <w:sz w:val="20"/>
              </w:rPr>
              <w:t>江苏吴中医药集团有限公司苏州中凯生物制药厂</w:t>
            </w:r>
          </w:p>
        </w:tc>
        <w:tc>
          <w:tcPr>
            <w:tcW w:w="1418" w:type="dxa"/>
            <w:shd w:val="clear" w:color="auto" w:fill="auto"/>
            <w:vAlign w:val="center"/>
          </w:tcPr>
          <w:p>
            <w:pPr>
              <w:rPr>
                <w:sz w:val="20"/>
              </w:rPr>
            </w:pPr>
            <w:r>
              <w:rPr>
                <w:rFonts w:hint="eastAsia"/>
                <w:sz w:val="20"/>
              </w:rPr>
              <w:t>中国农业银行股份有限公司苏州南门支行</w:t>
            </w:r>
          </w:p>
        </w:tc>
        <w:tc>
          <w:tcPr>
            <w:tcW w:w="1134" w:type="dxa"/>
            <w:shd w:val="clear" w:color="auto" w:fill="auto"/>
            <w:vAlign w:val="center"/>
          </w:tcPr>
          <w:p>
            <w:pPr>
              <w:rPr>
                <w:sz w:val="20"/>
              </w:rPr>
            </w:pPr>
            <w:r>
              <w:rPr>
                <w:rFonts w:hint="eastAsia"/>
                <w:sz w:val="20"/>
              </w:rPr>
              <w:t>募集资金专户</w:t>
            </w:r>
          </w:p>
          <w:p>
            <w:pPr>
              <w:rPr>
                <w:sz w:val="20"/>
              </w:rPr>
            </w:pPr>
          </w:p>
        </w:tc>
        <w:tc>
          <w:tcPr>
            <w:tcW w:w="1984" w:type="dxa"/>
            <w:shd w:val="clear" w:color="auto" w:fill="auto"/>
            <w:vAlign w:val="center"/>
          </w:tcPr>
          <w:p>
            <w:pPr>
              <w:jc w:val="center"/>
              <w:rPr>
                <w:rFonts w:ascii="宋体" w:hAnsi="宋体"/>
                <w:sz w:val="20"/>
              </w:rPr>
            </w:pPr>
            <w:r>
              <w:rPr>
                <w:rFonts w:hint="eastAsia" w:ascii="宋体" w:hAnsi="宋体"/>
                <w:sz w:val="20"/>
              </w:rPr>
              <w:t>10553301040012760</w:t>
            </w:r>
          </w:p>
        </w:tc>
        <w:tc>
          <w:tcPr>
            <w:tcW w:w="1701" w:type="dxa"/>
            <w:shd w:val="clear" w:color="auto" w:fill="auto"/>
            <w:vAlign w:val="center"/>
          </w:tcPr>
          <w:p>
            <w:pPr>
              <w:jc w:val="center"/>
              <w:rPr>
                <w:rFonts w:ascii="宋体" w:hAnsi="宋体"/>
                <w:sz w:val="20"/>
              </w:rPr>
            </w:pPr>
            <w:r>
              <w:rPr>
                <w:rFonts w:hint="eastAsia" w:ascii="宋体" w:hAnsi="宋体"/>
                <w:sz w:val="20"/>
              </w:rPr>
              <w:t>已注销[注8]</w:t>
            </w:r>
          </w:p>
        </w:tc>
        <w:tc>
          <w:tcPr>
            <w:tcW w:w="1222" w:type="dxa"/>
            <w:shd w:val="clear" w:color="auto" w:fill="auto"/>
            <w:vAlign w:val="center"/>
          </w:tcPr>
          <w:p>
            <w:pPr>
              <w:rPr>
                <w:sz w:val="20"/>
              </w:rPr>
            </w:pPr>
            <w:r>
              <w:rPr>
                <w:rFonts w:hint="eastAsia"/>
                <w:sz w:val="20"/>
              </w:rPr>
              <w:t>国家一类生物抗癌新药重组人血管内皮抑素注射液研发项目</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5" w:hRule="atLeast"/>
        </w:trPr>
        <w:tc>
          <w:tcPr>
            <w:tcW w:w="1384" w:type="dxa"/>
            <w:vAlign w:val="center"/>
          </w:tcPr>
          <w:p>
            <w:pPr>
              <w:rPr>
                <w:sz w:val="20"/>
              </w:rPr>
            </w:pPr>
            <w:r>
              <w:rPr>
                <w:rFonts w:hint="eastAsia"/>
                <w:sz w:val="20"/>
              </w:rPr>
              <w:t>江苏吴中医药集团有限公司苏州制药厂</w:t>
            </w:r>
          </w:p>
        </w:tc>
        <w:tc>
          <w:tcPr>
            <w:tcW w:w="1418" w:type="dxa"/>
            <w:shd w:val="clear" w:color="auto" w:fill="auto"/>
            <w:vAlign w:val="center"/>
          </w:tcPr>
          <w:p>
            <w:pPr>
              <w:rPr>
                <w:sz w:val="20"/>
              </w:rPr>
            </w:pPr>
            <w:r>
              <w:rPr>
                <w:rFonts w:hint="eastAsia"/>
                <w:sz w:val="20"/>
              </w:rPr>
              <w:t>中国银行股份有限公司苏州吴中支行</w:t>
            </w:r>
          </w:p>
        </w:tc>
        <w:tc>
          <w:tcPr>
            <w:tcW w:w="1134" w:type="dxa"/>
            <w:shd w:val="clear" w:color="auto" w:fill="auto"/>
            <w:vAlign w:val="center"/>
          </w:tcPr>
          <w:p>
            <w:pPr>
              <w:rPr>
                <w:sz w:val="20"/>
              </w:rPr>
            </w:pPr>
            <w:r>
              <w:rPr>
                <w:rFonts w:hint="eastAsia"/>
                <w:sz w:val="20"/>
              </w:rPr>
              <w:t>募集资金专户</w:t>
            </w:r>
          </w:p>
        </w:tc>
        <w:tc>
          <w:tcPr>
            <w:tcW w:w="1984" w:type="dxa"/>
            <w:shd w:val="clear" w:color="auto" w:fill="auto"/>
            <w:vAlign w:val="center"/>
          </w:tcPr>
          <w:p>
            <w:pPr>
              <w:jc w:val="center"/>
              <w:rPr>
                <w:rFonts w:ascii="宋体" w:hAnsi="宋体"/>
                <w:sz w:val="20"/>
              </w:rPr>
            </w:pPr>
            <w:r>
              <w:rPr>
                <w:rFonts w:hint="eastAsia" w:ascii="宋体" w:hAnsi="宋体"/>
                <w:sz w:val="20"/>
              </w:rPr>
              <w:t>475470328000[注1]</w:t>
            </w:r>
          </w:p>
        </w:tc>
        <w:tc>
          <w:tcPr>
            <w:tcW w:w="1701" w:type="dxa"/>
            <w:shd w:val="clear" w:color="auto" w:fill="auto"/>
            <w:vAlign w:val="center"/>
          </w:tcPr>
          <w:p>
            <w:pPr>
              <w:widowControl/>
              <w:rPr>
                <w:kern w:val="0"/>
                <w:sz w:val="24"/>
              </w:rPr>
            </w:pPr>
          </w:p>
          <w:p>
            <w:pPr>
              <w:widowControl/>
              <w:jc w:val="center"/>
              <w:rPr>
                <w:kern w:val="0"/>
                <w:sz w:val="24"/>
              </w:rPr>
            </w:pPr>
            <w:r>
              <w:rPr>
                <w:rFonts w:hint="eastAsia"/>
              </w:rPr>
              <w:t xml:space="preserve">   2,617,370.77 </w:t>
            </w:r>
          </w:p>
          <w:p>
            <w:pPr>
              <w:jc w:val="center"/>
              <w:rPr>
                <w:rFonts w:ascii="宋体" w:hAnsi="宋体"/>
                <w:sz w:val="20"/>
              </w:rPr>
            </w:pPr>
          </w:p>
        </w:tc>
        <w:tc>
          <w:tcPr>
            <w:tcW w:w="1222" w:type="dxa"/>
            <w:shd w:val="clear" w:color="auto" w:fill="auto"/>
            <w:vAlign w:val="center"/>
          </w:tcPr>
          <w:p>
            <w:pPr>
              <w:rPr>
                <w:sz w:val="20"/>
              </w:rPr>
            </w:pPr>
            <w:r>
              <w:rPr>
                <w:rFonts w:hint="eastAsia"/>
                <w:sz w:val="20"/>
              </w:rPr>
              <w:t>原料药二期项目</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5" w:hRule="atLeast"/>
        </w:trPr>
        <w:tc>
          <w:tcPr>
            <w:tcW w:w="1384" w:type="dxa"/>
            <w:vAlign w:val="center"/>
          </w:tcPr>
          <w:p>
            <w:pPr>
              <w:rPr>
                <w:sz w:val="20"/>
              </w:rPr>
            </w:pPr>
            <w:r>
              <w:rPr>
                <w:rFonts w:hint="eastAsia"/>
                <w:sz w:val="20"/>
              </w:rPr>
              <w:t>江苏吴中医药集团有限公司苏州制药厂</w:t>
            </w:r>
          </w:p>
        </w:tc>
        <w:tc>
          <w:tcPr>
            <w:tcW w:w="1418" w:type="dxa"/>
            <w:shd w:val="clear" w:color="auto" w:fill="auto"/>
            <w:vAlign w:val="center"/>
          </w:tcPr>
          <w:p>
            <w:pPr>
              <w:rPr>
                <w:sz w:val="20"/>
              </w:rPr>
            </w:pPr>
            <w:r>
              <w:rPr>
                <w:rFonts w:hint="eastAsia"/>
                <w:sz w:val="20"/>
              </w:rPr>
              <w:t>中国银行股份有限公司苏州吴中支行</w:t>
            </w:r>
          </w:p>
        </w:tc>
        <w:tc>
          <w:tcPr>
            <w:tcW w:w="1134" w:type="dxa"/>
            <w:shd w:val="clear" w:color="auto" w:fill="auto"/>
            <w:vAlign w:val="center"/>
          </w:tcPr>
          <w:p>
            <w:pPr>
              <w:rPr>
                <w:sz w:val="20"/>
              </w:rPr>
            </w:pPr>
            <w:r>
              <w:rPr>
                <w:rFonts w:hint="eastAsia"/>
                <w:sz w:val="20"/>
              </w:rPr>
              <w:t>募集资金专户</w:t>
            </w:r>
          </w:p>
        </w:tc>
        <w:tc>
          <w:tcPr>
            <w:tcW w:w="1984" w:type="dxa"/>
            <w:shd w:val="clear" w:color="auto" w:fill="auto"/>
            <w:vAlign w:val="center"/>
          </w:tcPr>
          <w:p>
            <w:pPr>
              <w:jc w:val="center"/>
              <w:rPr>
                <w:rFonts w:ascii="宋体" w:hAnsi="宋体"/>
                <w:sz w:val="20"/>
              </w:rPr>
            </w:pPr>
            <w:r>
              <w:rPr>
                <w:rFonts w:hint="eastAsia" w:ascii="宋体" w:hAnsi="宋体"/>
                <w:sz w:val="20"/>
              </w:rPr>
              <w:t>487167582565</w:t>
            </w:r>
          </w:p>
        </w:tc>
        <w:tc>
          <w:tcPr>
            <w:tcW w:w="1701" w:type="dxa"/>
            <w:shd w:val="clear" w:color="auto" w:fill="auto"/>
            <w:vAlign w:val="center"/>
          </w:tcPr>
          <w:p>
            <w:pPr>
              <w:jc w:val="center"/>
              <w:rPr>
                <w:rFonts w:ascii="宋体" w:hAnsi="宋体"/>
                <w:sz w:val="20"/>
              </w:rPr>
            </w:pPr>
            <w:r>
              <w:rPr>
                <w:rFonts w:hint="eastAsia" w:ascii="宋体" w:hAnsi="宋体"/>
                <w:sz w:val="20"/>
              </w:rPr>
              <w:t>已注销[注6]</w:t>
            </w:r>
          </w:p>
        </w:tc>
        <w:tc>
          <w:tcPr>
            <w:tcW w:w="1222" w:type="dxa"/>
            <w:shd w:val="clear" w:color="auto" w:fill="auto"/>
            <w:vAlign w:val="center"/>
          </w:tcPr>
          <w:p>
            <w:pPr>
              <w:rPr>
                <w:sz w:val="20"/>
              </w:rPr>
            </w:pPr>
            <w:r>
              <w:rPr>
                <w:rFonts w:hint="eastAsia"/>
                <w:sz w:val="20"/>
              </w:rPr>
              <w:t>原料药（河东）、制剂（河西）调整改建项目</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5" w:hRule="atLeast"/>
        </w:trPr>
        <w:tc>
          <w:tcPr>
            <w:tcW w:w="1384" w:type="dxa"/>
            <w:vAlign w:val="center"/>
          </w:tcPr>
          <w:p>
            <w:pPr>
              <w:rPr>
                <w:sz w:val="20"/>
              </w:rPr>
            </w:pPr>
            <w:r>
              <w:rPr>
                <w:rFonts w:hint="eastAsia"/>
                <w:sz w:val="20"/>
              </w:rPr>
              <w:t>江苏吴中医药销售有限公司</w:t>
            </w:r>
          </w:p>
        </w:tc>
        <w:tc>
          <w:tcPr>
            <w:tcW w:w="1418" w:type="dxa"/>
            <w:shd w:val="clear" w:color="auto" w:fill="auto"/>
            <w:vAlign w:val="center"/>
          </w:tcPr>
          <w:p>
            <w:pPr>
              <w:rPr>
                <w:sz w:val="20"/>
              </w:rPr>
            </w:pPr>
            <w:r>
              <w:rPr>
                <w:rFonts w:hint="eastAsia"/>
                <w:sz w:val="20"/>
              </w:rPr>
              <w:t>中国银行股份有限公司苏州吴中支行</w:t>
            </w:r>
          </w:p>
        </w:tc>
        <w:tc>
          <w:tcPr>
            <w:tcW w:w="1134" w:type="dxa"/>
            <w:shd w:val="clear" w:color="auto" w:fill="auto"/>
            <w:vAlign w:val="center"/>
          </w:tcPr>
          <w:p>
            <w:pPr>
              <w:rPr>
                <w:sz w:val="20"/>
              </w:rPr>
            </w:pPr>
            <w:r>
              <w:rPr>
                <w:rFonts w:hint="eastAsia"/>
                <w:sz w:val="20"/>
              </w:rPr>
              <w:t>募集资金专户</w:t>
            </w:r>
          </w:p>
        </w:tc>
        <w:tc>
          <w:tcPr>
            <w:tcW w:w="1984" w:type="dxa"/>
            <w:shd w:val="clear" w:color="auto" w:fill="auto"/>
            <w:vAlign w:val="center"/>
          </w:tcPr>
          <w:p>
            <w:pPr>
              <w:jc w:val="center"/>
              <w:rPr>
                <w:rFonts w:ascii="宋体" w:hAnsi="宋体"/>
                <w:sz w:val="20"/>
              </w:rPr>
            </w:pPr>
            <w:r>
              <w:rPr>
                <w:rFonts w:hint="eastAsia" w:ascii="宋体" w:hAnsi="宋体"/>
                <w:sz w:val="20"/>
              </w:rPr>
              <w:t>530067627287</w:t>
            </w:r>
          </w:p>
        </w:tc>
        <w:tc>
          <w:tcPr>
            <w:tcW w:w="1701" w:type="dxa"/>
            <w:shd w:val="clear" w:color="auto" w:fill="auto"/>
            <w:vAlign w:val="center"/>
          </w:tcPr>
          <w:p>
            <w:pPr>
              <w:jc w:val="center"/>
              <w:rPr>
                <w:rFonts w:ascii="宋体" w:hAnsi="宋体"/>
                <w:sz w:val="20"/>
              </w:rPr>
            </w:pPr>
            <w:r>
              <w:rPr>
                <w:rFonts w:hint="eastAsia" w:ascii="宋体" w:hAnsi="宋体"/>
                <w:sz w:val="20"/>
              </w:rPr>
              <w:t>已注销[注6]</w:t>
            </w:r>
          </w:p>
        </w:tc>
        <w:tc>
          <w:tcPr>
            <w:tcW w:w="1222" w:type="dxa"/>
            <w:shd w:val="clear" w:color="auto" w:fill="auto"/>
            <w:vAlign w:val="center"/>
          </w:tcPr>
          <w:p>
            <w:pPr>
              <w:rPr>
                <w:sz w:val="20"/>
              </w:rPr>
            </w:pPr>
            <w:r>
              <w:rPr>
                <w:rFonts w:hint="eastAsia"/>
                <w:sz w:val="20"/>
              </w:rPr>
              <w:t>药品自动化立体仓库项目</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5" w:hRule="atLeast"/>
        </w:trPr>
        <w:tc>
          <w:tcPr>
            <w:tcW w:w="1384" w:type="dxa"/>
            <w:vAlign w:val="center"/>
          </w:tcPr>
          <w:p>
            <w:pPr>
              <w:rPr>
                <w:sz w:val="20"/>
              </w:rPr>
            </w:pPr>
            <w:r>
              <w:rPr>
                <w:rFonts w:hint="eastAsia"/>
                <w:sz w:val="20"/>
              </w:rPr>
              <w:t>江苏吴中医药医药集团公司</w:t>
            </w:r>
          </w:p>
        </w:tc>
        <w:tc>
          <w:tcPr>
            <w:tcW w:w="1418" w:type="dxa"/>
            <w:shd w:val="clear" w:color="auto" w:fill="auto"/>
            <w:vAlign w:val="center"/>
          </w:tcPr>
          <w:p>
            <w:pPr>
              <w:spacing w:line="340" w:lineRule="exact"/>
              <w:rPr>
                <w:sz w:val="20"/>
              </w:rPr>
            </w:pPr>
            <w:r>
              <w:rPr>
                <w:rFonts w:hint="eastAsia"/>
                <w:sz w:val="20"/>
              </w:rPr>
              <w:t>招商银行股份有限公司苏州吴中支行</w:t>
            </w:r>
          </w:p>
        </w:tc>
        <w:tc>
          <w:tcPr>
            <w:tcW w:w="1134" w:type="dxa"/>
            <w:shd w:val="clear" w:color="auto" w:fill="auto"/>
            <w:vAlign w:val="center"/>
          </w:tcPr>
          <w:p>
            <w:pPr>
              <w:rPr>
                <w:sz w:val="20"/>
              </w:rPr>
            </w:pPr>
            <w:r>
              <w:rPr>
                <w:rFonts w:hint="eastAsia"/>
                <w:sz w:val="20"/>
              </w:rPr>
              <w:t>募集资金专户</w:t>
            </w:r>
          </w:p>
        </w:tc>
        <w:tc>
          <w:tcPr>
            <w:tcW w:w="1984" w:type="dxa"/>
            <w:shd w:val="clear" w:color="auto" w:fill="auto"/>
            <w:vAlign w:val="center"/>
          </w:tcPr>
          <w:p>
            <w:pPr>
              <w:jc w:val="center"/>
              <w:rPr>
                <w:rFonts w:ascii="宋体" w:hAnsi="宋体"/>
                <w:sz w:val="20"/>
              </w:rPr>
            </w:pPr>
            <w:r>
              <w:rPr>
                <w:rFonts w:hint="eastAsia" w:ascii="宋体" w:hAnsi="宋体"/>
                <w:sz w:val="20"/>
              </w:rPr>
              <w:t>512902474610829</w:t>
            </w:r>
          </w:p>
        </w:tc>
        <w:tc>
          <w:tcPr>
            <w:tcW w:w="1701" w:type="dxa"/>
            <w:shd w:val="clear" w:color="auto" w:fill="auto"/>
            <w:vAlign w:val="center"/>
          </w:tcPr>
          <w:p>
            <w:pPr>
              <w:jc w:val="center"/>
              <w:rPr>
                <w:rFonts w:ascii="宋体" w:hAnsi="宋体"/>
                <w:sz w:val="20"/>
              </w:rPr>
            </w:pPr>
            <w:r>
              <w:rPr>
                <w:rFonts w:hint="eastAsia" w:ascii="宋体" w:hAnsi="宋体"/>
                <w:sz w:val="20"/>
              </w:rPr>
              <w:t>已注销[注7]</w:t>
            </w:r>
          </w:p>
        </w:tc>
        <w:tc>
          <w:tcPr>
            <w:tcW w:w="1222" w:type="dxa"/>
            <w:shd w:val="clear" w:color="auto" w:fill="auto"/>
            <w:vAlign w:val="center"/>
          </w:tcPr>
          <w:p>
            <w:pPr>
              <w:rPr>
                <w:sz w:val="20"/>
              </w:rPr>
            </w:pPr>
            <w:r>
              <w:rPr>
                <w:rFonts w:hint="eastAsia"/>
                <w:sz w:val="20"/>
              </w:rPr>
              <w:t>医药营销网络建设项目</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5" w:hRule="atLeast"/>
        </w:trPr>
        <w:tc>
          <w:tcPr>
            <w:tcW w:w="1384" w:type="dxa"/>
            <w:vAlign w:val="center"/>
          </w:tcPr>
          <w:p>
            <w:pPr>
              <w:rPr>
                <w:sz w:val="20"/>
              </w:rPr>
            </w:pPr>
            <w:r>
              <w:rPr>
                <w:rFonts w:hint="eastAsia"/>
                <w:sz w:val="20"/>
              </w:rPr>
              <w:t>江苏吴中医药集团有限公司</w:t>
            </w:r>
          </w:p>
        </w:tc>
        <w:tc>
          <w:tcPr>
            <w:tcW w:w="1418" w:type="dxa"/>
            <w:shd w:val="clear" w:color="auto" w:fill="auto"/>
            <w:vAlign w:val="center"/>
          </w:tcPr>
          <w:p>
            <w:pPr>
              <w:spacing w:line="340" w:lineRule="exact"/>
              <w:rPr>
                <w:sz w:val="20"/>
              </w:rPr>
            </w:pPr>
            <w:r>
              <w:rPr>
                <w:rFonts w:hint="eastAsia"/>
                <w:sz w:val="20"/>
              </w:rPr>
              <w:t>中国工商银行股份有限公司苏州吴中支行</w:t>
            </w:r>
          </w:p>
        </w:tc>
        <w:tc>
          <w:tcPr>
            <w:tcW w:w="1134" w:type="dxa"/>
            <w:shd w:val="clear" w:color="auto" w:fill="auto"/>
            <w:vAlign w:val="center"/>
          </w:tcPr>
          <w:p>
            <w:pPr>
              <w:rPr>
                <w:sz w:val="20"/>
              </w:rPr>
            </w:pPr>
            <w:r>
              <w:rPr>
                <w:rFonts w:hint="eastAsia"/>
                <w:sz w:val="20"/>
              </w:rPr>
              <w:t>募集资金专户</w:t>
            </w:r>
          </w:p>
        </w:tc>
        <w:tc>
          <w:tcPr>
            <w:tcW w:w="1984" w:type="dxa"/>
            <w:shd w:val="clear" w:color="auto" w:fill="auto"/>
            <w:vAlign w:val="center"/>
          </w:tcPr>
          <w:p>
            <w:pPr>
              <w:jc w:val="center"/>
              <w:rPr>
                <w:rFonts w:ascii="宋体" w:hAnsi="宋体"/>
                <w:sz w:val="20"/>
              </w:rPr>
            </w:pPr>
            <w:r>
              <w:rPr>
                <w:rFonts w:hint="eastAsia" w:ascii="宋体" w:hAnsi="宋体"/>
                <w:sz w:val="20"/>
              </w:rPr>
              <w:t>1102026219000744978</w:t>
            </w:r>
          </w:p>
        </w:tc>
        <w:tc>
          <w:tcPr>
            <w:tcW w:w="1701" w:type="dxa"/>
            <w:shd w:val="clear" w:color="auto" w:fill="auto"/>
            <w:vAlign w:val="center"/>
          </w:tcPr>
          <w:p>
            <w:pPr>
              <w:jc w:val="center"/>
              <w:rPr>
                <w:rFonts w:ascii="宋体" w:hAnsi="宋体"/>
                <w:sz w:val="20"/>
              </w:rPr>
            </w:pPr>
            <w:r>
              <w:rPr>
                <w:rFonts w:hint="eastAsia" w:ascii="宋体" w:hAnsi="宋体"/>
                <w:sz w:val="20"/>
              </w:rPr>
              <w:t>已注销[注9]</w:t>
            </w:r>
          </w:p>
        </w:tc>
        <w:tc>
          <w:tcPr>
            <w:tcW w:w="1222" w:type="dxa"/>
            <w:shd w:val="clear" w:color="auto" w:fill="auto"/>
            <w:vAlign w:val="center"/>
          </w:tcPr>
          <w:p>
            <w:pPr>
              <w:rPr>
                <w:sz w:val="20"/>
              </w:rPr>
            </w:pPr>
            <w:r>
              <w:rPr>
                <w:rFonts w:hint="eastAsia"/>
                <w:sz w:val="20"/>
              </w:rPr>
              <w:t>医药研发中心项目</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5" w:hRule="atLeast"/>
        </w:trPr>
        <w:tc>
          <w:tcPr>
            <w:tcW w:w="1384" w:type="dxa"/>
            <w:vAlign w:val="center"/>
          </w:tcPr>
          <w:p>
            <w:pPr>
              <w:rPr>
                <w:sz w:val="20"/>
              </w:rPr>
            </w:pPr>
            <w:r>
              <w:rPr>
                <w:rFonts w:hint="eastAsia"/>
                <w:sz w:val="20"/>
              </w:rPr>
              <w:t>江苏吴中医药集团有限公司</w:t>
            </w:r>
          </w:p>
        </w:tc>
        <w:tc>
          <w:tcPr>
            <w:tcW w:w="1418" w:type="dxa"/>
            <w:shd w:val="clear" w:color="auto" w:fill="auto"/>
            <w:vAlign w:val="center"/>
          </w:tcPr>
          <w:p>
            <w:pPr>
              <w:spacing w:line="340" w:lineRule="exact"/>
              <w:rPr>
                <w:sz w:val="20"/>
              </w:rPr>
            </w:pPr>
            <w:r>
              <w:rPr>
                <w:rFonts w:hint="eastAsia"/>
                <w:sz w:val="20"/>
              </w:rPr>
              <w:t>交通银行股份有限公司苏州吴中支行</w:t>
            </w:r>
          </w:p>
        </w:tc>
        <w:tc>
          <w:tcPr>
            <w:tcW w:w="1134" w:type="dxa"/>
            <w:shd w:val="clear" w:color="auto" w:fill="auto"/>
            <w:vAlign w:val="center"/>
          </w:tcPr>
          <w:p>
            <w:pPr>
              <w:rPr>
                <w:sz w:val="20"/>
              </w:rPr>
            </w:pPr>
            <w:r>
              <w:rPr>
                <w:rFonts w:hint="eastAsia"/>
                <w:sz w:val="20"/>
              </w:rPr>
              <w:t>募集资金专户</w:t>
            </w:r>
          </w:p>
        </w:tc>
        <w:tc>
          <w:tcPr>
            <w:tcW w:w="1984" w:type="dxa"/>
            <w:shd w:val="clear" w:color="auto" w:fill="auto"/>
            <w:vAlign w:val="center"/>
          </w:tcPr>
          <w:p>
            <w:pPr>
              <w:jc w:val="center"/>
              <w:rPr>
                <w:rFonts w:ascii="宋体" w:hAnsi="宋体"/>
                <w:sz w:val="20"/>
              </w:rPr>
            </w:pPr>
            <w:r>
              <w:rPr>
                <w:rFonts w:hint="eastAsia" w:ascii="宋体" w:hAnsi="宋体"/>
                <w:sz w:val="20"/>
              </w:rPr>
              <w:t>325325400018800007690</w:t>
            </w:r>
          </w:p>
        </w:tc>
        <w:tc>
          <w:tcPr>
            <w:tcW w:w="1701" w:type="dxa"/>
            <w:shd w:val="clear" w:color="auto" w:fill="auto"/>
            <w:vAlign w:val="center"/>
          </w:tcPr>
          <w:p>
            <w:pPr>
              <w:jc w:val="center"/>
              <w:rPr>
                <w:rFonts w:ascii="宋体" w:hAnsi="宋体"/>
                <w:sz w:val="20"/>
              </w:rPr>
            </w:pPr>
            <w:r>
              <w:rPr>
                <w:rFonts w:hint="eastAsia" w:ascii="宋体" w:hAnsi="宋体"/>
                <w:sz w:val="20"/>
              </w:rPr>
              <w:t>已注销[注5]</w:t>
            </w:r>
          </w:p>
        </w:tc>
        <w:tc>
          <w:tcPr>
            <w:tcW w:w="1222" w:type="dxa"/>
            <w:shd w:val="clear" w:color="auto" w:fill="auto"/>
            <w:vAlign w:val="center"/>
          </w:tcPr>
          <w:p>
            <w:pPr>
              <w:rPr>
                <w:sz w:val="20"/>
              </w:rPr>
            </w:pPr>
            <w:r>
              <w:rPr>
                <w:rFonts w:hint="eastAsia"/>
                <w:sz w:val="20"/>
              </w:rPr>
              <w:t>补充医药业务营运资金</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1324" w:hRule="atLeast"/>
        </w:trPr>
        <w:tc>
          <w:tcPr>
            <w:tcW w:w="1384" w:type="dxa"/>
            <w:vAlign w:val="center"/>
          </w:tcPr>
          <w:p>
            <w:pPr>
              <w:ind w:left="84" w:leftChars="40"/>
              <w:rPr>
                <w:rFonts w:ascii="宋体" w:hAnsi="宋体"/>
                <w:sz w:val="20"/>
                <w:szCs w:val="18"/>
              </w:rPr>
            </w:pPr>
            <w:r>
              <w:rPr>
                <w:rFonts w:hint="eastAsia" w:ascii="宋体" w:hAnsi="宋体"/>
                <w:sz w:val="20"/>
                <w:szCs w:val="18"/>
              </w:rPr>
              <w:t>苏州泽润新药研发有限公司</w:t>
            </w:r>
          </w:p>
        </w:tc>
        <w:tc>
          <w:tcPr>
            <w:tcW w:w="1418" w:type="dxa"/>
            <w:shd w:val="clear" w:color="auto" w:fill="auto"/>
            <w:vAlign w:val="center"/>
          </w:tcPr>
          <w:p>
            <w:pPr>
              <w:rPr>
                <w:sz w:val="20"/>
              </w:rPr>
            </w:pPr>
            <w:r>
              <w:rPr>
                <w:rFonts w:hint="eastAsia"/>
                <w:sz w:val="20"/>
              </w:rPr>
              <w:t>中国农业银行股份有限公司苏州南门支行</w:t>
            </w:r>
          </w:p>
        </w:tc>
        <w:tc>
          <w:tcPr>
            <w:tcW w:w="1134" w:type="dxa"/>
            <w:shd w:val="clear" w:color="auto" w:fill="auto"/>
            <w:vAlign w:val="center"/>
          </w:tcPr>
          <w:p>
            <w:pPr>
              <w:rPr>
                <w:sz w:val="20"/>
              </w:rPr>
            </w:pPr>
            <w:r>
              <w:rPr>
                <w:rFonts w:hint="eastAsia"/>
                <w:sz w:val="20"/>
              </w:rPr>
              <w:t>募集资金专户</w:t>
            </w:r>
          </w:p>
        </w:tc>
        <w:tc>
          <w:tcPr>
            <w:tcW w:w="1984" w:type="dxa"/>
            <w:shd w:val="clear" w:color="auto" w:fill="auto"/>
            <w:vAlign w:val="center"/>
          </w:tcPr>
          <w:p>
            <w:pPr>
              <w:jc w:val="center"/>
              <w:rPr>
                <w:rFonts w:ascii="宋体" w:hAnsi="宋体"/>
                <w:sz w:val="20"/>
              </w:rPr>
            </w:pPr>
            <w:r>
              <w:rPr>
                <w:rFonts w:ascii="宋体" w:hAnsi="宋体"/>
                <w:sz w:val="20"/>
              </w:rPr>
              <w:t>10553301040017652</w:t>
            </w:r>
            <w:r>
              <w:rPr>
                <w:rFonts w:hint="eastAsia" w:ascii="宋体" w:hAnsi="宋体"/>
                <w:sz w:val="20"/>
              </w:rPr>
              <w:t>[注2]</w:t>
            </w:r>
          </w:p>
        </w:tc>
        <w:tc>
          <w:tcPr>
            <w:tcW w:w="1701" w:type="dxa"/>
            <w:shd w:val="clear" w:color="auto" w:fill="auto"/>
            <w:vAlign w:val="center"/>
          </w:tcPr>
          <w:p>
            <w:pPr>
              <w:widowControl/>
              <w:rPr>
                <w:kern w:val="0"/>
                <w:sz w:val="24"/>
              </w:rPr>
            </w:pPr>
          </w:p>
          <w:p>
            <w:pPr>
              <w:widowControl/>
              <w:jc w:val="center"/>
              <w:rPr>
                <w:kern w:val="0"/>
                <w:sz w:val="24"/>
              </w:rPr>
            </w:pPr>
            <w:r>
              <w:rPr>
                <w:rFonts w:hint="eastAsia"/>
              </w:rPr>
              <w:t xml:space="preserve"> 12,068,338.70 </w:t>
            </w:r>
          </w:p>
        </w:tc>
        <w:tc>
          <w:tcPr>
            <w:tcW w:w="1222" w:type="dxa"/>
            <w:shd w:val="clear" w:color="auto" w:fill="auto"/>
            <w:vAlign w:val="center"/>
          </w:tcPr>
          <w:p>
            <w:pPr>
              <w:rPr>
                <w:sz w:val="20"/>
              </w:rPr>
            </w:pPr>
            <w:r>
              <w:rPr>
                <w:rFonts w:hint="eastAsia"/>
                <w:sz w:val="20"/>
              </w:rPr>
              <w:t xml:space="preserve">抗肿瘤 1 类 新药YS001 的研发项目 </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1413" w:hRule="atLeast"/>
        </w:trPr>
        <w:tc>
          <w:tcPr>
            <w:tcW w:w="1384" w:type="dxa"/>
            <w:vAlign w:val="center"/>
          </w:tcPr>
          <w:p>
            <w:pPr>
              <w:ind w:left="84" w:leftChars="40"/>
              <w:rPr>
                <w:rFonts w:ascii="宋体" w:hAnsi="宋体"/>
                <w:sz w:val="20"/>
                <w:szCs w:val="18"/>
              </w:rPr>
            </w:pPr>
            <w:r>
              <w:rPr>
                <w:rFonts w:hint="eastAsia" w:ascii="宋体" w:hAnsi="宋体"/>
                <w:sz w:val="20"/>
                <w:szCs w:val="18"/>
              </w:rPr>
              <w:t>江苏吴中医药集团有限公司苏州制药厂</w:t>
            </w:r>
          </w:p>
        </w:tc>
        <w:tc>
          <w:tcPr>
            <w:tcW w:w="1418" w:type="dxa"/>
            <w:shd w:val="clear" w:color="auto" w:fill="auto"/>
            <w:vAlign w:val="center"/>
          </w:tcPr>
          <w:p>
            <w:pPr>
              <w:rPr>
                <w:sz w:val="20"/>
              </w:rPr>
            </w:pPr>
            <w:r>
              <w:rPr>
                <w:rFonts w:hint="eastAsia"/>
                <w:sz w:val="20"/>
              </w:rPr>
              <w:t>中国农业银行股份有限公司苏州南门支行</w:t>
            </w:r>
          </w:p>
        </w:tc>
        <w:tc>
          <w:tcPr>
            <w:tcW w:w="1134" w:type="dxa"/>
            <w:shd w:val="clear" w:color="auto" w:fill="auto"/>
            <w:vAlign w:val="center"/>
          </w:tcPr>
          <w:p>
            <w:pPr>
              <w:rPr>
                <w:sz w:val="20"/>
              </w:rPr>
            </w:pPr>
            <w:r>
              <w:rPr>
                <w:rFonts w:hint="eastAsia"/>
                <w:sz w:val="20"/>
              </w:rPr>
              <w:t>募集资金专户</w:t>
            </w:r>
          </w:p>
          <w:p>
            <w:pPr>
              <w:rPr>
                <w:sz w:val="20"/>
              </w:rPr>
            </w:pPr>
          </w:p>
        </w:tc>
        <w:tc>
          <w:tcPr>
            <w:tcW w:w="1984" w:type="dxa"/>
            <w:shd w:val="clear" w:color="auto" w:fill="auto"/>
            <w:vAlign w:val="center"/>
          </w:tcPr>
          <w:p>
            <w:pPr>
              <w:jc w:val="center"/>
              <w:rPr>
                <w:rFonts w:ascii="宋体" w:hAnsi="宋体"/>
                <w:sz w:val="20"/>
              </w:rPr>
            </w:pPr>
            <w:r>
              <w:rPr>
                <w:rFonts w:ascii="宋体" w:hAnsi="宋体"/>
                <w:sz w:val="20"/>
              </w:rPr>
              <w:t>10553301040017694</w:t>
            </w:r>
            <w:r>
              <w:rPr>
                <w:rFonts w:hint="eastAsia" w:ascii="宋体" w:hAnsi="宋体"/>
                <w:sz w:val="20"/>
              </w:rPr>
              <w:t>[注4]</w:t>
            </w:r>
          </w:p>
        </w:tc>
        <w:tc>
          <w:tcPr>
            <w:tcW w:w="1701" w:type="dxa"/>
            <w:shd w:val="clear" w:color="auto" w:fill="auto"/>
            <w:vAlign w:val="center"/>
          </w:tcPr>
          <w:p>
            <w:pPr>
              <w:widowControl/>
              <w:jc w:val="center"/>
              <w:rPr>
                <w:kern w:val="0"/>
                <w:sz w:val="24"/>
              </w:rPr>
            </w:pPr>
            <w:r>
              <w:rPr>
                <w:rFonts w:hint="eastAsia"/>
              </w:rPr>
              <w:t xml:space="preserve">    </w:t>
            </w:r>
          </w:p>
          <w:p>
            <w:pPr>
              <w:widowControl/>
              <w:jc w:val="center"/>
              <w:rPr>
                <w:kern w:val="0"/>
                <w:sz w:val="24"/>
              </w:rPr>
            </w:pPr>
            <w:r>
              <w:rPr>
                <w:rFonts w:hint="eastAsia"/>
              </w:rPr>
              <w:t xml:space="preserve">   8,343,856.49 </w:t>
            </w:r>
          </w:p>
          <w:p>
            <w:pPr>
              <w:ind w:left="84" w:leftChars="40"/>
              <w:jc w:val="center"/>
              <w:rPr>
                <w:rFonts w:ascii="宋体" w:hAnsi="宋体"/>
                <w:sz w:val="20"/>
                <w:szCs w:val="18"/>
              </w:rPr>
            </w:pPr>
          </w:p>
        </w:tc>
        <w:tc>
          <w:tcPr>
            <w:tcW w:w="1222" w:type="dxa"/>
            <w:shd w:val="clear" w:color="auto" w:fill="auto"/>
            <w:vAlign w:val="center"/>
          </w:tcPr>
          <w:p>
            <w:pPr>
              <w:rPr>
                <w:sz w:val="20"/>
              </w:rPr>
            </w:pPr>
            <w:r>
              <w:rPr>
                <w:rFonts w:hint="eastAsia"/>
                <w:sz w:val="20"/>
              </w:rPr>
              <w:t xml:space="preserve">西洛他唑等 上市化学仿 制药的一致 性评价项目 </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1453" w:hRule="atLeast"/>
        </w:trPr>
        <w:tc>
          <w:tcPr>
            <w:tcW w:w="1384" w:type="dxa"/>
            <w:vAlign w:val="center"/>
          </w:tcPr>
          <w:p>
            <w:pPr>
              <w:ind w:left="84" w:leftChars="40"/>
              <w:rPr>
                <w:rFonts w:ascii="宋体" w:hAnsi="宋体"/>
                <w:sz w:val="20"/>
                <w:szCs w:val="18"/>
              </w:rPr>
            </w:pPr>
            <w:r>
              <w:rPr>
                <w:rFonts w:hint="eastAsia" w:ascii="宋体" w:hAnsi="宋体"/>
                <w:sz w:val="20"/>
                <w:szCs w:val="18"/>
              </w:rPr>
              <w:t>江苏吴中医药集团有限公司苏州制药厂</w:t>
            </w:r>
          </w:p>
        </w:tc>
        <w:tc>
          <w:tcPr>
            <w:tcW w:w="1418" w:type="dxa"/>
            <w:shd w:val="clear" w:color="auto" w:fill="auto"/>
            <w:vAlign w:val="center"/>
          </w:tcPr>
          <w:p>
            <w:pPr>
              <w:rPr>
                <w:sz w:val="20"/>
              </w:rPr>
            </w:pPr>
            <w:r>
              <w:rPr>
                <w:rFonts w:hint="eastAsia"/>
                <w:sz w:val="20"/>
              </w:rPr>
              <w:t>中国农业银行股份有限公司苏州南门支行</w:t>
            </w:r>
          </w:p>
        </w:tc>
        <w:tc>
          <w:tcPr>
            <w:tcW w:w="1134" w:type="dxa"/>
            <w:shd w:val="clear" w:color="auto" w:fill="auto"/>
            <w:vAlign w:val="center"/>
          </w:tcPr>
          <w:p>
            <w:pPr>
              <w:rPr>
                <w:sz w:val="20"/>
              </w:rPr>
            </w:pPr>
            <w:r>
              <w:rPr>
                <w:rFonts w:hint="eastAsia"/>
                <w:sz w:val="20"/>
              </w:rPr>
              <w:t>募集资金专户</w:t>
            </w:r>
          </w:p>
        </w:tc>
        <w:tc>
          <w:tcPr>
            <w:tcW w:w="1984" w:type="dxa"/>
            <w:shd w:val="clear" w:color="auto" w:fill="auto"/>
            <w:vAlign w:val="center"/>
          </w:tcPr>
          <w:p>
            <w:pPr>
              <w:jc w:val="center"/>
              <w:rPr>
                <w:rFonts w:ascii="宋体" w:hAnsi="宋体"/>
                <w:sz w:val="20"/>
              </w:rPr>
            </w:pPr>
            <w:r>
              <w:rPr>
                <w:rFonts w:ascii="宋体" w:hAnsi="宋体"/>
                <w:sz w:val="20"/>
              </w:rPr>
              <w:t>10553301040017678</w:t>
            </w:r>
            <w:r>
              <w:rPr>
                <w:rFonts w:hint="eastAsia" w:ascii="宋体" w:hAnsi="宋体"/>
                <w:sz w:val="20"/>
              </w:rPr>
              <w:t>[注3]</w:t>
            </w:r>
          </w:p>
        </w:tc>
        <w:tc>
          <w:tcPr>
            <w:tcW w:w="1701" w:type="dxa"/>
            <w:shd w:val="clear" w:color="auto" w:fill="auto"/>
            <w:vAlign w:val="center"/>
          </w:tcPr>
          <w:p>
            <w:pPr>
              <w:widowControl/>
              <w:jc w:val="center"/>
              <w:rPr>
                <w:kern w:val="0"/>
                <w:sz w:val="24"/>
              </w:rPr>
            </w:pPr>
            <w:r>
              <w:rPr>
                <w:rFonts w:hint="eastAsia"/>
              </w:rPr>
              <w:t xml:space="preserve">   </w:t>
            </w:r>
          </w:p>
          <w:p>
            <w:pPr>
              <w:widowControl/>
              <w:jc w:val="center"/>
              <w:rPr>
                <w:kern w:val="0"/>
                <w:sz w:val="24"/>
              </w:rPr>
            </w:pPr>
            <w:r>
              <w:rPr>
                <w:rFonts w:hint="eastAsia"/>
              </w:rPr>
              <w:t xml:space="preserve">   9,828,564.53 </w:t>
            </w:r>
          </w:p>
          <w:p>
            <w:pPr>
              <w:widowControl/>
              <w:jc w:val="center"/>
              <w:rPr>
                <w:kern w:val="0"/>
                <w:sz w:val="24"/>
              </w:rPr>
            </w:pPr>
          </w:p>
        </w:tc>
        <w:tc>
          <w:tcPr>
            <w:tcW w:w="1222" w:type="dxa"/>
            <w:shd w:val="clear" w:color="auto" w:fill="auto"/>
            <w:vAlign w:val="center"/>
          </w:tcPr>
          <w:p>
            <w:pPr>
              <w:rPr>
                <w:sz w:val="20"/>
              </w:rPr>
            </w:pPr>
            <w:r>
              <w:rPr>
                <w:rFonts w:hint="eastAsia"/>
                <w:sz w:val="20"/>
              </w:rPr>
              <w:t xml:space="preserve">利奈唑胺与 沃诺拉赞的 仿制项目 </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5" w:hRule="atLeast"/>
        </w:trPr>
        <w:tc>
          <w:tcPr>
            <w:tcW w:w="1384" w:type="dxa"/>
          </w:tcPr>
          <w:p>
            <w:pPr>
              <w:ind w:left="84" w:leftChars="40"/>
              <w:jc w:val="left"/>
              <w:rPr>
                <w:rFonts w:ascii="宋体" w:hAnsi="宋体"/>
                <w:sz w:val="18"/>
                <w:szCs w:val="18"/>
              </w:rPr>
            </w:pPr>
          </w:p>
        </w:tc>
        <w:tc>
          <w:tcPr>
            <w:tcW w:w="1418" w:type="dxa"/>
            <w:shd w:val="clear" w:color="auto" w:fill="auto"/>
            <w:vAlign w:val="center"/>
          </w:tcPr>
          <w:p>
            <w:pPr>
              <w:ind w:left="84" w:leftChars="40"/>
              <w:jc w:val="left"/>
              <w:rPr>
                <w:rFonts w:ascii="宋体" w:hAnsi="宋体"/>
                <w:sz w:val="18"/>
                <w:szCs w:val="18"/>
              </w:rPr>
            </w:pPr>
            <w:r>
              <w:rPr>
                <w:rFonts w:hint="eastAsia" w:ascii="宋体" w:hAnsi="宋体"/>
                <w:sz w:val="18"/>
                <w:szCs w:val="18"/>
              </w:rPr>
              <w:t>合  计</w:t>
            </w:r>
          </w:p>
        </w:tc>
        <w:tc>
          <w:tcPr>
            <w:tcW w:w="1134" w:type="dxa"/>
            <w:shd w:val="clear" w:color="auto" w:fill="auto"/>
            <w:vAlign w:val="center"/>
          </w:tcPr>
          <w:p>
            <w:pPr>
              <w:ind w:left="84" w:leftChars="40"/>
              <w:jc w:val="left"/>
              <w:rPr>
                <w:rFonts w:ascii="宋体" w:hAnsi="宋体"/>
                <w:sz w:val="18"/>
                <w:szCs w:val="18"/>
              </w:rPr>
            </w:pPr>
          </w:p>
        </w:tc>
        <w:tc>
          <w:tcPr>
            <w:tcW w:w="1984" w:type="dxa"/>
            <w:shd w:val="clear" w:color="auto" w:fill="auto"/>
            <w:vAlign w:val="center"/>
          </w:tcPr>
          <w:p>
            <w:pPr>
              <w:ind w:left="84" w:leftChars="40"/>
              <w:jc w:val="left"/>
              <w:rPr>
                <w:rFonts w:ascii="宋体" w:hAnsi="宋体"/>
                <w:sz w:val="18"/>
                <w:szCs w:val="18"/>
              </w:rPr>
            </w:pPr>
          </w:p>
        </w:tc>
        <w:tc>
          <w:tcPr>
            <w:tcW w:w="1701" w:type="dxa"/>
            <w:shd w:val="clear" w:color="auto" w:fill="auto"/>
            <w:vAlign w:val="center"/>
          </w:tcPr>
          <w:p>
            <w:pPr>
              <w:widowControl/>
              <w:jc w:val="right"/>
            </w:pPr>
            <w:r>
              <w:rPr>
                <w:rFonts w:hint="eastAsia"/>
              </w:rPr>
              <w:t xml:space="preserve"> </w:t>
            </w:r>
          </w:p>
          <w:p>
            <w:pPr>
              <w:widowControl/>
              <w:jc w:val="right"/>
              <w:rPr>
                <w:kern w:val="0"/>
                <w:sz w:val="24"/>
              </w:rPr>
            </w:pPr>
            <w:r>
              <w:rPr>
                <w:rFonts w:hint="eastAsia"/>
              </w:rPr>
              <w:t xml:space="preserve">32,858,130.49 </w:t>
            </w:r>
          </w:p>
          <w:p>
            <w:pPr>
              <w:widowControl/>
              <w:jc w:val="right"/>
              <w:rPr>
                <w:kern w:val="0"/>
                <w:sz w:val="24"/>
              </w:rPr>
            </w:pPr>
            <w:r>
              <w:rPr>
                <w:rFonts w:hint="eastAsia"/>
              </w:rPr>
              <w:t xml:space="preserve">   </w:t>
            </w:r>
          </w:p>
        </w:tc>
        <w:tc>
          <w:tcPr>
            <w:tcW w:w="1222" w:type="dxa"/>
            <w:shd w:val="clear" w:color="auto" w:fill="auto"/>
            <w:vAlign w:val="center"/>
          </w:tcPr>
          <w:p>
            <w:pPr>
              <w:ind w:left="84" w:leftChars="40"/>
              <w:jc w:val="left"/>
              <w:rPr>
                <w:rFonts w:ascii="宋体" w:hAnsi="宋体"/>
                <w:sz w:val="18"/>
                <w:szCs w:val="18"/>
              </w:rPr>
            </w:pPr>
          </w:p>
        </w:tc>
      </w:tr>
    </w:tbl>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[注]：</w:t>
      </w:r>
    </w:p>
    <w:p>
      <w:pPr>
        <w:autoSpaceDE w:val="0"/>
        <w:autoSpaceDN w:val="0"/>
        <w:adjustRightInd w:val="0"/>
        <w:spacing w:line="460" w:lineRule="exact"/>
        <w:ind w:firstLine="360" w:firstLineChars="200"/>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注1：2017年6月8日，江苏吴中医药集团有限公司苏州制药厂在中国银行股份有限公司苏州吴中支行开设募集资金专项账户，账号为475470328000，专户中的募集资金以活期存款的形式存在。该专户仅用于江苏吴中医药集团有限公司苏州制药厂原料药二期项目募集资金的存储和使用。</w:t>
      </w:r>
    </w:p>
    <w:p>
      <w:pPr>
        <w:autoSpaceDE w:val="0"/>
        <w:autoSpaceDN w:val="0"/>
        <w:adjustRightInd w:val="0"/>
        <w:spacing w:line="460" w:lineRule="exact"/>
        <w:ind w:firstLine="360" w:firstLineChars="200"/>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注2：2019年9月4日，苏州泽润新药研发有限公司在中国农业银行股份有限公司苏州南门支行开设募集资金专项账户，账号为10553301040017652，专户中的募集资金以活期存款的形式存在,该专户仅用于苏州泽润新药研发有限公司抗肿瘤 1 类 新药 YS001 的研发项目募集资金的存储和使用。</w:t>
      </w:r>
    </w:p>
    <w:p>
      <w:pPr>
        <w:autoSpaceDE w:val="0"/>
        <w:autoSpaceDN w:val="0"/>
        <w:adjustRightInd w:val="0"/>
        <w:spacing w:line="460" w:lineRule="exact"/>
        <w:ind w:firstLine="360" w:firstLineChars="200"/>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注3：2019年9月5日，江苏吴中医药集团有限公司苏州制药厂在中国农业银行股份有限公司苏州南门支行开设1个募集资金专项账户，账号为10553301040017678，仅用于利奈唑胺与沃诺拉赞的仿制项目募集资金的存储和使用，均以活期存款的形式存在。</w:t>
      </w:r>
    </w:p>
    <w:p>
      <w:pPr>
        <w:autoSpaceDE w:val="0"/>
        <w:autoSpaceDN w:val="0"/>
        <w:adjustRightInd w:val="0"/>
        <w:spacing w:line="460" w:lineRule="exact"/>
        <w:ind w:firstLine="360" w:firstLineChars="200"/>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注4：2019年9月6号，江苏吴中医药集团有限公司苏州制药厂在中国农业银行股份有限公司苏州南门支行开设1个募集资金专项账户，账号为10553301040017694，仅用于西洛他唑等上市化学仿制药的一致性评价项目募集资金的存储和使用，均以活期存款的形式存在。</w:t>
      </w:r>
    </w:p>
    <w:p>
      <w:pPr>
        <w:autoSpaceDE w:val="0"/>
        <w:autoSpaceDN w:val="0"/>
        <w:adjustRightInd w:val="0"/>
        <w:spacing w:line="460" w:lineRule="exact"/>
        <w:ind w:firstLine="360" w:firstLineChars="200"/>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注5：截至2016年7月22日，公司已注销中国农业银行苏州南门支行募集资金专户(账号10553301040012703)及交通银行股份有限公司苏州吴中支行募集资金专户(账号325325400018800007690)。</w:t>
      </w:r>
    </w:p>
    <w:p>
      <w:pPr>
        <w:autoSpaceDE w:val="0"/>
        <w:autoSpaceDN w:val="0"/>
        <w:adjustRightInd w:val="0"/>
        <w:spacing w:line="460" w:lineRule="exact"/>
        <w:ind w:firstLine="360" w:firstLineChars="200"/>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注6：截至2017年12月8日，公司已注销中国银行股份有限公司苏州吴中支行开立的募集资金专用账户(账号:487167582565)及在中国银行股份有限公司苏州吴中支行开立的募集资金专用账户(账号:530067627287)。</w:t>
      </w:r>
    </w:p>
    <w:p>
      <w:pPr>
        <w:autoSpaceDE w:val="0"/>
        <w:autoSpaceDN w:val="0"/>
        <w:adjustRightInd w:val="0"/>
        <w:spacing w:line="460" w:lineRule="exact"/>
        <w:ind w:firstLine="360" w:firstLineChars="200"/>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注7：截至2018年7月18日，公司已注销招商银行股份有限公司苏州吴中支行开立的募集资金专用账户（账号：512902474610829）[该专户注销时无余额]。</w:t>
      </w:r>
    </w:p>
    <w:p>
      <w:pPr>
        <w:autoSpaceDE w:val="0"/>
        <w:autoSpaceDN w:val="0"/>
        <w:adjustRightInd w:val="0"/>
        <w:spacing w:line="460" w:lineRule="exact"/>
        <w:ind w:firstLine="360" w:firstLineChars="200"/>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注8：截至2019年10月17日，公司已注销中国农业银行苏州南门支行募集资金专户(账号10553301040012760)。该专户注销时余额分项转入中国农业银行苏州南门支行募集资金专户（账号一10553301040017652，账号二10553301040017694，账号三10553301040017678 ）</w:t>
      </w:r>
    </w:p>
    <w:p>
      <w:pPr>
        <w:autoSpaceDE w:val="0"/>
        <w:autoSpaceDN w:val="0"/>
        <w:adjustRightInd w:val="0"/>
        <w:spacing w:line="460" w:lineRule="exact"/>
        <w:ind w:firstLine="360" w:firstLineChars="200"/>
        <w:rPr>
          <w:rFonts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注9：截至2020年11月16日，公司已注销中国工商银行吴中支行开立的募集资金专用帐户（1102026219000744978）[该专户注销时无余额]</w:t>
      </w:r>
    </w:p>
    <w:p>
      <w:pPr>
        <w:spacing w:line="360" w:lineRule="auto"/>
        <w:ind w:right="-153" w:rightChars="-73" w:firstLine="480" w:firstLineChars="200"/>
        <w:jc w:val="left"/>
        <w:rPr>
          <w:rFonts w:ascii="宋体" w:hAnsi="宋体" w:cs="宋体"/>
          <w:color w:val="000000"/>
          <w:kern w:val="0"/>
          <w:sz w:val="24"/>
          <w:highlight w:val="yellow"/>
        </w:rPr>
      </w:pPr>
    </w:p>
    <w:p>
      <w:pPr>
        <w:keepNext/>
        <w:keepLines/>
        <w:spacing w:line="360" w:lineRule="auto"/>
        <w:ind w:firstLine="482" w:firstLineChars="200"/>
        <w:outlineLvl w:val="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kern w:val="44"/>
          <w:sz w:val="24"/>
        </w:rPr>
        <w:t>三、本报告期募集资金的实际使用情况</w:t>
      </w:r>
    </w:p>
    <w:p>
      <w:pPr>
        <w:tabs>
          <w:tab w:val="left" w:pos="4620"/>
        </w:tabs>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2022年度《募集资金使用情况对照表》详见本报告附件1。</w:t>
      </w:r>
    </w:p>
    <w:p>
      <w:pPr>
        <w:tabs>
          <w:tab w:val="left" w:pos="4620"/>
        </w:tabs>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(一) 募集资金投资项目先期投入及置换情况。</w:t>
      </w:r>
    </w:p>
    <w:p>
      <w:pPr>
        <w:tabs>
          <w:tab w:val="left" w:pos="4620"/>
        </w:tabs>
        <w:spacing w:line="360" w:lineRule="auto"/>
        <w:ind w:firstLine="480" w:firstLineChars="200"/>
        <w:rPr>
          <w:rFonts w:asciiTheme="minorEastAsia" w:hAnsiTheme="minorEastAsia" w:eastAsiaTheme="minorEastAsia" w:cstheme="minorEastAsia"/>
          <w:kern w:val="0"/>
          <w:sz w:val="24"/>
        </w:rPr>
      </w:pPr>
      <w:bookmarkStart w:id="2" w:name="_Hlk63263262"/>
      <w:r>
        <w:rPr>
          <w:rFonts w:hint="eastAsia" w:asciiTheme="minorEastAsia" w:hAnsiTheme="minorEastAsia" w:eastAsiaTheme="minorEastAsia" w:cstheme="minorEastAsia"/>
          <w:kern w:val="0"/>
          <w:sz w:val="24"/>
        </w:rPr>
        <w:t>立信会计师事务所（特殊普通合伙）对公司以自筹资金预先投入募集资金投资项目的情况进行了专项审核，并出具了“信会师报字（2015）第115404号”《关于江苏吴中实业股份有限公司以自筹资金预先投入募集资金投资项目的专项鉴证报告》。公司于2015年10月29日召开的第八届董事会第四次会议及第八届监事会第四次会议审议通过了《关于以募集资金置换预先投入募投项目的自筹资金的议案》，同意公司以自筹资金预先投入募集资金投资项目的金额为47,964,197.53元。</w:t>
      </w:r>
      <w:bookmarkEnd w:id="2"/>
    </w:p>
    <w:p>
      <w:pPr>
        <w:tabs>
          <w:tab w:val="left" w:pos="4620"/>
        </w:tabs>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(二) 用闲置募集资金暂时补充流动资金情况。</w:t>
      </w:r>
    </w:p>
    <w:p>
      <w:pPr>
        <w:tabs>
          <w:tab w:val="left" w:pos="4620"/>
        </w:tabs>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公司不存在用闲置募集资金暂时补充流动资金情况。</w:t>
      </w:r>
    </w:p>
    <w:p>
      <w:pPr>
        <w:tabs>
          <w:tab w:val="left" w:pos="4620"/>
        </w:tabs>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(三) 对闲置募集资金进行现金管理，投资相关产品情况。</w:t>
      </w:r>
    </w:p>
    <w:p>
      <w:pPr>
        <w:tabs>
          <w:tab w:val="left" w:pos="4620"/>
        </w:tabs>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2016年8月25日，公司召开的第八届董事会第九次会议及第八届监事会第九次会议，审议通过了《江苏吴中实业股份有限公司关于使用闲置募集资金进行现金管理的议案》，同意公司使用不超过人民币16,000万元的闲置募集资金进行现金管理。</w:t>
      </w:r>
    </w:p>
    <w:p>
      <w:pPr>
        <w:tabs>
          <w:tab w:val="left" w:pos="4620"/>
        </w:tabs>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2017年8月21日，公司召开的第八届董事会第十二次会议及第八届监事会第十二次会议，审议通过了《江苏吴中实业股份有限公司关于使用部分闲置非公开发行募集资金进行现金管理的议案》，同意公司使用不超过人民币10,000万元的闲置募集资金进行现金管理。</w:t>
      </w:r>
    </w:p>
    <w:p>
      <w:pPr>
        <w:tabs>
          <w:tab w:val="left" w:pos="4620"/>
        </w:tabs>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2018年8月20日召开的第九届董事会第二次会议和第九届监事会第二次会议，审议通过了《江苏吴中实业股份有限公司关于使用部分闲置非公开发行募集资金进行现金管理的议案》，同意公司使用不超过人民币8,000万元的闲置非公开募集资金进行现金管理。</w:t>
      </w:r>
    </w:p>
    <w:p>
      <w:pPr>
        <w:tabs>
          <w:tab w:val="left" w:pos="4620"/>
        </w:tabs>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2019年6月28日召开的第九届董事会2019年第四次临时会议（通讯表决）和第九届监事会2019年第三次临时会议（通讯表决），审议通过了《江苏吴中实业股份有限公司关于使用部分闲置非公开发行募集资金进行现金管理的议案》。同意公司使用总额不超过人民币4,000万元的闲置非公开募集资金进行现金管理。</w:t>
      </w:r>
    </w:p>
    <w:p>
      <w:pPr>
        <w:tabs>
          <w:tab w:val="left" w:pos="4620"/>
        </w:tabs>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2020年4月28日，公司召开第九届董事会第九次会议（通讯表决）和第九届监事会第九次会议（通讯表决），审议通过了《江苏吴中实业股份有限公司关于使用部分闲置非公开发行募集资金进行现金管理的议案》，同意公司使用总额不超过人民币4,000万元的闲置非公开募集资金进行现金管理，在上述额度及决议有效期内，资金可以循环滚动使用。</w:t>
      </w:r>
    </w:p>
    <w:p>
      <w:pPr>
        <w:tabs>
          <w:tab w:val="left" w:pos="4620"/>
        </w:tabs>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2021年3月15日，公司召开第九届董事会2021年第二次临时会议（通讯表决）和第九届监事会2021年第一次临时会议（通讯表决），审议通过了《江苏吴中医药发展股份有限公司关于使用部分闲置非公开发行募集资金进行现金管理的议案》，同意公司使用总额不超过人民币4,000万元的闲置非公开发行募集资金进行现金管理事宜，在上述额度内，资金可以在12个月内滚动使用。</w:t>
      </w:r>
    </w:p>
    <w:p>
      <w:pPr>
        <w:tabs>
          <w:tab w:val="left" w:pos="4620"/>
        </w:tabs>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截至2022年12月31日，理财产品余额为</w:t>
      </w:r>
      <w:r>
        <w:rPr>
          <w:rFonts w:hint="eastAsia" w:asciiTheme="minorEastAsia" w:hAnsiTheme="minorEastAsia" w:eastAsiaTheme="minorEastAsia" w:cstheme="minorEastAsia"/>
          <w:color w:val="000000"/>
          <w:kern w:val="0"/>
          <w:sz w:val="24"/>
        </w:rPr>
        <w:t>0</w:t>
      </w:r>
      <w:r>
        <w:rPr>
          <w:rFonts w:hint="eastAsia" w:asciiTheme="minorEastAsia" w:hAnsiTheme="minorEastAsia" w:eastAsiaTheme="minorEastAsia" w:cstheme="minorEastAsia"/>
          <w:kern w:val="0"/>
          <w:sz w:val="24"/>
        </w:rPr>
        <w:t>万元，公司本报告期内使用闲置募集资金购买理财产品获得收益</w:t>
      </w:r>
      <w:r>
        <w:rPr>
          <w:rFonts w:hint="eastAsia" w:asciiTheme="minorEastAsia" w:hAnsiTheme="minorEastAsia" w:eastAsiaTheme="minorEastAsia" w:cstheme="minorEastAsia"/>
          <w:color w:val="000000"/>
          <w:kern w:val="0"/>
          <w:sz w:val="24"/>
        </w:rPr>
        <w:t>0</w:t>
      </w:r>
      <w:r>
        <w:rPr>
          <w:rFonts w:hint="eastAsia" w:asciiTheme="minorEastAsia" w:hAnsiTheme="minorEastAsia" w:eastAsiaTheme="minorEastAsia" w:cstheme="minorEastAsia"/>
          <w:kern w:val="0"/>
          <w:sz w:val="24"/>
        </w:rPr>
        <w:t>万元。</w:t>
      </w:r>
    </w:p>
    <w:p>
      <w:pPr>
        <w:tabs>
          <w:tab w:val="left" w:pos="4620"/>
        </w:tabs>
        <w:spacing w:line="360" w:lineRule="auto"/>
        <w:ind w:firstLine="480" w:firstLineChars="200"/>
        <w:rPr>
          <w:rFonts w:asciiTheme="minorEastAsia" w:hAnsiTheme="minorEastAsia" w:eastAsiaTheme="minorEastAsia" w:cstheme="minorEastAsia"/>
          <w:kern w:val="0"/>
          <w:sz w:val="24"/>
        </w:rPr>
      </w:pPr>
    </w:p>
    <w:p>
      <w:pPr>
        <w:keepNext/>
        <w:keepLines/>
        <w:spacing w:line="360" w:lineRule="auto"/>
        <w:ind w:firstLine="482" w:firstLineChars="200"/>
        <w:outlineLvl w:val="0"/>
        <w:rPr>
          <w:rFonts w:asciiTheme="minorEastAsia" w:hAnsiTheme="minorEastAsia" w:eastAsiaTheme="minorEastAsia" w:cstheme="minorEastAsia"/>
          <w:b/>
          <w:bCs/>
          <w:kern w:val="44"/>
          <w:sz w:val="24"/>
        </w:rPr>
      </w:pPr>
      <w:r>
        <w:rPr>
          <w:rFonts w:hint="eastAsia" w:asciiTheme="minorEastAsia" w:hAnsiTheme="minorEastAsia" w:eastAsiaTheme="minorEastAsia" w:cstheme="minorEastAsia"/>
          <w:b/>
          <w:bCs/>
          <w:kern w:val="44"/>
          <w:sz w:val="24"/>
        </w:rPr>
        <w:t>四、变更募集资金投资项目的资金使用情况</w:t>
      </w:r>
    </w:p>
    <w:p>
      <w:pPr>
        <w:keepNext/>
        <w:keepLines/>
        <w:spacing w:line="360" w:lineRule="auto"/>
        <w:ind w:firstLine="482" w:firstLineChars="200"/>
        <w:outlineLvl w:val="1"/>
        <w:rPr>
          <w:rFonts w:asciiTheme="minorEastAsia" w:hAnsiTheme="minorEastAsia" w:eastAsiaTheme="minorEastAsia" w:cstheme="minorEastAsia"/>
          <w:bCs/>
          <w:sz w:val="24"/>
        </w:rPr>
      </w:pPr>
      <w:r>
        <w:rPr>
          <w:rFonts w:hint="eastAsia" w:asciiTheme="minorEastAsia" w:hAnsiTheme="minorEastAsia" w:eastAsiaTheme="minorEastAsia" w:cstheme="minorEastAsia"/>
          <w:b/>
          <w:bCs/>
          <w:sz w:val="24"/>
        </w:rPr>
        <w:t>(一) 变更募集资金投资项目情况</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2022年度《变更募集资金投资项目情况表》详见本报告附件2。</w:t>
      </w:r>
    </w:p>
    <w:p>
      <w:pPr>
        <w:keepNext/>
        <w:keepLines/>
        <w:spacing w:line="360" w:lineRule="auto"/>
        <w:ind w:firstLine="482" w:firstLineChars="200"/>
        <w:outlineLvl w:val="1"/>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 xml:space="preserve"> (二) 变更募集资金投资项目无法单独核算效益的情况说明</w:t>
      </w:r>
    </w:p>
    <w:p>
      <w:pPr>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抗肿瘤1类新药YS001的研发</w:t>
      </w:r>
    </w:p>
    <w:p>
      <w:pPr>
        <w:spacing w:line="360" w:lineRule="auto"/>
        <w:ind w:firstLine="480"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kern w:val="0"/>
          <w:sz w:val="24"/>
        </w:rPr>
        <w:t>本项目为研发项目，项目完成后不会直接产生经济效益。如果项目成功上市，将会产生经济效益。</w:t>
      </w:r>
    </w:p>
    <w:p>
      <w:pPr>
        <w:keepNext/>
        <w:keepLines/>
        <w:spacing w:line="360" w:lineRule="auto"/>
        <w:ind w:firstLine="482" w:firstLineChars="200"/>
        <w:outlineLvl w:val="1"/>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 募集资金投资项目对外转让或置换情况说明</w:t>
      </w:r>
    </w:p>
    <w:p>
      <w:pPr>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募集资金投资项目无对外转让或置换情况。</w:t>
      </w:r>
    </w:p>
    <w:p>
      <w:pPr>
        <w:keepNext/>
        <w:keepLines/>
        <w:spacing w:line="360" w:lineRule="auto"/>
        <w:ind w:firstLine="482" w:firstLineChars="200"/>
        <w:outlineLvl w:val="0"/>
        <w:rPr>
          <w:rFonts w:asciiTheme="minorEastAsia" w:hAnsiTheme="minorEastAsia" w:eastAsiaTheme="minorEastAsia" w:cstheme="minorEastAsia"/>
          <w:b/>
          <w:bCs/>
          <w:kern w:val="44"/>
          <w:sz w:val="24"/>
        </w:rPr>
      </w:pPr>
    </w:p>
    <w:p>
      <w:pPr>
        <w:keepNext/>
        <w:keepLines/>
        <w:spacing w:line="360" w:lineRule="auto"/>
        <w:ind w:firstLine="482" w:firstLineChars="200"/>
        <w:outlineLvl w:val="0"/>
        <w:rPr>
          <w:rFonts w:asciiTheme="minorEastAsia" w:hAnsiTheme="minorEastAsia" w:eastAsiaTheme="minorEastAsia" w:cstheme="minorEastAsia"/>
          <w:b/>
          <w:bCs/>
          <w:kern w:val="44"/>
          <w:sz w:val="24"/>
        </w:rPr>
      </w:pPr>
      <w:r>
        <w:rPr>
          <w:rFonts w:hint="eastAsia" w:asciiTheme="minorEastAsia" w:hAnsiTheme="minorEastAsia" w:eastAsiaTheme="minorEastAsia" w:cstheme="minorEastAsia"/>
          <w:b/>
          <w:bCs/>
          <w:kern w:val="44"/>
          <w:sz w:val="24"/>
        </w:rPr>
        <w:t>五、募集资金使用及披露中存在的问题</w:t>
      </w:r>
    </w:p>
    <w:p>
      <w:pPr>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本公司已经披露的募集资金相关信息不存在不及时、真实、准确、完整披露的情况；已使用的募集资金均投向所承诺的募集资金投资项目，不存在违规使用募集资金的重大情形。</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特此公告。</w:t>
      </w:r>
    </w:p>
    <w:p>
      <w:pPr>
        <w:spacing w:line="360" w:lineRule="auto"/>
        <w:ind w:firstLine="4320" w:firstLineChars="1800"/>
        <w:jc w:val="right"/>
        <w:rPr>
          <w:rFonts w:hint="eastAsia" w:ascii="宋体" w:hAnsi="宋体"/>
          <w:sz w:val="24"/>
        </w:rPr>
      </w:pPr>
    </w:p>
    <w:p>
      <w:pPr>
        <w:spacing w:line="360" w:lineRule="auto"/>
        <w:ind w:firstLine="4320" w:firstLineChars="1800"/>
        <w:jc w:val="right"/>
        <w:rPr>
          <w:rFonts w:ascii="宋体" w:hAnsi="宋体"/>
          <w:sz w:val="24"/>
        </w:rPr>
      </w:pPr>
      <w:r>
        <w:rPr>
          <w:rFonts w:hint="eastAsia" w:ascii="宋体" w:hAnsi="宋体"/>
          <w:sz w:val="24"/>
        </w:rPr>
        <w:t>江苏吴中医药发展股份有限公司</w:t>
      </w:r>
    </w:p>
    <w:p>
      <w:pPr>
        <w:spacing w:line="360" w:lineRule="auto"/>
        <w:ind w:right="1200" w:firstLine="4320" w:firstLineChars="1800"/>
        <w:jc w:val="right"/>
        <w:rPr>
          <w:rFonts w:ascii="宋体" w:hAnsi="宋体"/>
          <w:sz w:val="24"/>
        </w:rPr>
      </w:pPr>
      <w:r>
        <w:rPr>
          <w:rFonts w:hint="eastAsia" w:ascii="宋体" w:hAnsi="宋体"/>
          <w:sz w:val="24"/>
        </w:rPr>
        <w:t xml:space="preserve">董事会      </w:t>
      </w:r>
    </w:p>
    <w:p>
      <w:pPr>
        <w:spacing w:line="360" w:lineRule="auto"/>
        <w:ind w:right="480" w:firstLine="5220" w:firstLineChars="2175"/>
        <w:jc w:val="center"/>
        <w:rPr>
          <w:rFonts w:ascii="宋体" w:hAnsi="宋体"/>
          <w:sz w:val="24"/>
        </w:rPr>
      </w:pPr>
      <w:r>
        <w:rPr>
          <w:rFonts w:hint="eastAsia" w:ascii="宋体" w:hAnsi="宋体"/>
          <w:sz w:val="24"/>
        </w:rPr>
        <w:t xml:space="preserve">    202</w:t>
      </w:r>
      <w:r>
        <w:rPr>
          <w:rFonts w:ascii="宋体" w:hAnsi="宋体"/>
          <w:sz w:val="24"/>
        </w:rPr>
        <w:t>3</w:t>
      </w:r>
      <w:r>
        <w:rPr>
          <w:rFonts w:hint="eastAsia" w:ascii="宋体" w:hAnsi="宋体"/>
          <w:sz w:val="24"/>
        </w:rPr>
        <w:t>年4月27日</w:t>
      </w:r>
    </w:p>
    <w:p>
      <w:pPr>
        <w:spacing w:line="360" w:lineRule="auto"/>
        <w:sectPr>
          <w:pgSz w:w="11906" w:h="16838"/>
          <w:pgMar w:top="1440" w:right="1800" w:bottom="1440" w:left="1800" w:header="851" w:footer="992" w:gutter="0"/>
          <w:cols w:space="425" w:num="1"/>
          <w:docGrid w:type="lines" w:linePitch="312" w:charSpace="0"/>
        </w:sectPr>
      </w:pPr>
    </w:p>
    <w:p>
      <w:pPr>
        <w:ind w:right="420"/>
        <w:rPr>
          <w:rFonts w:ascii="宋体" w:hAnsi="宋体" w:cs="宋体"/>
          <w:kern w:val="0"/>
          <w:szCs w:val="21"/>
        </w:rPr>
      </w:pPr>
      <w:r>
        <w:rPr>
          <w:rFonts w:hint="eastAsia" w:ascii="宋体" w:hAnsi="宋体" w:cs="宋体"/>
          <w:kern w:val="0"/>
          <w:szCs w:val="21"/>
        </w:rPr>
        <w:t>附件1</w:t>
      </w:r>
    </w:p>
    <w:p>
      <w:pPr>
        <w:ind w:right="420"/>
        <w:jc w:val="center"/>
        <w:rPr>
          <w:rFonts w:ascii="黑体" w:hAnsi="宋体" w:eastAsia="黑体" w:cs="宋体"/>
          <w:b/>
          <w:bCs/>
          <w:kern w:val="0"/>
          <w:sz w:val="28"/>
          <w:szCs w:val="28"/>
        </w:rPr>
      </w:pPr>
      <w:r>
        <w:rPr>
          <w:rFonts w:hint="eastAsia" w:ascii="黑体" w:hAnsi="宋体" w:eastAsia="黑体" w:cs="宋体"/>
          <w:b/>
          <w:bCs/>
          <w:kern w:val="0"/>
          <w:sz w:val="28"/>
          <w:szCs w:val="28"/>
        </w:rPr>
        <w:t>募集资金使用情况对照表</w:t>
      </w:r>
    </w:p>
    <w:p>
      <w:pPr>
        <w:ind w:right="420"/>
        <w:jc w:val="center"/>
        <w:rPr>
          <w:rFonts w:ascii="宋体" w:hAnsi="宋体" w:cs="宋体"/>
          <w:kern w:val="0"/>
          <w:szCs w:val="21"/>
        </w:rPr>
      </w:pPr>
      <w:r>
        <w:rPr>
          <w:rFonts w:hint="eastAsia" w:ascii="宋体" w:hAnsi="宋体" w:cs="宋体"/>
          <w:kern w:val="0"/>
          <w:szCs w:val="21"/>
        </w:rPr>
        <w:t>2022年</w:t>
      </w:r>
    </w:p>
    <w:p>
      <w:pPr>
        <w:ind w:left="-2" w:leftChars="-1" w:right="-982"/>
        <w:rPr>
          <w:rFonts w:ascii="宋体" w:hAnsi="宋体"/>
          <w:szCs w:val="21"/>
        </w:rPr>
      </w:pPr>
      <w:r>
        <w:rPr>
          <w:rFonts w:hint="eastAsia" w:ascii="宋体" w:hAnsi="宋体" w:cs="宋体"/>
          <w:kern w:val="0"/>
          <w:szCs w:val="21"/>
        </w:rPr>
        <w:t>编制单位：江苏吴中医药发展股份有限公司</w:t>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单位：人民币万元</w:t>
      </w:r>
      <w:r>
        <w:rPr>
          <w:rFonts w:hint="eastAsia" w:ascii="宋体" w:hAnsi="宋体" w:cs="宋体"/>
          <w:kern w:val="0"/>
          <w:szCs w:val="21"/>
        </w:rPr>
        <w:tab/>
      </w:r>
    </w:p>
    <w:tbl>
      <w:tblPr>
        <w:tblStyle w:val="4"/>
        <w:tblW w:w="14492" w:type="dxa"/>
        <w:tblInd w:w="-318" w:type="dxa"/>
        <w:tblBorders>
          <w:top w:val="single" w:color="auto" w:sz="4" w:space="0"/>
          <w:left w:val="none" w:color="auto" w:sz="0" w:space="0"/>
          <w:bottom w:val="single" w:color="auto" w:sz="4" w:space="0"/>
          <w:right w:val="none" w:color="auto" w:sz="0" w:space="0"/>
          <w:insideH w:val="dashed" w:color="auto" w:sz="4" w:space="0"/>
          <w:insideV w:val="dashed" w:color="auto" w:sz="4" w:space="0"/>
        </w:tblBorders>
        <w:tblLayout w:type="autofit"/>
        <w:tblCellMar>
          <w:top w:w="0" w:type="dxa"/>
          <w:left w:w="108" w:type="dxa"/>
          <w:bottom w:w="0" w:type="dxa"/>
          <w:right w:w="108" w:type="dxa"/>
        </w:tblCellMar>
      </w:tblPr>
      <w:tblGrid>
        <w:gridCol w:w="2161"/>
        <w:gridCol w:w="847"/>
        <w:gridCol w:w="1026"/>
        <w:gridCol w:w="1026"/>
        <w:gridCol w:w="1026"/>
        <w:gridCol w:w="936"/>
        <w:gridCol w:w="1103"/>
        <w:gridCol w:w="1493"/>
        <w:gridCol w:w="1249"/>
        <w:gridCol w:w="969"/>
        <w:gridCol w:w="972"/>
        <w:gridCol w:w="828"/>
        <w:gridCol w:w="856"/>
      </w:tblGrid>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4034" w:type="dxa"/>
            <w:gridSpan w:val="3"/>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募集资金总额</w:t>
            </w:r>
          </w:p>
        </w:tc>
        <w:tc>
          <w:tcPr>
            <w:tcW w:w="2988" w:type="dxa"/>
            <w:gridSpan w:val="3"/>
            <w:shd w:val="clear" w:color="auto" w:fill="auto"/>
            <w:vAlign w:val="center"/>
          </w:tcPr>
          <w:p>
            <w:pPr>
              <w:widowControl/>
              <w:jc w:val="right"/>
              <w:rPr>
                <w:rFonts w:ascii="宋体" w:hAnsi="宋体" w:cs="宋体"/>
                <w:kern w:val="0"/>
                <w:sz w:val="18"/>
                <w:szCs w:val="18"/>
              </w:rPr>
            </w:pPr>
            <w:r>
              <w:rPr>
                <w:rFonts w:ascii="宋体" w:hAnsi="宋体"/>
                <w:sz w:val="18"/>
                <w:szCs w:val="18"/>
              </w:rPr>
              <w:t>50</w:t>
            </w:r>
            <w:r>
              <w:rPr>
                <w:rFonts w:hint="eastAsia" w:ascii="宋体" w:hAnsi="宋体"/>
                <w:sz w:val="18"/>
                <w:szCs w:val="18"/>
              </w:rPr>
              <w:t>,</w:t>
            </w:r>
            <w:r>
              <w:rPr>
                <w:rFonts w:ascii="宋体" w:hAnsi="宋体"/>
                <w:sz w:val="18"/>
                <w:szCs w:val="18"/>
              </w:rPr>
              <w:t>237.73</w:t>
            </w:r>
          </w:p>
        </w:tc>
        <w:tc>
          <w:tcPr>
            <w:tcW w:w="3845" w:type="dxa"/>
            <w:gridSpan w:val="3"/>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本年度投入募集资金总额</w:t>
            </w:r>
          </w:p>
        </w:tc>
        <w:tc>
          <w:tcPr>
            <w:tcW w:w="3625" w:type="dxa"/>
            <w:gridSpan w:val="4"/>
            <w:shd w:val="clear" w:color="auto" w:fill="auto"/>
            <w:vAlign w:val="center"/>
          </w:tcPr>
          <w:p>
            <w:pPr>
              <w:widowControl/>
              <w:jc w:val="right"/>
              <w:rPr>
                <w:kern w:val="0"/>
                <w:sz w:val="24"/>
              </w:rPr>
            </w:pPr>
            <w:r>
              <w:rPr>
                <w:rFonts w:hint="eastAsia"/>
              </w:rPr>
              <w:t xml:space="preserve">        390.98 </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4034" w:type="dxa"/>
            <w:gridSpan w:val="3"/>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变更用途的募集资金总额</w:t>
            </w:r>
          </w:p>
        </w:tc>
        <w:tc>
          <w:tcPr>
            <w:tcW w:w="2988" w:type="dxa"/>
            <w:gridSpan w:val="3"/>
            <w:shd w:val="clear" w:color="auto" w:fill="auto"/>
            <w:vAlign w:val="center"/>
          </w:tcPr>
          <w:p>
            <w:pPr>
              <w:widowControl/>
              <w:jc w:val="right"/>
              <w:rPr>
                <w:rFonts w:ascii="宋体" w:hAnsi="宋体" w:cs="宋体"/>
                <w:kern w:val="0"/>
                <w:sz w:val="18"/>
                <w:szCs w:val="18"/>
              </w:rPr>
            </w:pPr>
            <w:r>
              <w:rPr>
                <w:rFonts w:ascii="宋体" w:hAnsi="宋体"/>
                <w:sz w:val="18"/>
                <w:szCs w:val="18"/>
              </w:rPr>
              <w:t>14,983.82</w:t>
            </w:r>
          </w:p>
        </w:tc>
        <w:tc>
          <w:tcPr>
            <w:tcW w:w="3845" w:type="dxa"/>
            <w:gridSpan w:val="3"/>
            <w:vMerge w:val="restar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已累计投入募集资金总额</w:t>
            </w:r>
          </w:p>
        </w:tc>
        <w:tc>
          <w:tcPr>
            <w:tcW w:w="3625" w:type="dxa"/>
            <w:gridSpan w:val="4"/>
            <w:vMerge w:val="restart"/>
            <w:shd w:val="clear" w:color="auto" w:fill="auto"/>
            <w:vAlign w:val="center"/>
          </w:tcPr>
          <w:p>
            <w:pPr>
              <w:widowControl/>
              <w:jc w:val="right"/>
              <w:rPr>
                <w:rFonts w:eastAsia="等线"/>
                <w:color w:val="000000"/>
                <w:kern w:val="0"/>
                <w:szCs w:val="21"/>
              </w:rPr>
            </w:pPr>
            <w:r>
              <w:rPr>
                <w:rFonts w:eastAsia="等线"/>
                <w:color w:val="000000"/>
                <w:szCs w:val="21"/>
              </w:rPr>
              <w:t>48,957.57</w:t>
            </w:r>
          </w:p>
          <w:p>
            <w:pPr>
              <w:widowControl/>
              <w:jc w:val="right"/>
              <w:rPr>
                <w:kern w:val="0"/>
                <w:sz w:val="24"/>
              </w:rPr>
            </w:pPr>
            <w:r>
              <w:rPr>
                <w:rFonts w:hint="eastAsia"/>
              </w:rPr>
              <w:t xml:space="preserve">        </w:t>
            </w:r>
          </w:p>
          <w:p>
            <w:pPr>
              <w:widowControl/>
              <w:jc w:val="right"/>
              <w:rPr>
                <w:rFonts w:ascii="宋体" w:hAnsi="宋体" w:cs="宋体"/>
                <w:kern w:val="0"/>
                <w:sz w:val="18"/>
                <w:szCs w:val="18"/>
              </w:rPr>
            </w:pPr>
            <w:r>
              <w:rPr>
                <w:rFonts w:hint="eastAsia" w:ascii="宋体" w:hAnsi="宋体" w:cs="宋体"/>
                <w:kern w:val="0"/>
                <w:sz w:val="18"/>
                <w:szCs w:val="18"/>
              </w:rPr>
              <w:t>（注10）</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4034" w:type="dxa"/>
            <w:gridSpan w:val="3"/>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变更用途的募集资金总额比例</w:t>
            </w:r>
          </w:p>
        </w:tc>
        <w:tc>
          <w:tcPr>
            <w:tcW w:w="2988" w:type="dxa"/>
            <w:gridSpan w:val="3"/>
            <w:shd w:val="clear" w:color="auto" w:fill="auto"/>
            <w:vAlign w:val="center"/>
          </w:tcPr>
          <w:p>
            <w:pPr>
              <w:widowControl/>
              <w:jc w:val="right"/>
              <w:rPr>
                <w:rFonts w:ascii="宋体" w:hAnsi="宋体" w:cs="宋体"/>
                <w:kern w:val="0"/>
                <w:sz w:val="18"/>
                <w:szCs w:val="18"/>
              </w:rPr>
            </w:pPr>
            <w:r>
              <w:rPr>
                <w:rFonts w:ascii="宋体" w:hAnsi="宋体"/>
                <w:sz w:val="18"/>
                <w:szCs w:val="18"/>
              </w:rPr>
              <w:t>29.83%</w:t>
            </w:r>
          </w:p>
        </w:tc>
        <w:tc>
          <w:tcPr>
            <w:tcW w:w="3845" w:type="dxa"/>
            <w:gridSpan w:val="3"/>
            <w:vMerge w:val="continue"/>
            <w:vAlign w:val="center"/>
          </w:tcPr>
          <w:p>
            <w:pPr>
              <w:widowControl/>
              <w:jc w:val="left"/>
              <w:rPr>
                <w:rFonts w:ascii="宋体" w:hAnsi="宋体" w:cs="宋体"/>
                <w:kern w:val="0"/>
                <w:sz w:val="18"/>
                <w:szCs w:val="18"/>
              </w:rPr>
            </w:pPr>
          </w:p>
        </w:tc>
        <w:tc>
          <w:tcPr>
            <w:tcW w:w="3625" w:type="dxa"/>
            <w:gridSpan w:val="4"/>
            <w:vMerge w:val="continue"/>
            <w:vAlign w:val="center"/>
          </w:tcPr>
          <w:p>
            <w:pPr>
              <w:widowControl/>
              <w:jc w:val="left"/>
              <w:rPr>
                <w:rFonts w:ascii="宋体" w:hAnsi="宋体" w:cs="宋体"/>
                <w:kern w:val="0"/>
                <w:sz w:val="18"/>
                <w:szCs w:val="18"/>
              </w:rPr>
            </w:pP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2161" w:type="dxa"/>
            <w:shd w:val="clear" w:color="auto" w:fill="auto"/>
            <w:vAlign w:val="center"/>
          </w:tcPr>
          <w:p>
            <w:pPr>
              <w:jc w:val="left"/>
              <w:rPr>
                <w:rFonts w:ascii="宋体" w:hAnsi="宋体"/>
                <w:kern w:val="0"/>
                <w:sz w:val="18"/>
                <w:szCs w:val="18"/>
              </w:rPr>
            </w:pPr>
            <w:r>
              <w:rPr>
                <w:rFonts w:hint="eastAsia" w:ascii="宋体" w:hAnsi="宋体"/>
                <w:kern w:val="0"/>
                <w:sz w:val="18"/>
                <w:szCs w:val="18"/>
              </w:rPr>
              <w:t>承诺投资项目</w:t>
            </w:r>
          </w:p>
        </w:tc>
        <w:tc>
          <w:tcPr>
            <w:tcW w:w="847" w:type="dxa"/>
            <w:shd w:val="clear" w:color="auto" w:fill="auto"/>
            <w:vAlign w:val="center"/>
          </w:tcPr>
          <w:p>
            <w:pPr>
              <w:jc w:val="left"/>
              <w:rPr>
                <w:rFonts w:ascii="宋体" w:hAnsi="宋体"/>
                <w:kern w:val="0"/>
                <w:sz w:val="18"/>
                <w:szCs w:val="18"/>
              </w:rPr>
            </w:pPr>
            <w:r>
              <w:rPr>
                <w:rFonts w:hint="eastAsia" w:ascii="宋体" w:hAnsi="宋体"/>
                <w:kern w:val="0"/>
                <w:sz w:val="18"/>
                <w:szCs w:val="18"/>
              </w:rPr>
              <w:t>已变更项目(含部分变更)</w:t>
            </w:r>
          </w:p>
        </w:tc>
        <w:tc>
          <w:tcPr>
            <w:tcW w:w="1026" w:type="dxa"/>
          </w:tcPr>
          <w:p>
            <w:pPr>
              <w:widowControl/>
              <w:jc w:val="right"/>
              <w:rPr>
                <w:rFonts w:ascii="宋体" w:hAnsi="宋体" w:cs="宋体"/>
                <w:kern w:val="0"/>
                <w:sz w:val="18"/>
                <w:szCs w:val="18"/>
              </w:rPr>
            </w:pPr>
            <w:r>
              <w:rPr>
                <w:rFonts w:hint="eastAsia" w:ascii="宋体" w:hAnsi="宋体" w:cs="宋体"/>
                <w:kern w:val="0"/>
                <w:sz w:val="18"/>
                <w:szCs w:val="18"/>
              </w:rPr>
              <w:t>募集资金承诺投资总额</w:t>
            </w:r>
          </w:p>
        </w:tc>
        <w:tc>
          <w:tcPr>
            <w:tcW w:w="1026" w:type="dxa"/>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调整后投资总额</w:t>
            </w:r>
          </w:p>
        </w:tc>
        <w:tc>
          <w:tcPr>
            <w:tcW w:w="1026" w:type="dxa"/>
            <w:shd w:val="clear" w:color="auto" w:fill="auto"/>
            <w:vAlign w:val="center"/>
          </w:tcPr>
          <w:p>
            <w:pPr>
              <w:widowControl/>
              <w:ind w:left="-107" w:leftChars="-51" w:right="-107" w:rightChars="-51"/>
              <w:jc w:val="right"/>
              <w:rPr>
                <w:rFonts w:ascii="宋体" w:hAnsi="宋体" w:cs="宋体"/>
                <w:kern w:val="0"/>
                <w:sz w:val="18"/>
                <w:szCs w:val="18"/>
              </w:rPr>
            </w:pPr>
            <w:r>
              <w:rPr>
                <w:rFonts w:hint="eastAsia" w:ascii="宋体" w:hAnsi="宋体" w:cs="宋体"/>
                <w:kern w:val="0"/>
                <w:sz w:val="18"/>
                <w:szCs w:val="18"/>
              </w:rPr>
              <w:t>截至期末承诺投入金额</w:t>
            </w:r>
          </w:p>
          <w:p>
            <w:pPr>
              <w:widowControl/>
              <w:ind w:left="-107" w:leftChars="-51" w:right="-107" w:rightChars="-51"/>
              <w:jc w:val="right"/>
              <w:rPr>
                <w:rFonts w:ascii="宋体" w:hAnsi="宋体" w:cs="宋体"/>
                <w:kern w:val="0"/>
                <w:sz w:val="18"/>
                <w:szCs w:val="18"/>
              </w:rPr>
            </w:pPr>
            <w:r>
              <w:rPr>
                <w:rFonts w:hint="eastAsia" w:ascii="宋体" w:hAnsi="宋体" w:cs="宋体"/>
                <w:kern w:val="0"/>
                <w:sz w:val="18"/>
                <w:szCs w:val="18"/>
              </w:rPr>
              <w:t>(1)</w:t>
            </w:r>
          </w:p>
        </w:tc>
        <w:tc>
          <w:tcPr>
            <w:tcW w:w="936" w:type="dxa"/>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本年度</w:t>
            </w:r>
          </w:p>
          <w:p>
            <w:pPr>
              <w:widowControl/>
              <w:jc w:val="right"/>
              <w:rPr>
                <w:rFonts w:ascii="宋体" w:hAnsi="宋体" w:cs="宋体"/>
                <w:kern w:val="0"/>
                <w:sz w:val="18"/>
                <w:szCs w:val="18"/>
              </w:rPr>
            </w:pPr>
            <w:r>
              <w:rPr>
                <w:rFonts w:hint="eastAsia" w:ascii="宋体" w:hAnsi="宋体" w:cs="宋体"/>
                <w:kern w:val="0"/>
                <w:sz w:val="18"/>
                <w:szCs w:val="18"/>
              </w:rPr>
              <w:t>投入金额</w:t>
            </w:r>
          </w:p>
        </w:tc>
        <w:tc>
          <w:tcPr>
            <w:tcW w:w="1103" w:type="dxa"/>
            <w:shd w:val="clear" w:color="auto" w:fill="auto"/>
            <w:vAlign w:val="center"/>
          </w:tcPr>
          <w:p>
            <w:pPr>
              <w:widowControl/>
              <w:ind w:left="-162" w:leftChars="-77" w:right="-107" w:rightChars="-51"/>
              <w:jc w:val="right"/>
              <w:rPr>
                <w:rFonts w:ascii="宋体" w:hAnsi="宋体" w:cs="宋体"/>
                <w:kern w:val="0"/>
                <w:sz w:val="18"/>
                <w:szCs w:val="18"/>
              </w:rPr>
            </w:pPr>
            <w:r>
              <w:rPr>
                <w:rFonts w:hint="eastAsia" w:ascii="宋体" w:hAnsi="宋体" w:cs="宋体"/>
                <w:kern w:val="0"/>
                <w:sz w:val="18"/>
                <w:szCs w:val="18"/>
              </w:rPr>
              <w:t>截至期末</w:t>
            </w:r>
          </w:p>
          <w:p>
            <w:pPr>
              <w:widowControl/>
              <w:ind w:left="-162" w:leftChars="-77" w:right="-107" w:rightChars="-51"/>
              <w:jc w:val="right"/>
              <w:rPr>
                <w:rFonts w:ascii="宋体" w:hAnsi="宋体" w:cs="宋体"/>
                <w:kern w:val="0"/>
                <w:sz w:val="18"/>
                <w:szCs w:val="18"/>
              </w:rPr>
            </w:pPr>
            <w:r>
              <w:rPr>
                <w:rFonts w:hint="eastAsia" w:ascii="宋体" w:hAnsi="宋体" w:cs="宋体"/>
                <w:kern w:val="0"/>
                <w:sz w:val="18"/>
                <w:szCs w:val="18"/>
              </w:rPr>
              <w:t>累计投入金额</w:t>
            </w:r>
          </w:p>
          <w:p>
            <w:pPr>
              <w:widowControl/>
              <w:ind w:left="-107" w:leftChars="-51" w:right="-107" w:rightChars="-51"/>
              <w:jc w:val="right"/>
              <w:rPr>
                <w:rFonts w:ascii="宋体" w:hAnsi="宋体" w:cs="宋体"/>
                <w:kern w:val="0"/>
                <w:sz w:val="18"/>
                <w:szCs w:val="18"/>
              </w:rPr>
            </w:pPr>
            <w:r>
              <w:rPr>
                <w:rFonts w:hint="eastAsia" w:ascii="宋体" w:hAnsi="宋体" w:cs="宋体"/>
                <w:kern w:val="0"/>
                <w:sz w:val="18"/>
                <w:szCs w:val="18"/>
              </w:rPr>
              <w:t>(2)</w:t>
            </w:r>
          </w:p>
        </w:tc>
        <w:tc>
          <w:tcPr>
            <w:tcW w:w="1493" w:type="dxa"/>
            <w:vAlign w:val="center"/>
          </w:tcPr>
          <w:p>
            <w:pPr>
              <w:widowControl/>
              <w:ind w:left="-107" w:leftChars="-51" w:right="-107" w:rightChars="-51"/>
              <w:jc w:val="right"/>
              <w:rPr>
                <w:rFonts w:ascii="宋体" w:hAnsi="宋体" w:cs="宋体"/>
                <w:kern w:val="0"/>
                <w:sz w:val="18"/>
                <w:szCs w:val="18"/>
              </w:rPr>
            </w:pPr>
            <w:r>
              <w:rPr>
                <w:rFonts w:hint="eastAsia" w:ascii="宋体" w:hAnsi="宋体" w:cs="宋体"/>
                <w:kern w:val="0"/>
                <w:sz w:val="18"/>
                <w:szCs w:val="18"/>
              </w:rPr>
              <w:t>截至期末累计投入金额与承诺投入金额的差额</w:t>
            </w:r>
          </w:p>
          <w:p>
            <w:pPr>
              <w:widowControl/>
              <w:ind w:left="-107" w:leftChars="-51" w:right="-107" w:rightChars="-51"/>
              <w:jc w:val="right"/>
              <w:rPr>
                <w:rFonts w:ascii="宋体" w:hAnsi="宋体" w:cs="宋体"/>
                <w:kern w:val="0"/>
                <w:sz w:val="18"/>
                <w:szCs w:val="18"/>
              </w:rPr>
            </w:pPr>
            <w:r>
              <w:rPr>
                <w:rFonts w:hint="eastAsia" w:ascii="宋体" w:hAnsi="宋体" w:cs="宋体"/>
                <w:kern w:val="0"/>
                <w:sz w:val="18"/>
                <w:szCs w:val="18"/>
              </w:rPr>
              <w:t>(3)＝(2)-(1)</w:t>
            </w:r>
          </w:p>
        </w:tc>
        <w:tc>
          <w:tcPr>
            <w:tcW w:w="1249" w:type="dxa"/>
            <w:shd w:val="clear" w:color="auto" w:fill="auto"/>
            <w:vAlign w:val="center"/>
          </w:tcPr>
          <w:p>
            <w:pPr>
              <w:widowControl/>
              <w:ind w:left="-107" w:leftChars="-51" w:right="-107" w:rightChars="-51"/>
              <w:jc w:val="right"/>
              <w:rPr>
                <w:rFonts w:ascii="宋体" w:hAnsi="宋体" w:cs="宋体"/>
                <w:kern w:val="0"/>
                <w:sz w:val="18"/>
                <w:szCs w:val="18"/>
              </w:rPr>
            </w:pPr>
            <w:r>
              <w:rPr>
                <w:rFonts w:hint="eastAsia" w:ascii="宋体" w:hAnsi="宋体" w:cs="宋体"/>
                <w:kern w:val="0"/>
                <w:sz w:val="18"/>
                <w:szCs w:val="18"/>
              </w:rPr>
              <w:t>截至期末投入进度(%)</w:t>
            </w:r>
          </w:p>
          <w:p>
            <w:pPr>
              <w:widowControl/>
              <w:ind w:left="-107" w:leftChars="-51" w:right="-107" w:rightChars="-51"/>
              <w:jc w:val="right"/>
              <w:rPr>
                <w:rFonts w:ascii="宋体" w:hAnsi="宋体" w:cs="宋体"/>
                <w:kern w:val="0"/>
                <w:sz w:val="18"/>
                <w:szCs w:val="18"/>
              </w:rPr>
            </w:pPr>
            <w:r>
              <w:rPr>
                <w:rFonts w:hint="eastAsia" w:ascii="宋体" w:hAnsi="宋体" w:cs="宋体"/>
                <w:kern w:val="0"/>
                <w:sz w:val="18"/>
                <w:szCs w:val="18"/>
              </w:rPr>
              <w:t>(4)＝(2)/(1)</w:t>
            </w:r>
          </w:p>
        </w:tc>
        <w:tc>
          <w:tcPr>
            <w:tcW w:w="969"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项目达到预定可使用状态日期</w:t>
            </w:r>
          </w:p>
        </w:tc>
        <w:tc>
          <w:tcPr>
            <w:tcW w:w="972" w:type="dxa"/>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本年度实现的效益</w:t>
            </w:r>
          </w:p>
        </w:tc>
        <w:tc>
          <w:tcPr>
            <w:tcW w:w="828"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是否达到预计效益</w:t>
            </w:r>
          </w:p>
        </w:tc>
        <w:tc>
          <w:tcPr>
            <w:tcW w:w="856" w:type="dxa"/>
            <w:shd w:val="clear" w:color="auto" w:fill="auto"/>
            <w:vAlign w:val="center"/>
          </w:tcPr>
          <w:p>
            <w:pPr>
              <w:widowControl/>
              <w:ind w:left="-107" w:leftChars="-51" w:right="-107" w:rightChars="-51"/>
              <w:jc w:val="left"/>
              <w:rPr>
                <w:rFonts w:ascii="宋体" w:hAnsi="宋体" w:cs="宋体"/>
                <w:kern w:val="0"/>
                <w:sz w:val="18"/>
                <w:szCs w:val="18"/>
              </w:rPr>
            </w:pPr>
            <w:r>
              <w:rPr>
                <w:rFonts w:hint="eastAsia" w:ascii="宋体" w:hAnsi="宋体" w:cs="宋体"/>
                <w:kern w:val="0"/>
                <w:sz w:val="18"/>
                <w:szCs w:val="18"/>
              </w:rPr>
              <w:t>项目可行性是否发生重大变化</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2161" w:type="dxa"/>
            <w:shd w:val="clear" w:color="auto" w:fill="auto"/>
            <w:vAlign w:val="center"/>
          </w:tcPr>
          <w:p>
            <w:pPr>
              <w:jc w:val="left"/>
              <w:rPr>
                <w:rFonts w:ascii="宋体" w:hAnsi="宋体"/>
                <w:kern w:val="0"/>
                <w:sz w:val="18"/>
                <w:szCs w:val="18"/>
              </w:rPr>
            </w:pPr>
            <w:r>
              <w:rPr>
                <w:rFonts w:hint="eastAsia"/>
                <w:sz w:val="18"/>
                <w:szCs w:val="18"/>
              </w:rPr>
              <w:t>国家一类生物抗癌新药重组人血管内皮抑素注射液研发项目</w:t>
            </w:r>
          </w:p>
        </w:tc>
        <w:tc>
          <w:tcPr>
            <w:tcW w:w="847" w:type="dxa"/>
            <w:shd w:val="clear" w:color="auto" w:fill="auto"/>
            <w:vAlign w:val="center"/>
          </w:tcPr>
          <w:p>
            <w:pPr>
              <w:jc w:val="left"/>
              <w:rPr>
                <w:rFonts w:ascii="宋体" w:hAnsi="宋体"/>
                <w:kern w:val="0"/>
                <w:sz w:val="18"/>
                <w:szCs w:val="18"/>
              </w:rPr>
            </w:pPr>
            <w:r>
              <w:rPr>
                <w:rFonts w:hint="eastAsia" w:ascii="宋体" w:hAnsi="宋体"/>
                <w:sz w:val="18"/>
                <w:szCs w:val="18"/>
              </w:rPr>
              <w:t>是</w:t>
            </w:r>
          </w:p>
        </w:tc>
        <w:tc>
          <w:tcPr>
            <w:tcW w:w="1026" w:type="dxa"/>
            <w:vAlign w:val="center"/>
          </w:tcPr>
          <w:p>
            <w:pPr>
              <w:widowControl/>
              <w:jc w:val="right"/>
              <w:rPr>
                <w:rFonts w:ascii="宋体" w:hAnsi="宋体" w:cs="宋体"/>
                <w:kern w:val="0"/>
                <w:sz w:val="18"/>
                <w:szCs w:val="18"/>
              </w:rPr>
            </w:pPr>
            <w:r>
              <w:rPr>
                <w:rFonts w:hint="eastAsia" w:ascii="宋体" w:hAnsi="宋体"/>
                <w:sz w:val="18"/>
                <w:szCs w:val="18"/>
              </w:rPr>
              <w:t>15,610.00</w:t>
            </w:r>
          </w:p>
        </w:tc>
        <w:tc>
          <w:tcPr>
            <w:tcW w:w="1026" w:type="dxa"/>
            <w:shd w:val="clear" w:color="auto" w:fill="auto"/>
            <w:vAlign w:val="center"/>
          </w:tcPr>
          <w:p>
            <w:pPr>
              <w:widowControl/>
              <w:jc w:val="right"/>
              <w:rPr>
                <w:rFonts w:ascii="宋体" w:hAnsi="宋体" w:cs="宋体"/>
                <w:kern w:val="0"/>
                <w:sz w:val="18"/>
                <w:szCs w:val="18"/>
              </w:rPr>
            </w:pPr>
            <w:r>
              <w:rPr>
                <w:rFonts w:hint="eastAsia" w:ascii="宋体" w:hAnsi="宋体"/>
                <w:sz w:val="18"/>
                <w:szCs w:val="18"/>
              </w:rPr>
              <w:t>3,493.63</w:t>
            </w:r>
          </w:p>
        </w:tc>
        <w:tc>
          <w:tcPr>
            <w:tcW w:w="1026" w:type="dxa"/>
            <w:shd w:val="clear" w:color="auto" w:fill="auto"/>
            <w:vAlign w:val="center"/>
          </w:tcPr>
          <w:p>
            <w:pPr>
              <w:widowControl/>
              <w:ind w:left="-107" w:leftChars="-51"/>
              <w:jc w:val="right"/>
              <w:rPr>
                <w:rFonts w:ascii="宋体" w:hAnsi="宋体" w:cs="宋体"/>
                <w:kern w:val="0"/>
                <w:sz w:val="18"/>
                <w:szCs w:val="18"/>
              </w:rPr>
            </w:pPr>
            <w:r>
              <w:rPr>
                <w:rFonts w:hint="eastAsia" w:ascii="宋体" w:hAnsi="宋体"/>
                <w:sz w:val="18"/>
                <w:szCs w:val="18"/>
              </w:rPr>
              <w:t>不适用</w:t>
            </w:r>
          </w:p>
        </w:tc>
        <w:tc>
          <w:tcPr>
            <w:tcW w:w="936" w:type="dxa"/>
            <w:shd w:val="clear" w:color="auto" w:fill="auto"/>
            <w:vAlign w:val="center"/>
          </w:tcPr>
          <w:p>
            <w:pPr>
              <w:widowControl/>
              <w:jc w:val="right"/>
              <w:rPr>
                <w:rFonts w:ascii="宋体" w:hAnsi="宋体" w:cs="宋体"/>
                <w:kern w:val="0"/>
                <w:sz w:val="18"/>
                <w:szCs w:val="18"/>
              </w:rPr>
            </w:pPr>
            <w:r>
              <w:rPr>
                <w:rFonts w:hint="eastAsia" w:ascii="宋体" w:hAnsi="宋体"/>
                <w:sz w:val="18"/>
                <w:szCs w:val="18"/>
              </w:rPr>
              <w:t>不适用</w:t>
            </w:r>
          </w:p>
        </w:tc>
        <w:tc>
          <w:tcPr>
            <w:tcW w:w="1103" w:type="dxa"/>
            <w:shd w:val="clear" w:color="auto" w:fill="auto"/>
            <w:vAlign w:val="center"/>
          </w:tcPr>
          <w:p>
            <w:pPr>
              <w:widowControl/>
              <w:jc w:val="right"/>
              <w:rPr>
                <w:rFonts w:ascii="宋体" w:hAnsi="宋体"/>
                <w:kern w:val="0"/>
                <w:sz w:val="18"/>
                <w:szCs w:val="18"/>
              </w:rPr>
            </w:pPr>
            <w:r>
              <w:rPr>
                <w:rFonts w:ascii="宋体" w:hAnsi="宋体"/>
                <w:kern w:val="0"/>
                <w:sz w:val="18"/>
                <w:szCs w:val="18"/>
              </w:rPr>
              <w:t>4</w:t>
            </w:r>
            <w:r>
              <w:rPr>
                <w:rFonts w:hint="eastAsia" w:ascii="宋体" w:hAnsi="宋体"/>
                <w:kern w:val="0"/>
                <w:sz w:val="18"/>
                <w:szCs w:val="18"/>
              </w:rPr>
              <w:t>,</w:t>
            </w:r>
            <w:r>
              <w:rPr>
                <w:rFonts w:ascii="宋体" w:hAnsi="宋体"/>
                <w:kern w:val="0"/>
                <w:sz w:val="18"/>
                <w:szCs w:val="18"/>
              </w:rPr>
              <w:t>515.88</w:t>
            </w:r>
          </w:p>
        </w:tc>
        <w:tc>
          <w:tcPr>
            <w:tcW w:w="1493" w:type="dxa"/>
            <w:vAlign w:val="center"/>
          </w:tcPr>
          <w:p>
            <w:pPr>
              <w:widowControl/>
              <w:ind w:left="-107" w:leftChars="-51"/>
              <w:jc w:val="right"/>
              <w:rPr>
                <w:rFonts w:ascii="宋体" w:hAnsi="宋体" w:cs="宋体"/>
                <w:kern w:val="0"/>
                <w:sz w:val="18"/>
                <w:szCs w:val="18"/>
              </w:rPr>
            </w:pPr>
            <w:r>
              <w:rPr>
                <w:rFonts w:hint="eastAsia" w:ascii="宋体" w:hAnsi="宋体"/>
                <w:sz w:val="18"/>
                <w:szCs w:val="18"/>
              </w:rPr>
              <w:t>不适用</w:t>
            </w:r>
          </w:p>
        </w:tc>
        <w:tc>
          <w:tcPr>
            <w:tcW w:w="1249" w:type="dxa"/>
            <w:shd w:val="clear" w:color="auto" w:fill="auto"/>
            <w:vAlign w:val="center"/>
          </w:tcPr>
          <w:p>
            <w:pPr>
              <w:widowControl/>
              <w:ind w:left="-107" w:leftChars="-51"/>
              <w:jc w:val="right"/>
              <w:rPr>
                <w:rFonts w:ascii="宋体" w:hAnsi="宋体" w:cs="宋体"/>
                <w:kern w:val="0"/>
                <w:sz w:val="18"/>
                <w:szCs w:val="18"/>
              </w:rPr>
            </w:pPr>
            <w:r>
              <w:rPr>
                <w:rFonts w:hint="eastAsia" w:ascii="宋体" w:hAnsi="宋体"/>
                <w:sz w:val="18"/>
                <w:szCs w:val="18"/>
              </w:rPr>
              <w:t>不适用</w:t>
            </w:r>
          </w:p>
        </w:tc>
        <w:tc>
          <w:tcPr>
            <w:tcW w:w="969" w:type="dxa"/>
            <w:shd w:val="clear" w:color="auto" w:fill="auto"/>
            <w:vAlign w:val="center"/>
          </w:tcPr>
          <w:p>
            <w:pPr>
              <w:jc w:val="right"/>
              <w:rPr>
                <w:rFonts w:ascii="宋体" w:hAnsi="宋体"/>
                <w:sz w:val="18"/>
                <w:szCs w:val="18"/>
              </w:rPr>
            </w:pPr>
            <w:r>
              <w:rPr>
                <w:rFonts w:hint="eastAsia" w:ascii="宋体" w:hAnsi="宋体"/>
                <w:sz w:val="18"/>
                <w:szCs w:val="18"/>
              </w:rPr>
              <w:t>2019.12</w:t>
            </w:r>
          </w:p>
          <w:p>
            <w:pPr>
              <w:widowControl/>
              <w:jc w:val="right"/>
              <w:rPr>
                <w:rFonts w:ascii="宋体" w:hAnsi="宋体" w:cs="宋体"/>
                <w:kern w:val="0"/>
                <w:sz w:val="18"/>
                <w:szCs w:val="18"/>
              </w:rPr>
            </w:pPr>
            <w:r>
              <w:rPr>
                <w:rFonts w:hint="eastAsia" w:ascii="宋体" w:hAnsi="宋体"/>
                <w:sz w:val="18"/>
                <w:szCs w:val="18"/>
              </w:rPr>
              <w:t>（注6）</w:t>
            </w:r>
          </w:p>
        </w:tc>
        <w:tc>
          <w:tcPr>
            <w:tcW w:w="972" w:type="dxa"/>
            <w:shd w:val="clear" w:color="auto" w:fill="auto"/>
            <w:vAlign w:val="center"/>
          </w:tcPr>
          <w:p>
            <w:pPr>
              <w:widowControl/>
              <w:jc w:val="right"/>
              <w:rPr>
                <w:rFonts w:ascii="宋体" w:hAnsi="宋体" w:cs="宋体"/>
                <w:kern w:val="0"/>
                <w:sz w:val="18"/>
                <w:szCs w:val="18"/>
              </w:rPr>
            </w:pPr>
            <w:r>
              <w:rPr>
                <w:rFonts w:hint="eastAsia" w:ascii="宋体" w:hAnsi="宋体"/>
                <w:kern w:val="0"/>
                <w:sz w:val="18"/>
                <w:szCs w:val="18"/>
              </w:rPr>
              <w:t>——</w:t>
            </w:r>
          </w:p>
        </w:tc>
        <w:tc>
          <w:tcPr>
            <w:tcW w:w="828" w:type="dxa"/>
            <w:shd w:val="clear" w:color="auto" w:fill="auto"/>
            <w:vAlign w:val="center"/>
          </w:tcPr>
          <w:p>
            <w:pPr>
              <w:widowControl/>
              <w:jc w:val="right"/>
              <w:rPr>
                <w:rFonts w:ascii="宋体" w:hAnsi="宋体" w:cs="宋体"/>
                <w:kern w:val="0"/>
                <w:sz w:val="18"/>
                <w:szCs w:val="18"/>
              </w:rPr>
            </w:pPr>
            <w:r>
              <w:rPr>
                <w:rFonts w:hint="eastAsia" w:ascii="宋体" w:hAnsi="宋体"/>
                <w:kern w:val="0"/>
                <w:sz w:val="18"/>
                <w:szCs w:val="18"/>
              </w:rPr>
              <w:t>——</w:t>
            </w:r>
          </w:p>
        </w:tc>
        <w:tc>
          <w:tcPr>
            <w:tcW w:w="856" w:type="dxa"/>
            <w:shd w:val="clear" w:color="auto" w:fill="auto"/>
            <w:vAlign w:val="center"/>
          </w:tcPr>
          <w:p>
            <w:pPr>
              <w:widowControl/>
              <w:ind w:firstLine="180" w:firstLineChars="100"/>
              <w:jc w:val="right"/>
              <w:rPr>
                <w:rFonts w:ascii="宋体" w:hAnsi="宋体"/>
                <w:kern w:val="0"/>
                <w:sz w:val="18"/>
                <w:szCs w:val="18"/>
              </w:rPr>
            </w:pPr>
            <w:r>
              <w:rPr>
                <w:rFonts w:hint="eastAsia" w:ascii="宋体" w:hAnsi="宋体"/>
                <w:kern w:val="0"/>
                <w:sz w:val="18"/>
                <w:szCs w:val="18"/>
              </w:rPr>
              <w:t>是</w:t>
            </w:r>
          </w:p>
          <w:p>
            <w:pPr>
              <w:widowControl/>
              <w:jc w:val="right"/>
              <w:rPr>
                <w:rFonts w:ascii="宋体" w:hAnsi="宋体"/>
                <w:kern w:val="0"/>
                <w:sz w:val="18"/>
                <w:szCs w:val="18"/>
              </w:rPr>
            </w:pPr>
            <w:r>
              <w:rPr>
                <w:rFonts w:hint="eastAsia" w:ascii="宋体" w:hAnsi="宋体"/>
                <w:kern w:val="0"/>
                <w:sz w:val="18"/>
                <w:szCs w:val="18"/>
              </w:rPr>
              <w:t>（注7）</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2161" w:type="dxa"/>
            <w:shd w:val="clear" w:color="auto" w:fill="auto"/>
            <w:vAlign w:val="center"/>
          </w:tcPr>
          <w:p>
            <w:pPr>
              <w:widowControl/>
              <w:jc w:val="left"/>
              <w:rPr>
                <w:rFonts w:ascii="宋体" w:hAnsi="宋体" w:cs="宋体"/>
                <w:kern w:val="0"/>
                <w:sz w:val="18"/>
                <w:szCs w:val="18"/>
              </w:rPr>
            </w:pPr>
            <w:r>
              <w:rPr>
                <w:rFonts w:hint="eastAsia"/>
                <w:sz w:val="18"/>
                <w:szCs w:val="18"/>
              </w:rPr>
              <w:t>原料药（河东）、制剂（河西）调整改建项目</w:t>
            </w:r>
          </w:p>
        </w:tc>
        <w:tc>
          <w:tcPr>
            <w:tcW w:w="847" w:type="dxa"/>
            <w:shd w:val="clear" w:color="auto" w:fill="auto"/>
            <w:vAlign w:val="center"/>
          </w:tcPr>
          <w:p>
            <w:pPr>
              <w:widowControl/>
              <w:jc w:val="left"/>
              <w:rPr>
                <w:rFonts w:ascii="宋体" w:hAnsi="宋体" w:cs="宋体"/>
                <w:kern w:val="0"/>
                <w:sz w:val="18"/>
                <w:szCs w:val="18"/>
              </w:rPr>
            </w:pPr>
            <w:r>
              <w:rPr>
                <w:rFonts w:hint="eastAsia" w:ascii="宋体" w:hAnsi="宋体"/>
                <w:sz w:val="18"/>
                <w:szCs w:val="18"/>
              </w:rPr>
              <w:t>否</w:t>
            </w:r>
          </w:p>
        </w:tc>
        <w:tc>
          <w:tcPr>
            <w:tcW w:w="1026" w:type="dxa"/>
            <w:vAlign w:val="center"/>
          </w:tcPr>
          <w:p>
            <w:pPr>
              <w:widowControl/>
              <w:jc w:val="right"/>
              <w:rPr>
                <w:rFonts w:ascii="宋体" w:hAnsi="宋体" w:cs="宋体"/>
                <w:kern w:val="0"/>
                <w:sz w:val="18"/>
                <w:szCs w:val="18"/>
              </w:rPr>
            </w:pPr>
            <w:r>
              <w:rPr>
                <w:rFonts w:hint="eastAsia" w:ascii="宋体" w:hAnsi="宋体"/>
                <w:sz w:val="18"/>
                <w:szCs w:val="18"/>
              </w:rPr>
              <w:t>4,600.00</w:t>
            </w:r>
          </w:p>
        </w:tc>
        <w:tc>
          <w:tcPr>
            <w:tcW w:w="1026" w:type="dxa"/>
            <w:shd w:val="clear" w:color="auto" w:fill="auto"/>
            <w:vAlign w:val="center"/>
          </w:tcPr>
          <w:p>
            <w:pPr>
              <w:widowControl/>
              <w:jc w:val="right"/>
              <w:rPr>
                <w:rFonts w:ascii="宋体" w:hAnsi="宋体" w:cs="宋体"/>
                <w:kern w:val="0"/>
                <w:sz w:val="18"/>
                <w:szCs w:val="18"/>
              </w:rPr>
            </w:pPr>
            <w:r>
              <w:rPr>
                <w:rFonts w:hint="eastAsia" w:ascii="宋体" w:hAnsi="宋体"/>
                <w:sz w:val="18"/>
                <w:szCs w:val="18"/>
              </w:rPr>
              <w:t>4,600.00</w:t>
            </w:r>
          </w:p>
        </w:tc>
        <w:tc>
          <w:tcPr>
            <w:tcW w:w="1026" w:type="dxa"/>
            <w:shd w:val="clear" w:color="auto" w:fill="auto"/>
            <w:vAlign w:val="center"/>
          </w:tcPr>
          <w:p>
            <w:pPr>
              <w:widowControl/>
              <w:ind w:left="-107" w:leftChars="-51"/>
              <w:jc w:val="right"/>
              <w:rPr>
                <w:rFonts w:ascii="宋体" w:hAnsi="宋体" w:cs="宋体"/>
                <w:kern w:val="0"/>
                <w:sz w:val="18"/>
                <w:szCs w:val="18"/>
              </w:rPr>
            </w:pPr>
            <w:r>
              <w:rPr>
                <w:rFonts w:hint="eastAsia" w:ascii="宋体" w:hAnsi="宋体"/>
                <w:sz w:val="18"/>
                <w:szCs w:val="18"/>
              </w:rPr>
              <w:t>不适用</w:t>
            </w:r>
          </w:p>
        </w:tc>
        <w:tc>
          <w:tcPr>
            <w:tcW w:w="936" w:type="dxa"/>
            <w:shd w:val="clear" w:color="auto" w:fill="auto"/>
            <w:vAlign w:val="center"/>
          </w:tcPr>
          <w:p>
            <w:pPr>
              <w:widowControl/>
              <w:jc w:val="right"/>
              <w:rPr>
                <w:rFonts w:ascii="宋体" w:hAnsi="宋体" w:cs="宋体"/>
                <w:kern w:val="0"/>
                <w:sz w:val="18"/>
                <w:szCs w:val="18"/>
              </w:rPr>
            </w:pPr>
            <w:r>
              <w:rPr>
                <w:rFonts w:hint="eastAsia" w:ascii="宋体" w:hAnsi="宋体"/>
                <w:kern w:val="0"/>
                <w:sz w:val="18"/>
                <w:szCs w:val="18"/>
              </w:rPr>
              <w:t>不适用</w:t>
            </w:r>
          </w:p>
        </w:tc>
        <w:tc>
          <w:tcPr>
            <w:tcW w:w="1103" w:type="dxa"/>
            <w:shd w:val="clear" w:color="auto" w:fill="auto"/>
            <w:vAlign w:val="center"/>
          </w:tcPr>
          <w:p>
            <w:pPr>
              <w:widowControl/>
              <w:jc w:val="right"/>
              <w:rPr>
                <w:rFonts w:ascii="宋体" w:hAnsi="宋体"/>
                <w:kern w:val="0"/>
                <w:sz w:val="18"/>
                <w:szCs w:val="18"/>
              </w:rPr>
            </w:pPr>
            <w:r>
              <w:rPr>
                <w:rFonts w:ascii="宋体" w:hAnsi="宋体"/>
                <w:kern w:val="0"/>
                <w:sz w:val="18"/>
                <w:szCs w:val="18"/>
              </w:rPr>
              <w:t>4</w:t>
            </w:r>
            <w:r>
              <w:rPr>
                <w:rFonts w:hint="eastAsia" w:ascii="宋体" w:hAnsi="宋体"/>
                <w:kern w:val="0"/>
                <w:sz w:val="18"/>
                <w:szCs w:val="18"/>
              </w:rPr>
              <w:t>,</w:t>
            </w:r>
            <w:r>
              <w:rPr>
                <w:rFonts w:ascii="宋体" w:hAnsi="宋体"/>
                <w:kern w:val="0"/>
                <w:sz w:val="18"/>
                <w:szCs w:val="18"/>
              </w:rPr>
              <w:t>649.6</w:t>
            </w:r>
            <w:r>
              <w:rPr>
                <w:rFonts w:hint="eastAsia" w:ascii="宋体" w:hAnsi="宋体"/>
                <w:kern w:val="0"/>
                <w:sz w:val="18"/>
                <w:szCs w:val="18"/>
              </w:rPr>
              <w:t>8</w:t>
            </w:r>
          </w:p>
        </w:tc>
        <w:tc>
          <w:tcPr>
            <w:tcW w:w="1493" w:type="dxa"/>
            <w:vAlign w:val="center"/>
          </w:tcPr>
          <w:p>
            <w:pPr>
              <w:widowControl/>
              <w:jc w:val="right"/>
              <w:rPr>
                <w:rFonts w:ascii="宋体" w:hAnsi="宋体" w:cs="宋体"/>
                <w:kern w:val="0"/>
                <w:sz w:val="18"/>
                <w:szCs w:val="18"/>
              </w:rPr>
            </w:pPr>
            <w:r>
              <w:rPr>
                <w:rFonts w:hint="eastAsia" w:ascii="宋体" w:hAnsi="宋体"/>
                <w:sz w:val="18"/>
                <w:szCs w:val="18"/>
              </w:rPr>
              <w:t>不适用</w:t>
            </w:r>
          </w:p>
        </w:tc>
        <w:tc>
          <w:tcPr>
            <w:tcW w:w="1249" w:type="dxa"/>
            <w:shd w:val="clear" w:color="auto" w:fill="auto"/>
            <w:vAlign w:val="center"/>
          </w:tcPr>
          <w:p>
            <w:pPr>
              <w:widowControl/>
              <w:jc w:val="right"/>
              <w:rPr>
                <w:rFonts w:ascii="宋体" w:hAnsi="宋体" w:cs="宋体"/>
                <w:kern w:val="0"/>
                <w:sz w:val="18"/>
                <w:szCs w:val="18"/>
              </w:rPr>
            </w:pPr>
            <w:r>
              <w:rPr>
                <w:rFonts w:hint="eastAsia" w:ascii="宋体" w:hAnsi="宋体"/>
                <w:sz w:val="18"/>
                <w:szCs w:val="18"/>
              </w:rPr>
              <w:t>不适用</w:t>
            </w:r>
          </w:p>
        </w:tc>
        <w:tc>
          <w:tcPr>
            <w:tcW w:w="969" w:type="dxa"/>
            <w:shd w:val="clear" w:color="auto" w:fill="auto"/>
            <w:vAlign w:val="center"/>
          </w:tcPr>
          <w:p>
            <w:pPr>
              <w:widowControl/>
              <w:jc w:val="right"/>
              <w:rPr>
                <w:rFonts w:ascii="宋体" w:hAnsi="宋体" w:cs="宋体"/>
                <w:kern w:val="0"/>
                <w:sz w:val="18"/>
                <w:szCs w:val="18"/>
              </w:rPr>
            </w:pPr>
            <w:r>
              <w:rPr>
                <w:rFonts w:ascii="宋体" w:hAnsi="宋体"/>
                <w:sz w:val="18"/>
                <w:szCs w:val="18"/>
              </w:rPr>
              <w:t>2017.07</w:t>
            </w:r>
          </w:p>
        </w:tc>
        <w:tc>
          <w:tcPr>
            <w:tcW w:w="972" w:type="dxa"/>
            <w:shd w:val="clear" w:color="auto" w:fill="auto"/>
            <w:vAlign w:val="center"/>
          </w:tcPr>
          <w:p>
            <w:pPr>
              <w:widowControl/>
              <w:ind w:right="90"/>
              <w:jc w:val="right"/>
              <w:rPr>
                <w:rFonts w:ascii="宋体" w:hAnsi="宋体"/>
                <w:kern w:val="0"/>
                <w:sz w:val="18"/>
                <w:szCs w:val="18"/>
              </w:rPr>
            </w:pPr>
            <w:r>
              <w:rPr>
                <w:rFonts w:hint="eastAsia" w:ascii="宋体" w:hAnsi="宋体"/>
                <w:kern w:val="0"/>
                <w:sz w:val="18"/>
                <w:szCs w:val="18"/>
              </w:rPr>
              <w:t>-</w:t>
            </w:r>
            <w:r>
              <w:rPr>
                <w:rFonts w:ascii="宋体" w:hAnsi="宋体"/>
                <w:kern w:val="0"/>
                <w:sz w:val="18"/>
                <w:szCs w:val="18"/>
              </w:rPr>
              <w:t>353.67</w:t>
            </w:r>
          </w:p>
          <w:p>
            <w:pPr>
              <w:widowControl/>
              <w:jc w:val="right"/>
              <w:rPr>
                <w:rFonts w:ascii="宋体" w:hAnsi="宋体" w:cs="宋体"/>
                <w:kern w:val="0"/>
                <w:sz w:val="18"/>
                <w:szCs w:val="18"/>
              </w:rPr>
            </w:pPr>
            <w:r>
              <w:rPr>
                <w:rFonts w:hint="eastAsia" w:ascii="宋体" w:hAnsi="宋体"/>
                <w:kern w:val="0"/>
                <w:sz w:val="18"/>
                <w:szCs w:val="18"/>
              </w:rPr>
              <w:t>（注3）</w:t>
            </w:r>
          </w:p>
        </w:tc>
        <w:tc>
          <w:tcPr>
            <w:tcW w:w="828" w:type="dxa"/>
            <w:shd w:val="clear" w:color="auto" w:fill="auto"/>
            <w:vAlign w:val="center"/>
          </w:tcPr>
          <w:p>
            <w:pPr>
              <w:widowControl/>
              <w:jc w:val="right"/>
              <w:rPr>
                <w:rFonts w:ascii="宋体" w:hAnsi="宋体"/>
                <w:kern w:val="0"/>
                <w:sz w:val="18"/>
                <w:szCs w:val="18"/>
              </w:rPr>
            </w:pPr>
            <w:r>
              <w:rPr>
                <w:rFonts w:hint="eastAsia" w:ascii="宋体" w:hAnsi="宋体"/>
                <w:kern w:val="0"/>
                <w:sz w:val="18"/>
                <w:szCs w:val="18"/>
              </w:rPr>
              <w:t>否</w:t>
            </w:r>
          </w:p>
          <w:p>
            <w:pPr>
              <w:widowControl/>
              <w:jc w:val="right"/>
              <w:rPr>
                <w:rFonts w:ascii="宋体" w:hAnsi="宋体"/>
                <w:kern w:val="0"/>
                <w:sz w:val="18"/>
                <w:szCs w:val="18"/>
              </w:rPr>
            </w:pPr>
            <w:r>
              <w:rPr>
                <w:rFonts w:hint="eastAsia" w:ascii="宋体" w:hAnsi="宋体"/>
                <w:kern w:val="0"/>
                <w:sz w:val="18"/>
                <w:szCs w:val="18"/>
              </w:rPr>
              <w:t>（注4）</w:t>
            </w:r>
          </w:p>
        </w:tc>
        <w:tc>
          <w:tcPr>
            <w:tcW w:w="856" w:type="dxa"/>
            <w:shd w:val="clear" w:color="auto" w:fill="auto"/>
            <w:vAlign w:val="center"/>
          </w:tcPr>
          <w:p>
            <w:pPr>
              <w:widowControl/>
              <w:jc w:val="right"/>
              <w:rPr>
                <w:rFonts w:ascii="宋体" w:hAnsi="宋体"/>
                <w:kern w:val="0"/>
                <w:sz w:val="18"/>
                <w:szCs w:val="18"/>
              </w:rPr>
            </w:pPr>
            <w:r>
              <w:rPr>
                <w:rFonts w:hint="eastAsia" w:ascii="宋体" w:hAnsi="宋体"/>
                <w:kern w:val="0"/>
                <w:sz w:val="18"/>
                <w:szCs w:val="18"/>
              </w:rPr>
              <w:t>——</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2161" w:type="dxa"/>
            <w:shd w:val="clear" w:color="auto" w:fill="auto"/>
            <w:vAlign w:val="center"/>
          </w:tcPr>
          <w:p>
            <w:pPr>
              <w:widowControl/>
              <w:jc w:val="left"/>
              <w:rPr>
                <w:rFonts w:ascii="宋体" w:hAnsi="宋体" w:cs="宋体"/>
                <w:kern w:val="0"/>
                <w:sz w:val="18"/>
                <w:szCs w:val="18"/>
              </w:rPr>
            </w:pPr>
            <w:r>
              <w:rPr>
                <w:rFonts w:hint="eastAsia"/>
                <w:sz w:val="18"/>
                <w:szCs w:val="18"/>
              </w:rPr>
              <w:t>原料药二期项目</w:t>
            </w:r>
          </w:p>
        </w:tc>
        <w:tc>
          <w:tcPr>
            <w:tcW w:w="847" w:type="dxa"/>
            <w:shd w:val="clear" w:color="auto" w:fill="auto"/>
            <w:vAlign w:val="center"/>
          </w:tcPr>
          <w:p>
            <w:pPr>
              <w:widowControl/>
              <w:jc w:val="left"/>
              <w:rPr>
                <w:rFonts w:ascii="宋体" w:hAnsi="宋体" w:cs="宋体"/>
                <w:kern w:val="0"/>
                <w:sz w:val="18"/>
                <w:szCs w:val="18"/>
              </w:rPr>
            </w:pPr>
            <w:r>
              <w:rPr>
                <w:rFonts w:hint="eastAsia" w:ascii="宋体" w:hAnsi="宋体"/>
                <w:sz w:val="18"/>
                <w:szCs w:val="18"/>
              </w:rPr>
              <w:t>是</w:t>
            </w:r>
          </w:p>
        </w:tc>
        <w:tc>
          <w:tcPr>
            <w:tcW w:w="1026" w:type="dxa"/>
            <w:vAlign w:val="center"/>
          </w:tcPr>
          <w:p>
            <w:pPr>
              <w:widowControl/>
              <w:jc w:val="right"/>
              <w:rPr>
                <w:rFonts w:ascii="宋体" w:hAnsi="宋体" w:cs="宋体"/>
                <w:kern w:val="0"/>
                <w:sz w:val="18"/>
                <w:szCs w:val="18"/>
              </w:rPr>
            </w:pPr>
            <w:r>
              <w:rPr>
                <w:rFonts w:hint="eastAsia" w:ascii="宋体" w:hAnsi="宋体"/>
                <w:sz w:val="18"/>
                <w:szCs w:val="18"/>
              </w:rPr>
              <w:t>-</w:t>
            </w:r>
          </w:p>
        </w:tc>
        <w:tc>
          <w:tcPr>
            <w:tcW w:w="1026" w:type="dxa"/>
            <w:shd w:val="clear" w:color="auto" w:fill="auto"/>
            <w:vAlign w:val="center"/>
          </w:tcPr>
          <w:p>
            <w:pPr>
              <w:widowControl/>
              <w:jc w:val="right"/>
              <w:rPr>
                <w:rFonts w:ascii="宋体" w:hAnsi="宋体" w:cs="宋体"/>
                <w:kern w:val="0"/>
                <w:sz w:val="18"/>
                <w:szCs w:val="18"/>
              </w:rPr>
            </w:pPr>
            <w:r>
              <w:rPr>
                <w:rFonts w:hint="eastAsia" w:ascii="宋体" w:hAnsi="宋体"/>
                <w:sz w:val="18"/>
                <w:szCs w:val="18"/>
              </w:rPr>
              <w:t>2,867.45</w:t>
            </w:r>
          </w:p>
        </w:tc>
        <w:tc>
          <w:tcPr>
            <w:tcW w:w="1026" w:type="dxa"/>
            <w:shd w:val="clear" w:color="auto" w:fill="auto"/>
            <w:vAlign w:val="center"/>
          </w:tcPr>
          <w:p>
            <w:pPr>
              <w:widowControl/>
              <w:ind w:left="-107" w:leftChars="-51"/>
              <w:jc w:val="right"/>
              <w:rPr>
                <w:rFonts w:ascii="宋体" w:hAnsi="宋体" w:cs="宋体"/>
                <w:kern w:val="0"/>
                <w:sz w:val="18"/>
                <w:szCs w:val="18"/>
              </w:rPr>
            </w:pPr>
            <w:r>
              <w:rPr>
                <w:rFonts w:hint="eastAsia" w:ascii="宋体" w:hAnsi="宋体"/>
                <w:sz w:val="18"/>
                <w:szCs w:val="18"/>
              </w:rPr>
              <w:t>不适用</w:t>
            </w:r>
          </w:p>
        </w:tc>
        <w:tc>
          <w:tcPr>
            <w:tcW w:w="936" w:type="dxa"/>
            <w:shd w:val="clear" w:color="auto" w:fill="auto"/>
            <w:vAlign w:val="center"/>
          </w:tcPr>
          <w:p>
            <w:pPr>
              <w:widowControl/>
              <w:jc w:val="right"/>
              <w:rPr>
                <w:rFonts w:ascii="宋体" w:hAnsi="宋体" w:cs="宋体"/>
                <w:kern w:val="0"/>
                <w:sz w:val="18"/>
                <w:szCs w:val="18"/>
              </w:rPr>
            </w:pPr>
            <w:r>
              <w:rPr>
                <w:rFonts w:ascii="宋体" w:hAnsi="宋体"/>
                <w:kern w:val="0"/>
                <w:sz w:val="18"/>
                <w:szCs w:val="18"/>
              </w:rPr>
              <w:t>0</w:t>
            </w:r>
          </w:p>
        </w:tc>
        <w:tc>
          <w:tcPr>
            <w:tcW w:w="1103" w:type="dxa"/>
            <w:shd w:val="clear" w:color="auto" w:fill="auto"/>
            <w:vAlign w:val="center"/>
          </w:tcPr>
          <w:p>
            <w:pPr>
              <w:widowControl/>
              <w:jc w:val="right"/>
              <w:rPr>
                <w:rFonts w:ascii="宋体" w:hAnsi="宋体"/>
                <w:kern w:val="0"/>
                <w:sz w:val="18"/>
                <w:szCs w:val="18"/>
              </w:rPr>
            </w:pPr>
            <w:r>
              <w:rPr>
                <w:rFonts w:ascii="宋体" w:hAnsi="宋体"/>
                <w:kern w:val="0"/>
                <w:sz w:val="18"/>
                <w:szCs w:val="18"/>
              </w:rPr>
              <w:t>2,627.7</w:t>
            </w:r>
            <w:r>
              <w:rPr>
                <w:rFonts w:hint="eastAsia" w:ascii="宋体" w:hAnsi="宋体"/>
                <w:kern w:val="0"/>
                <w:sz w:val="18"/>
                <w:szCs w:val="18"/>
              </w:rPr>
              <w:t>1</w:t>
            </w:r>
          </w:p>
        </w:tc>
        <w:tc>
          <w:tcPr>
            <w:tcW w:w="1493" w:type="dxa"/>
            <w:vAlign w:val="center"/>
          </w:tcPr>
          <w:p>
            <w:pPr>
              <w:widowControl/>
              <w:jc w:val="right"/>
              <w:rPr>
                <w:rFonts w:ascii="宋体" w:hAnsi="宋体" w:cs="宋体"/>
                <w:kern w:val="0"/>
                <w:sz w:val="18"/>
                <w:szCs w:val="18"/>
              </w:rPr>
            </w:pPr>
            <w:r>
              <w:rPr>
                <w:rFonts w:hint="eastAsia" w:ascii="宋体" w:hAnsi="宋体"/>
                <w:sz w:val="18"/>
                <w:szCs w:val="18"/>
              </w:rPr>
              <w:t>不适用</w:t>
            </w:r>
          </w:p>
        </w:tc>
        <w:tc>
          <w:tcPr>
            <w:tcW w:w="1249" w:type="dxa"/>
            <w:shd w:val="clear" w:color="auto" w:fill="auto"/>
            <w:vAlign w:val="center"/>
          </w:tcPr>
          <w:p>
            <w:pPr>
              <w:widowControl/>
              <w:jc w:val="right"/>
              <w:rPr>
                <w:rFonts w:ascii="宋体" w:hAnsi="宋体" w:cs="宋体"/>
                <w:kern w:val="0"/>
                <w:sz w:val="18"/>
                <w:szCs w:val="18"/>
              </w:rPr>
            </w:pPr>
            <w:r>
              <w:rPr>
                <w:rFonts w:hint="eastAsia" w:ascii="宋体" w:hAnsi="宋体"/>
                <w:sz w:val="18"/>
                <w:szCs w:val="18"/>
              </w:rPr>
              <w:t>不适用</w:t>
            </w:r>
          </w:p>
        </w:tc>
        <w:tc>
          <w:tcPr>
            <w:tcW w:w="969" w:type="dxa"/>
            <w:shd w:val="clear" w:color="auto" w:fill="auto"/>
            <w:vAlign w:val="center"/>
          </w:tcPr>
          <w:p>
            <w:pPr>
              <w:widowControl/>
              <w:jc w:val="right"/>
              <w:rPr>
                <w:rFonts w:ascii="宋体" w:hAnsi="宋体"/>
                <w:sz w:val="18"/>
                <w:szCs w:val="18"/>
              </w:rPr>
            </w:pPr>
            <w:r>
              <w:rPr>
                <w:rFonts w:hint="eastAsia" w:ascii="宋体" w:hAnsi="宋体"/>
                <w:sz w:val="18"/>
                <w:szCs w:val="18"/>
              </w:rPr>
              <w:t>202</w:t>
            </w:r>
            <w:r>
              <w:rPr>
                <w:rFonts w:ascii="宋体" w:hAnsi="宋体"/>
                <w:sz w:val="18"/>
                <w:szCs w:val="18"/>
              </w:rPr>
              <w:t>3</w:t>
            </w:r>
            <w:r>
              <w:rPr>
                <w:rFonts w:hint="eastAsia" w:ascii="宋体" w:hAnsi="宋体"/>
                <w:sz w:val="18"/>
                <w:szCs w:val="18"/>
              </w:rPr>
              <w:t>.0</w:t>
            </w:r>
            <w:r>
              <w:rPr>
                <w:rFonts w:ascii="宋体" w:hAnsi="宋体"/>
                <w:sz w:val="18"/>
                <w:szCs w:val="18"/>
              </w:rPr>
              <w:t>9</w:t>
            </w:r>
          </w:p>
          <w:p>
            <w:pPr>
              <w:widowControl/>
              <w:jc w:val="right"/>
              <w:rPr>
                <w:rFonts w:ascii="宋体" w:hAnsi="宋体" w:cs="宋体"/>
                <w:kern w:val="0"/>
                <w:sz w:val="18"/>
                <w:szCs w:val="18"/>
              </w:rPr>
            </w:pPr>
            <w:r>
              <w:rPr>
                <w:rFonts w:hint="eastAsia" w:ascii="宋体" w:hAnsi="宋体" w:cs="宋体"/>
                <w:kern w:val="0"/>
                <w:sz w:val="18"/>
                <w:szCs w:val="18"/>
              </w:rPr>
              <w:t>（注8）</w:t>
            </w:r>
          </w:p>
        </w:tc>
        <w:tc>
          <w:tcPr>
            <w:tcW w:w="972" w:type="dxa"/>
            <w:shd w:val="clear" w:color="auto" w:fill="auto"/>
            <w:vAlign w:val="center"/>
          </w:tcPr>
          <w:p>
            <w:pPr>
              <w:widowControl/>
              <w:jc w:val="right"/>
              <w:rPr>
                <w:rFonts w:ascii="宋体" w:hAnsi="宋体" w:cs="宋体"/>
                <w:kern w:val="0"/>
                <w:sz w:val="18"/>
                <w:szCs w:val="18"/>
              </w:rPr>
            </w:pPr>
            <w:r>
              <w:rPr>
                <w:rFonts w:hint="eastAsia" w:ascii="宋体" w:hAnsi="宋体"/>
                <w:kern w:val="0"/>
                <w:sz w:val="18"/>
                <w:szCs w:val="18"/>
              </w:rPr>
              <w:t>——</w:t>
            </w:r>
          </w:p>
        </w:tc>
        <w:tc>
          <w:tcPr>
            <w:tcW w:w="828" w:type="dxa"/>
            <w:shd w:val="clear" w:color="auto" w:fill="auto"/>
            <w:vAlign w:val="center"/>
          </w:tcPr>
          <w:p>
            <w:pPr>
              <w:widowControl/>
              <w:jc w:val="right"/>
              <w:rPr>
                <w:rFonts w:ascii="宋体" w:hAnsi="宋体" w:cs="宋体"/>
                <w:kern w:val="0"/>
                <w:sz w:val="18"/>
                <w:szCs w:val="18"/>
              </w:rPr>
            </w:pPr>
            <w:r>
              <w:rPr>
                <w:rFonts w:hint="eastAsia" w:ascii="宋体" w:hAnsi="宋体"/>
                <w:kern w:val="0"/>
                <w:sz w:val="18"/>
                <w:szCs w:val="18"/>
              </w:rPr>
              <w:t>——</w:t>
            </w:r>
          </w:p>
        </w:tc>
        <w:tc>
          <w:tcPr>
            <w:tcW w:w="856" w:type="dxa"/>
            <w:shd w:val="clear" w:color="auto" w:fill="auto"/>
            <w:vAlign w:val="center"/>
          </w:tcPr>
          <w:p>
            <w:pPr>
              <w:widowControl/>
              <w:jc w:val="right"/>
              <w:rPr>
                <w:rFonts w:ascii="宋体" w:hAnsi="宋体" w:cs="宋体"/>
                <w:kern w:val="0"/>
                <w:sz w:val="18"/>
                <w:szCs w:val="18"/>
              </w:rPr>
            </w:pPr>
            <w:r>
              <w:rPr>
                <w:rFonts w:hint="eastAsia" w:ascii="宋体" w:hAnsi="宋体"/>
                <w:kern w:val="0"/>
                <w:sz w:val="18"/>
                <w:szCs w:val="18"/>
              </w:rPr>
              <w:t>——</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2161" w:type="dxa"/>
            <w:shd w:val="clear" w:color="auto" w:fill="auto"/>
            <w:vAlign w:val="center"/>
          </w:tcPr>
          <w:p>
            <w:pPr>
              <w:widowControl/>
              <w:jc w:val="left"/>
              <w:rPr>
                <w:rFonts w:ascii="宋体" w:hAnsi="宋体" w:cs="宋体"/>
                <w:kern w:val="0"/>
                <w:sz w:val="18"/>
                <w:szCs w:val="18"/>
              </w:rPr>
            </w:pPr>
            <w:r>
              <w:rPr>
                <w:rFonts w:hint="eastAsia"/>
                <w:sz w:val="18"/>
                <w:szCs w:val="18"/>
              </w:rPr>
              <w:t>药品自动化立体仓库项目</w:t>
            </w:r>
          </w:p>
        </w:tc>
        <w:tc>
          <w:tcPr>
            <w:tcW w:w="847" w:type="dxa"/>
            <w:shd w:val="clear" w:color="auto" w:fill="auto"/>
            <w:vAlign w:val="center"/>
          </w:tcPr>
          <w:p>
            <w:pPr>
              <w:widowControl/>
              <w:jc w:val="left"/>
              <w:rPr>
                <w:rFonts w:ascii="宋体" w:hAnsi="宋体" w:cs="宋体"/>
                <w:kern w:val="0"/>
                <w:sz w:val="18"/>
                <w:szCs w:val="18"/>
              </w:rPr>
            </w:pPr>
            <w:r>
              <w:rPr>
                <w:rFonts w:hint="eastAsia" w:ascii="宋体" w:hAnsi="宋体"/>
                <w:sz w:val="18"/>
                <w:szCs w:val="18"/>
              </w:rPr>
              <w:t>是</w:t>
            </w:r>
          </w:p>
        </w:tc>
        <w:tc>
          <w:tcPr>
            <w:tcW w:w="1026" w:type="dxa"/>
            <w:vAlign w:val="center"/>
          </w:tcPr>
          <w:p>
            <w:pPr>
              <w:widowControl/>
              <w:jc w:val="right"/>
              <w:rPr>
                <w:rFonts w:ascii="宋体" w:hAnsi="宋体" w:cs="宋体"/>
                <w:kern w:val="0"/>
                <w:sz w:val="18"/>
                <w:szCs w:val="18"/>
              </w:rPr>
            </w:pPr>
            <w:r>
              <w:rPr>
                <w:rFonts w:hint="eastAsia" w:ascii="宋体" w:hAnsi="宋体"/>
                <w:sz w:val="18"/>
                <w:szCs w:val="18"/>
              </w:rPr>
              <w:t>3,679.68</w:t>
            </w:r>
          </w:p>
        </w:tc>
        <w:tc>
          <w:tcPr>
            <w:tcW w:w="1026" w:type="dxa"/>
            <w:shd w:val="clear" w:color="auto" w:fill="auto"/>
            <w:vAlign w:val="center"/>
          </w:tcPr>
          <w:p>
            <w:pPr>
              <w:widowControl/>
              <w:jc w:val="right"/>
              <w:rPr>
                <w:rFonts w:ascii="宋体" w:hAnsi="宋体" w:cs="宋体"/>
                <w:kern w:val="0"/>
                <w:sz w:val="18"/>
                <w:szCs w:val="18"/>
              </w:rPr>
            </w:pPr>
            <w:r>
              <w:rPr>
                <w:rFonts w:hint="eastAsia" w:ascii="宋体" w:hAnsi="宋体"/>
                <w:sz w:val="18"/>
                <w:szCs w:val="18"/>
              </w:rPr>
              <w:t>812.23</w:t>
            </w:r>
          </w:p>
        </w:tc>
        <w:tc>
          <w:tcPr>
            <w:tcW w:w="1026" w:type="dxa"/>
            <w:shd w:val="clear" w:color="auto" w:fill="auto"/>
            <w:vAlign w:val="center"/>
          </w:tcPr>
          <w:p>
            <w:pPr>
              <w:widowControl/>
              <w:ind w:left="-107" w:leftChars="-51"/>
              <w:jc w:val="right"/>
              <w:rPr>
                <w:rFonts w:ascii="宋体" w:hAnsi="宋体" w:cs="宋体"/>
                <w:kern w:val="0"/>
                <w:sz w:val="18"/>
                <w:szCs w:val="18"/>
              </w:rPr>
            </w:pPr>
            <w:r>
              <w:rPr>
                <w:rFonts w:hint="eastAsia" w:ascii="宋体" w:hAnsi="宋体"/>
                <w:sz w:val="18"/>
                <w:szCs w:val="18"/>
              </w:rPr>
              <w:t>不适用</w:t>
            </w:r>
          </w:p>
        </w:tc>
        <w:tc>
          <w:tcPr>
            <w:tcW w:w="936" w:type="dxa"/>
            <w:shd w:val="clear" w:color="auto" w:fill="auto"/>
            <w:vAlign w:val="center"/>
          </w:tcPr>
          <w:p>
            <w:pPr>
              <w:widowControl/>
              <w:jc w:val="right"/>
              <w:rPr>
                <w:rFonts w:ascii="宋体" w:hAnsi="宋体" w:cs="宋体"/>
                <w:kern w:val="0"/>
                <w:sz w:val="18"/>
                <w:szCs w:val="18"/>
              </w:rPr>
            </w:pPr>
            <w:r>
              <w:rPr>
                <w:rFonts w:hint="eastAsia" w:ascii="宋体" w:hAnsi="宋体"/>
                <w:kern w:val="0"/>
                <w:sz w:val="18"/>
                <w:szCs w:val="18"/>
              </w:rPr>
              <w:t>不适用</w:t>
            </w:r>
          </w:p>
        </w:tc>
        <w:tc>
          <w:tcPr>
            <w:tcW w:w="1103" w:type="dxa"/>
            <w:shd w:val="clear" w:color="auto" w:fill="auto"/>
            <w:vAlign w:val="center"/>
          </w:tcPr>
          <w:p>
            <w:pPr>
              <w:widowControl/>
              <w:jc w:val="right"/>
              <w:rPr>
                <w:rFonts w:ascii="宋体" w:hAnsi="宋体"/>
                <w:kern w:val="0"/>
                <w:sz w:val="18"/>
                <w:szCs w:val="18"/>
              </w:rPr>
            </w:pPr>
            <w:r>
              <w:rPr>
                <w:rFonts w:ascii="宋体" w:hAnsi="宋体"/>
                <w:kern w:val="0"/>
                <w:sz w:val="18"/>
                <w:szCs w:val="18"/>
              </w:rPr>
              <w:t>874.70</w:t>
            </w:r>
          </w:p>
        </w:tc>
        <w:tc>
          <w:tcPr>
            <w:tcW w:w="1493" w:type="dxa"/>
            <w:vAlign w:val="center"/>
          </w:tcPr>
          <w:p>
            <w:pPr>
              <w:widowControl/>
              <w:jc w:val="right"/>
              <w:rPr>
                <w:rFonts w:ascii="宋体" w:hAnsi="宋体" w:cs="宋体"/>
                <w:kern w:val="0"/>
                <w:sz w:val="18"/>
                <w:szCs w:val="18"/>
              </w:rPr>
            </w:pPr>
            <w:r>
              <w:rPr>
                <w:rFonts w:hint="eastAsia" w:ascii="宋体" w:hAnsi="宋体"/>
                <w:sz w:val="18"/>
                <w:szCs w:val="18"/>
              </w:rPr>
              <w:t>不适用</w:t>
            </w:r>
          </w:p>
        </w:tc>
        <w:tc>
          <w:tcPr>
            <w:tcW w:w="1249" w:type="dxa"/>
            <w:shd w:val="clear" w:color="auto" w:fill="auto"/>
            <w:vAlign w:val="center"/>
          </w:tcPr>
          <w:p>
            <w:pPr>
              <w:widowControl/>
              <w:jc w:val="right"/>
              <w:rPr>
                <w:rFonts w:ascii="宋体" w:hAnsi="宋体" w:cs="宋体"/>
                <w:kern w:val="0"/>
                <w:sz w:val="18"/>
                <w:szCs w:val="18"/>
              </w:rPr>
            </w:pPr>
            <w:r>
              <w:rPr>
                <w:rFonts w:hint="eastAsia" w:ascii="宋体" w:hAnsi="宋体"/>
                <w:sz w:val="18"/>
                <w:szCs w:val="18"/>
              </w:rPr>
              <w:t>不适用</w:t>
            </w:r>
          </w:p>
        </w:tc>
        <w:tc>
          <w:tcPr>
            <w:tcW w:w="969" w:type="dxa"/>
            <w:shd w:val="clear" w:color="auto" w:fill="auto"/>
            <w:vAlign w:val="center"/>
          </w:tcPr>
          <w:p>
            <w:pPr>
              <w:jc w:val="right"/>
              <w:rPr>
                <w:rFonts w:ascii="宋体" w:hAnsi="宋体"/>
                <w:sz w:val="18"/>
                <w:szCs w:val="18"/>
              </w:rPr>
            </w:pPr>
            <w:r>
              <w:rPr>
                <w:rFonts w:ascii="宋体" w:hAnsi="宋体"/>
                <w:sz w:val="18"/>
                <w:szCs w:val="18"/>
              </w:rPr>
              <w:t>20</w:t>
            </w:r>
            <w:r>
              <w:rPr>
                <w:rFonts w:hint="eastAsia" w:ascii="宋体" w:hAnsi="宋体"/>
                <w:sz w:val="18"/>
                <w:szCs w:val="18"/>
              </w:rPr>
              <w:t>16.11</w:t>
            </w:r>
          </w:p>
          <w:p>
            <w:pPr>
              <w:widowControl/>
              <w:jc w:val="right"/>
              <w:rPr>
                <w:rFonts w:ascii="宋体" w:hAnsi="宋体" w:cs="宋体"/>
                <w:kern w:val="0"/>
                <w:sz w:val="18"/>
                <w:szCs w:val="18"/>
              </w:rPr>
            </w:pPr>
            <w:r>
              <w:rPr>
                <w:rFonts w:hint="eastAsia" w:ascii="宋体" w:hAnsi="宋体"/>
                <w:sz w:val="18"/>
                <w:szCs w:val="18"/>
              </w:rPr>
              <w:t>（注1）</w:t>
            </w:r>
          </w:p>
        </w:tc>
        <w:tc>
          <w:tcPr>
            <w:tcW w:w="972" w:type="dxa"/>
            <w:shd w:val="clear" w:color="auto" w:fill="auto"/>
            <w:vAlign w:val="center"/>
          </w:tcPr>
          <w:p>
            <w:pPr>
              <w:widowControl/>
              <w:jc w:val="right"/>
              <w:rPr>
                <w:rFonts w:ascii="宋体" w:hAnsi="宋体"/>
                <w:kern w:val="0"/>
                <w:sz w:val="18"/>
                <w:szCs w:val="18"/>
              </w:rPr>
            </w:pPr>
            <w:r>
              <w:rPr>
                <w:rFonts w:ascii="宋体" w:hAnsi="宋体"/>
                <w:kern w:val="0"/>
                <w:sz w:val="18"/>
                <w:szCs w:val="18"/>
              </w:rPr>
              <w:t>390.34</w:t>
            </w:r>
          </w:p>
          <w:p>
            <w:pPr>
              <w:widowControl/>
              <w:jc w:val="right"/>
              <w:rPr>
                <w:rFonts w:ascii="宋体" w:hAnsi="宋体" w:cs="宋体"/>
                <w:kern w:val="0"/>
                <w:sz w:val="18"/>
                <w:szCs w:val="18"/>
              </w:rPr>
            </w:pPr>
            <w:r>
              <w:rPr>
                <w:rFonts w:ascii="宋体" w:hAnsi="宋体"/>
                <w:kern w:val="0"/>
                <w:sz w:val="18"/>
                <w:szCs w:val="18"/>
              </w:rPr>
              <w:t>(</w:t>
            </w:r>
            <w:r>
              <w:rPr>
                <w:rFonts w:hint="eastAsia" w:ascii="宋体" w:hAnsi="宋体"/>
                <w:kern w:val="0"/>
                <w:sz w:val="18"/>
                <w:szCs w:val="18"/>
              </w:rPr>
              <w:t>注5)</w:t>
            </w:r>
          </w:p>
        </w:tc>
        <w:tc>
          <w:tcPr>
            <w:tcW w:w="828" w:type="dxa"/>
            <w:shd w:val="clear" w:color="auto" w:fill="auto"/>
            <w:vAlign w:val="center"/>
          </w:tcPr>
          <w:p>
            <w:pPr>
              <w:widowControl/>
              <w:jc w:val="right"/>
              <w:rPr>
                <w:rFonts w:ascii="宋体" w:hAnsi="宋体" w:cs="宋体"/>
                <w:kern w:val="0"/>
                <w:sz w:val="18"/>
                <w:szCs w:val="18"/>
              </w:rPr>
            </w:pPr>
            <w:r>
              <w:rPr>
                <w:rFonts w:hint="eastAsia" w:ascii="宋体" w:hAnsi="宋体"/>
                <w:kern w:val="0"/>
                <w:sz w:val="18"/>
                <w:szCs w:val="18"/>
              </w:rPr>
              <w:t>——</w:t>
            </w:r>
          </w:p>
        </w:tc>
        <w:tc>
          <w:tcPr>
            <w:tcW w:w="856" w:type="dxa"/>
            <w:shd w:val="clear" w:color="auto" w:fill="auto"/>
            <w:vAlign w:val="center"/>
          </w:tcPr>
          <w:p>
            <w:pPr>
              <w:widowControl/>
              <w:ind w:firstLine="180" w:firstLineChars="100"/>
              <w:jc w:val="right"/>
              <w:rPr>
                <w:rFonts w:ascii="宋体" w:hAnsi="宋体"/>
                <w:kern w:val="0"/>
                <w:sz w:val="18"/>
                <w:szCs w:val="18"/>
              </w:rPr>
            </w:pPr>
            <w:r>
              <w:rPr>
                <w:rFonts w:hint="eastAsia" w:ascii="宋体" w:hAnsi="宋体"/>
                <w:kern w:val="0"/>
                <w:sz w:val="18"/>
                <w:szCs w:val="18"/>
              </w:rPr>
              <w:t>是</w:t>
            </w:r>
          </w:p>
          <w:p>
            <w:pPr>
              <w:widowControl/>
              <w:jc w:val="right"/>
              <w:rPr>
                <w:rFonts w:ascii="宋体" w:hAnsi="宋体" w:cs="宋体"/>
                <w:kern w:val="0"/>
                <w:sz w:val="18"/>
                <w:szCs w:val="18"/>
              </w:rPr>
            </w:pPr>
            <w:r>
              <w:rPr>
                <w:rFonts w:hint="eastAsia" w:ascii="宋体" w:hAnsi="宋体" w:cs="宋体"/>
                <w:kern w:val="0"/>
                <w:sz w:val="18"/>
                <w:szCs w:val="18"/>
              </w:rPr>
              <w:t>（注2）</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2161" w:type="dxa"/>
            <w:shd w:val="clear" w:color="auto" w:fill="auto"/>
            <w:vAlign w:val="center"/>
          </w:tcPr>
          <w:p>
            <w:pPr>
              <w:widowControl/>
              <w:jc w:val="left"/>
              <w:rPr>
                <w:rFonts w:ascii="宋体" w:hAnsi="宋体" w:cs="宋体"/>
                <w:kern w:val="0"/>
                <w:sz w:val="18"/>
                <w:szCs w:val="18"/>
              </w:rPr>
            </w:pPr>
            <w:r>
              <w:rPr>
                <w:rFonts w:hint="eastAsia"/>
                <w:sz w:val="18"/>
                <w:szCs w:val="18"/>
              </w:rPr>
              <w:t>医药营销网络建设项目</w:t>
            </w:r>
          </w:p>
        </w:tc>
        <w:tc>
          <w:tcPr>
            <w:tcW w:w="847" w:type="dxa"/>
            <w:shd w:val="clear" w:color="auto" w:fill="auto"/>
            <w:vAlign w:val="center"/>
          </w:tcPr>
          <w:p>
            <w:pPr>
              <w:widowControl/>
              <w:jc w:val="left"/>
              <w:rPr>
                <w:rFonts w:ascii="宋体" w:hAnsi="宋体" w:cs="宋体"/>
                <w:kern w:val="0"/>
                <w:sz w:val="18"/>
                <w:szCs w:val="18"/>
              </w:rPr>
            </w:pPr>
            <w:r>
              <w:rPr>
                <w:rFonts w:hint="eastAsia" w:ascii="宋体" w:hAnsi="宋体"/>
                <w:sz w:val="18"/>
                <w:szCs w:val="18"/>
              </w:rPr>
              <w:t>否</w:t>
            </w:r>
          </w:p>
        </w:tc>
        <w:tc>
          <w:tcPr>
            <w:tcW w:w="1026" w:type="dxa"/>
            <w:vAlign w:val="center"/>
          </w:tcPr>
          <w:p>
            <w:pPr>
              <w:widowControl/>
              <w:jc w:val="right"/>
              <w:rPr>
                <w:rFonts w:ascii="宋体" w:hAnsi="宋体" w:cs="宋体"/>
                <w:kern w:val="0"/>
                <w:sz w:val="18"/>
                <w:szCs w:val="18"/>
              </w:rPr>
            </w:pPr>
            <w:r>
              <w:rPr>
                <w:rFonts w:hint="eastAsia" w:ascii="宋体" w:hAnsi="宋体"/>
                <w:sz w:val="18"/>
                <w:szCs w:val="18"/>
              </w:rPr>
              <w:t>6,900.00</w:t>
            </w:r>
          </w:p>
        </w:tc>
        <w:tc>
          <w:tcPr>
            <w:tcW w:w="1026" w:type="dxa"/>
            <w:shd w:val="clear" w:color="auto" w:fill="auto"/>
            <w:vAlign w:val="center"/>
          </w:tcPr>
          <w:p>
            <w:pPr>
              <w:widowControl/>
              <w:jc w:val="right"/>
              <w:rPr>
                <w:rFonts w:ascii="宋体" w:hAnsi="宋体" w:cs="宋体"/>
                <w:kern w:val="0"/>
                <w:sz w:val="18"/>
                <w:szCs w:val="18"/>
              </w:rPr>
            </w:pPr>
            <w:r>
              <w:rPr>
                <w:rFonts w:hint="eastAsia" w:ascii="宋体" w:hAnsi="宋体"/>
                <w:sz w:val="18"/>
                <w:szCs w:val="18"/>
              </w:rPr>
              <w:t>6,900.00</w:t>
            </w:r>
          </w:p>
        </w:tc>
        <w:tc>
          <w:tcPr>
            <w:tcW w:w="1026" w:type="dxa"/>
            <w:shd w:val="clear" w:color="auto" w:fill="auto"/>
            <w:vAlign w:val="center"/>
          </w:tcPr>
          <w:p>
            <w:pPr>
              <w:widowControl/>
              <w:ind w:left="-107" w:leftChars="-51"/>
              <w:jc w:val="right"/>
              <w:rPr>
                <w:rFonts w:ascii="宋体" w:hAnsi="宋体" w:cs="宋体"/>
                <w:kern w:val="0"/>
                <w:sz w:val="18"/>
                <w:szCs w:val="18"/>
              </w:rPr>
            </w:pPr>
            <w:r>
              <w:rPr>
                <w:rFonts w:hint="eastAsia" w:ascii="宋体" w:hAnsi="宋体"/>
                <w:sz w:val="18"/>
                <w:szCs w:val="18"/>
              </w:rPr>
              <w:t>不适用</w:t>
            </w:r>
          </w:p>
        </w:tc>
        <w:tc>
          <w:tcPr>
            <w:tcW w:w="936" w:type="dxa"/>
            <w:shd w:val="clear" w:color="auto" w:fill="auto"/>
            <w:vAlign w:val="center"/>
          </w:tcPr>
          <w:p>
            <w:pPr>
              <w:widowControl/>
              <w:jc w:val="right"/>
              <w:rPr>
                <w:rFonts w:ascii="宋体" w:hAnsi="宋体" w:cs="宋体"/>
                <w:kern w:val="0"/>
                <w:sz w:val="18"/>
                <w:szCs w:val="18"/>
              </w:rPr>
            </w:pPr>
            <w:r>
              <w:rPr>
                <w:rFonts w:hint="eastAsia" w:ascii="宋体" w:hAnsi="宋体"/>
                <w:kern w:val="0"/>
                <w:sz w:val="18"/>
                <w:szCs w:val="18"/>
              </w:rPr>
              <w:t>不适用</w:t>
            </w:r>
          </w:p>
        </w:tc>
        <w:tc>
          <w:tcPr>
            <w:tcW w:w="1103" w:type="dxa"/>
            <w:shd w:val="clear" w:color="auto" w:fill="auto"/>
            <w:vAlign w:val="center"/>
          </w:tcPr>
          <w:p>
            <w:pPr>
              <w:widowControl/>
              <w:jc w:val="right"/>
              <w:rPr>
                <w:rFonts w:ascii="宋体" w:hAnsi="宋体"/>
                <w:kern w:val="0"/>
                <w:sz w:val="18"/>
                <w:szCs w:val="18"/>
              </w:rPr>
            </w:pPr>
            <w:r>
              <w:rPr>
                <w:rFonts w:ascii="宋体" w:hAnsi="宋体"/>
                <w:kern w:val="0"/>
                <w:sz w:val="18"/>
                <w:szCs w:val="18"/>
              </w:rPr>
              <w:t>6</w:t>
            </w:r>
            <w:r>
              <w:rPr>
                <w:rFonts w:hint="eastAsia" w:ascii="宋体" w:hAnsi="宋体"/>
                <w:kern w:val="0"/>
                <w:sz w:val="18"/>
                <w:szCs w:val="18"/>
              </w:rPr>
              <w:t>,</w:t>
            </w:r>
            <w:r>
              <w:rPr>
                <w:rFonts w:ascii="宋体" w:hAnsi="宋体"/>
                <w:kern w:val="0"/>
                <w:sz w:val="18"/>
                <w:szCs w:val="18"/>
              </w:rPr>
              <w:t>981.05</w:t>
            </w:r>
          </w:p>
        </w:tc>
        <w:tc>
          <w:tcPr>
            <w:tcW w:w="1493" w:type="dxa"/>
            <w:vAlign w:val="center"/>
          </w:tcPr>
          <w:p>
            <w:pPr>
              <w:widowControl/>
              <w:jc w:val="right"/>
              <w:rPr>
                <w:rFonts w:ascii="宋体" w:hAnsi="宋体" w:cs="宋体"/>
                <w:kern w:val="0"/>
                <w:sz w:val="18"/>
                <w:szCs w:val="18"/>
              </w:rPr>
            </w:pPr>
            <w:r>
              <w:rPr>
                <w:rFonts w:hint="eastAsia" w:ascii="宋体" w:hAnsi="宋体"/>
                <w:sz w:val="18"/>
                <w:szCs w:val="18"/>
              </w:rPr>
              <w:t>不适用</w:t>
            </w:r>
          </w:p>
        </w:tc>
        <w:tc>
          <w:tcPr>
            <w:tcW w:w="1249" w:type="dxa"/>
            <w:shd w:val="clear" w:color="auto" w:fill="auto"/>
            <w:vAlign w:val="center"/>
          </w:tcPr>
          <w:p>
            <w:pPr>
              <w:widowControl/>
              <w:jc w:val="right"/>
              <w:rPr>
                <w:rFonts w:ascii="宋体" w:hAnsi="宋体" w:cs="宋体"/>
                <w:kern w:val="0"/>
                <w:sz w:val="18"/>
                <w:szCs w:val="18"/>
              </w:rPr>
            </w:pPr>
            <w:r>
              <w:rPr>
                <w:rFonts w:hint="eastAsia" w:ascii="宋体" w:hAnsi="宋体"/>
                <w:sz w:val="18"/>
                <w:szCs w:val="18"/>
              </w:rPr>
              <w:t>不适用</w:t>
            </w:r>
          </w:p>
        </w:tc>
        <w:tc>
          <w:tcPr>
            <w:tcW w:w="969" w:type="dxa"/>
            <w:shd w:val="clear" w:color="auto" w:fill="auto"/>
            <w:vAlign w:val="center"/>
          </w:tcPr>
          <w:p>
            <w:pPr>
              <w:widowControl/>
              <w:jc w:val="right"/>
              <w:rPr>
                <w:rFonts w:ascii="宋体" w:hAnsi="宋体" w:cs="宋体"/>
                <w:kern w:val="0"/>
                <w:sz w:val="18"/>
                <w:szCs w:val="18"/>
              </w:rPr>
            </w:pPr>
            <w:r>
              <w:rPr>
                <w:rFonts w:hint="eastAsia" w:ascii="宋体" w:hAnsi="宋体"/>
                <w:sz w:val="18"/>
                <w:szCs w:val="18"/>
              </w:rPr>
              <w:t>2017.10</w:t>
            </w:r>
          </w:p>
        </w:tc>
        <w:tc>
          <w:tcPr>
            <w:tcW w:w="972" w:type="dxa"/>
            <w:shd w:val="clear" w:color="auto" w:fill="auto"/>
            <w:vAlign w:val="center"/>
          </w:tcPr>
          <w:p>
            <w:pPr>
              <w:widowControl/>
              <w:jc w:val="right"/>
              <w:rPr>
                <w:rFonts w:ascii="宋体" w:hAnsi="宋体" w:cs="宋体"/>
                <w:kern w:val="0"/>
                <w:sz w:val="18"/>
                <w:szCs w:val="18"/>
              </w:rPr>
            </w:pPr>
            <w:r>
              <w:rPr>
                <w:rFonts w:hint="eastAsia" w:ascii="宋体" w:hAnsi="宋体"/>
                <w:kern w:val="0"/>
                <w:sz w:val="18"/>
                <w:szCs w:val="18"/>
              </w:rPr>
              <w:t>不适用</w:t>
            </w:r>
          </w:p>
        </w:tc>
        <w:tc>
          <w:tcPr>
            <w:tcW w:w="828" w:type="dxa"/>
            <w:shd w:val="clear" w:color="auto" w:fill="auto"/>
            <w:vAlign w:val="center"/>
          </w:tcPr>
          <w:p>
            <w:pPr>
              <w:widowControl/>
              <w:jc w:val="right"/>
              <w:rPr>
                <w:rFonts w:ascii="宋体" w:hAnsi="宋体" w:cs="宋体"/>
                <w:kern w:val="0"/>
                <w:sz w:val="18"/>
                <w:szCs w:val="18"/>
              </w:rPr>
            </w:pPr>
            <w:r>
              <w:rPr>
                <w:rFonts w:hint="eastAsia" w:ascii="宋体" w:hAnsi="宋体"/>
                <w:kern w:val="0"/>
                <w:sz w:val="18"/>
                <w:szCs w:val="18"/>
              </w:rPr>
              <w:t>——</w:t>
            </w:r>
          </w:p>
        </w:tc>
        <w:tc>
          <w:tcPr>
            <w:tcW w:w="856" w:type="dxa"/>
            <w:shd w:val="clear" w:color="auto" w:fill="auto"/>
            <w:vAlign w:val="center"/>
          </w:tcPr>
          <w:p>
            <w:pPr>
              <w:widowControl/>
              <w:jc w:val="right"/>
              <w:rPr>
                <w:rFonts w:ascii="宋体" w:hAnsi="宋体" w:cs="宋体"/>
                <w:kern w:val="0"/>
                <w:sz w:val="18"/>
                <w:szCs w:val="18"/>
              </w:rPr>
            </w:pPr>
            <w:r>
              <w:rPr>
                <w:rFonts w:hint="eastAsia" w:ascii="宋体" w:hAnsi="宋体"/>
                <w:kern w:val="0"/>
                <w:sz w:val="18"/>
                <w:szCs w:val="18"/>
              </w:rPr>
              <w:t>——</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2161" w:type="dxa"/>
            <w:shd w:val="clear" w:color="auto" w:fill="auto"/>
            <w:vAlign w:val="center"/>
          </w:tcPr>
          <w:p>
            <w:pPr>
              <w:widowControl/>
              <w:jc w:val="left"/>
              <w:rPr>
                <w:rFonts w:ascii="宋体" w:hAnsi="宋体" w:cs="宋体"/>
                <w:kern w:val="0"/>
                <w:sz w:val="18"/>
                <w:szCs w:val="18"/>
              </w:rPr>
            </w:pPr>
            <w:r>
              <w:rPr>
                <w:rFonts w:hint="eastAsia"/>
                <w:sz w:val="18"/>
                <w:szCs w:val="18"/>
              </w:rPr>
              <w:t>医药研发中心项目</w:t>
            </w:r>
          </w:p>
        </w:tc>
        <w:tc>
          <w:tcPr>
            <w:tcW w:w="847" w:type="dxa"/>
            <w:shd w:val="clear" w:color="auto" w:fill="auto"/>
            <w:vAlign w:val="center"/>
          </w:tcPr>
          <w:p>
            <w:pPr>
              <w:widowControl/>
              <w:jc w:val="left"/>
              <w:rPr>
                <w:rFonts w:ascii="宋体" w:hAnsi="宋体" w:cs="宋体"/>
                <w:kern w:val="0"/>
                <w:sz w:val="18"/>
                <w:szCs w:val="18"/>
              </w:rPr>
            </w:pPr>
            <w:r>
              <w:rPr>
                <w:rFonts w:hint="eastAsia" w:ascii="宋体" w:hAnsi="宋体"/>
                <w:sz w:val="18"/>
                <w:szCs w:val="18"/>
              </w:rPr>
              <w:t>否</w:t>
            </w:r>
          </w:p>
        </w:tc>
        <w:tc>
          <w:tcPr>
            <w:tcW w:w="1026" w:type="dxa"/>
            <w:vAlign w:val="center"/>
          </w:tcPr>
          <w:p>
            <w:pPr>
              <w:widowControl/>
              <w:jc w:val="right"/>
              <w:rPr>
                <w:rFonts w:ascii="宋体" w:hAnsi="宋体" w:cs="宋体"/>
                <w:kern w:val="0"/>
                <w:sz w:val="18"/>
                <w:szCs w:val="18"/>
              </w:rPr>
            </w:pPr>
            <w:r>
              <w:rPr>
                <w:rFonts w:hint="eastAsia" w:ascii="宋体" w:hAnsi="宋体"/>
                <w:sz w:val="18"/>
                <w:szCs w:val="18"/>
              </w:rPr>
              <w:t>10,600.00</w:t>
            </w:r>
          </w:p>
        </w:tc>
        <w:tc>
          <w:tcPr>
            <w:tcW w:w="1026" w:type="dxa"/>
            <w:shd w:val="clear" w:color="auto" w:fill="auto"/>
            <w:vAlign w:val="center"/>
          </w:tcPr>
          <w:p>
            <w:pPr>
              <w:widowControl/>
              <w:jc w:val="right"/>
              <w:rPr>
                <w:rFonts w:ascii="宋体" w:hAnsi="宋体" w:cs="宋体"/>
                <w:kern w:val="0"/>
                <w:sz w:val="18"/>
                <w:szCs w:val="18"/>
              </w:rPr>
            </w:pPr>
            <w:r>
              <w:rPr>
                <w:rFonts w:hint="eastAsia" w:ascii="宋体" w:hAnsi="宋体"/>
                <w:sz w:val="18"/>
                <w:szCs w:val="18"/>
              </w:rPr>
              <w:t>10,600.00</w:t>
            </w:r>
          </w:p>
        </w:tc>
        <w:tc>
          <w:tcPr>
            <w:tcW w:w="1026" w:type="dxa"/>
            <w:shd w:val="clear" w:color="auto" w:fill="auto"/>
            <w:vAlign w:val="center"/>
          </w:tcPr>
          <w:p>
            <w:pPr>
              <w:widowControl/>
              <w:jc w:val="right"/>
              <w:rPr>
                <w:rFonts w:ascii="宋体" w:hAnsi="宋体" w:cs="宋体"/>
                <w:kern w:val="0"/>
                <w:sz w:val="18"/>
                <w:szCs w:val="18"/>
              </w:rPr>
            </w:pPr>
            <w:r>
              <w:rPr>
                <w:rFonts w:hint="eastAsia" w:ascii="宋体" w:hAnsi="宋体"/>
                <w:sz w:val="18"/>
                <w:szCs w:val="18"/>
              </w:rPr>
              <w:t>不适用</w:t>
            </w:r>
          </w:p>
        </w:tc>
        <w:tc>
          <w:tcPr>
            <w:tcW w:w="936" w:type="dxa"/>
            <w:shd w:val="clear" w:color="auto" w:fill="auto"/>
            <w:vAlign w:val="center"/>
          </w:tcPr>
          <w:p>
            <w:pPr>
              <w:widowControl/>
              <w:jc w:val="right"/>
              <w:rPr>
                <w:rFonts w:ascii="宋体" w:hAnsi="宋体" w:cs="宋体"/>
                <w:kern w:val="0"/>
                <w:sz w:val="18"/>
                <w:szCs w:val="18"/>
              </w:rPr>
            </w:pPr>
            <w:r>
              <w:rPr>
                <w:rFonts w:hint="eastAsia" w:ascii="宋体" w:hAnsi="宋体"/>
                <w:kern w:val="0"/>
                <w:sz w:val="18"/>
                <w:szCs w:val="18"/>
              </w:rPr>
              <w:t>不适用</w:t>
            </w:r>
          </w:p>
        </w:tc>
        <w:tc>
          <w:tcPr>
            <w:tcW w:w="1103" w:type="dxa"/>
            <w:shd w:val="clear" w:color="auto" w:fill="auto"/>
            <w:vAlign w:val="center"/>
          </w:tcPr>
          <w:p>
            <w:pPr>
              <w:widowControl/>
              <w:jc w:val="right"/>
              <w:rPr>
                <w:rFonts w:ascii="宋体" w:hAnsi="宋体"/>
                <w:kern w:val="0"/>
                <w:sz w:val="18"/>
                <w:szCs w:val="18"/>
              </w:rPr>
            </w:pPr>
            <w:r>
              <w:rPr>
                <w:rFonts w:ascii="宋体" w:hAnsi="宋体"/>
                <w:kern w:val="0"/>
                <w:sz w:val="18"/>
                <w:szCs w:val="18"/>
              </w:rPr>
              <w:t>11,100.62</w:t>
            </w:r>
          </w:p>
        </w:tc>
        <w:tc>
          <w:tcPr>
            <w:tcW w:w="1493" w:type="dxa"/>
            <w:vAlign w:val="center"/>
          </w:tcPr>
          <w:p>
            <w:pPr>
              <w:widowControl/>
              <w:jc w:val="right"/>
              <w:rPr>
                <w:rFonts w:ascii="宋体" w:hAnsi="宋体" w:cs="宋体"/>
                <w:kern w:val="0"/>
                <w:sz w:val="18"/>
                <w:szCs w:val="18"/>
              </w:rPr>
            </w:pPr>
            <w:r>
              <w:rPr>
                <w:rFonts w:hint="eastAsia" w:ascii="宋体" w:hAnsi="宋体"/>
                <w:sz w:val="18"/>
                <w:szCs w:val="18"/>
              </w:rPr>
              <w:t>不适用</w:t>
            </w:r>
          </w:p>
        </w:tc>
        <w:tc>
          <w:tcPr>
            <w:tcW w:w="1249" w:type="dxa"/>
            <w:shd w:val="clear" w:color="auto" w:fill="auto"/>
            <w:vAlign w:val="center"/>
          </w:tcPr>
          <w:p>
            <w:pPr>
              <w:widowControl/>
              <w:jc w:val="right"/>
              <w:rPr>
                <w:rFonts w:ascii="宋体" w:hAnsi="宋体" w:cs="宋体"/>
                <w:kern w:val="0"/>
                <w:sz w:val="18"/>
                <w:szCs w:val="18"/>
              </w:rPr>
            </w:pPr>
            <w:r>
              <w:rPr>
                <w:rFonts w:hint="eastAsia" w:ascii="宋体" w:hAnsi="宋体"/>
                <w:sz w:val="18"/>
                <w:szCs w:val="18"/>
              </w:rPr>
              <w:t>不适用</w:t>
            </w:r>
          </w:p>
        </w:tc>
        <w:tc>
          <w:tcPr>
            <w:tcW w:w="969" w:type="dxa"/>
            <w:shd w:val="clear" w:color="auto" w:fill="auto"/>
            <w:vAlign w:val="center"/>
          </w:tcPr>
          <w:p>
            <w:pPr>
              <w:jc w:val="right"/>
              <w:rPr>
                <w:rFonts w:ascii="宋体" w:hAnsi="宋体" w:cs="宋体"/>
                <w:kern w:val="0"/>
                <w:sz w:val="18"/>
                <w:szCs w:val="18"/>
              </w:rPr>
            </w:pPr>
            <w:r>
              <w:rPr>
                <w:rFonts w:hint="eastAsia" w:ascii="宋体" w:hAnsi="宋体"/>
                <w:sz w:val="18"/>
                <w:szCs w:val="18"/>
              </w:rPr>
              <w:t>2019.12</w:t>
            </w:r>
          </w:p>
        </w:tc>
        <w:tc>
          <w:tcPr>
            <w:tcW w:w="972" w:type="dxa"/>
            <w:shd w:val="clear" w:color="auto" w:fill="auto"/>
            <w:vAlign w:val="center"/>
          </w:tcPr>
          <w:p>
            <w:pPr>
              <w:widowControl/>
              <w:jc w:val="right"/>
              <w:rPr>
                <w:rFonts w:ascii="宋体" w:hAnsi="宋体" w:cs="宋体"/>
                <w:kern w:val="0"/>
                <w:sz w:val="18"/>
                <w:szCs w:val="18"/>
              </w:rPr>
            </w:pPr>
            <w:r>
              <w:rPr>
                <w:rFonts w:hint="eastAsia" w:ascii="宋体" w:hAnsi="宋体"/>
                <w:kern w:val="0"/>
                <w:sz w:val="18"/>
                <w:szCs w:val="18"/>
              </w:rPr>
              <w:t>——</w:t>
            </w:r>
          </w:p>
        </w:tc>
        <w:tc>
          <w:tcPr>
            <w:tcW w:w="828" w:type="dxa"/>
            <w:shd w:val="clear" w:color="auto" w:fill="auto"/>
            <w:vAlign w:val="center"/>
          </w:tcPr>
          <w:p>
            <w:pPr>
              <w:widowControl/>
              <w:jc w:val="right"/>
              <w:rPr>
                <w:rFonts w:ascii="宋体" w:hAnsi="宋体" w:cs="宋体"/>
                <w:kern w:val="0"/>
                <w:sz w:val="18"/>
                <w:szCs w:val="18"/>
              </w:rPr>
            </w:pPr>
            <w:r>
              <w:rPr>
                <w:rFonts w:hint="eastAsia" w:ascii="宋体" w:hAnsi="宋体"/>
                <w:kern w:val="0"/>
                <w:sz w:val="18"/>
                <w:szCs w:val="18"/>
              </w:rPr>
              <w:t>——</w:t>
            </w:r>
          </w:p>
        </w:tc>
        <w:tc>
          <w:tcPr>
            <w:tcW w:w="856" w:type="dxa"/>
            <w:shd w:val="clear" w:color="auto" w:fill="auto"/>
            <w:vAlign w:val="center"/>
          </w:tcPr>
          <w:p>
            <w:pPr>
              <w:widowControl/>
              <w:jc w:val="right"/>
              <w:rPr>
                <w:rFonts w:ascii="宋体" w:hAnsi="宋体" w:cs="宋体"/>
                <w:kern w:val="0"/>
                <w:sz w:val="18"/>
                <w:szCs w:val="18"/>
              </w:rPr>
            </w:pPr>
            <w:r>
              <w:rPr>
                <w:rFonts w:hint="eastAsia" w:ascii="宋体" w:hAnsi="宋体"/>
                <w:kern w:val="0"/>
                <w:sz w:val="18"/>
                <w:szCs w:val="18"/>
              </w:rPr>
              <w:t>——</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2161" w:type="dxa"/>
            <w:shd w:val="clear" w:color="auto" w:fill="auto"/>
            <w:vAlign w:val="center"/>
          </w:tcPr>
          <w:p>
            <w:pPr>
              <w:widowControl/>
              <w:jc w:val="left"/>
              <w:rPr>
                <w:rFonts w:ascii="宋体" w:hAnsi="宋体" w:cs="宋体"/>
                <w:kern w:val="0"/>
                <w:sz w:val="18"/>
                <w:szCs w:val="18"/>
              </w:rPr>
            </w:pPr>
            <w:r>
              <w:rPr>
                <w:rFonts w:hint="eastAsia" w:ascii="宋体" w:hAnsi="宋体"/>
                <w:sz w:val="18"/>
                <w:szCs w:val="18"/>
              </w:rPr>
              <w:t>补充医药业务营运资金</w:t>
            </w:r>
          </w:p>
        </w:tc>
        <w:tc>
          <w:tcPr>
            <w:tcW w:w="847" w:type="dxa"/>
            <w:shd w:val="clear" w:color="auto" w:fill="auto"/>
            <w:vAlign w:val="center"/>
          </w:tcPr>
          <w:p>
            <w:pPr>
              <w:widowControl/>
              <w:jc w:val="left"/>
              <w:rPr>
                <w:rFonts w:ascii="宋体" w:hAnsi="宋体" w:cs="宋体"/>
                <w:kern w:val="0"/>
                <w:sz w:val="18"/>
                <w:szCs w:val="18"/>
              </w:rPr>
            </w:pPr>
            <w:r>
              <w:rPr>
                <w:rFonts w:hint="eastAsia" w:ascii="宋体" w:hAnsi="宋体"/>
                <w:sz w:val="18"/>
                <w:szCs w:val="18"/>
              </w:rPr>
              <w:t>否</w:t>
            </w:r>
          </w:p>
        </w:tc>
        <w:tc>
          <w:tcPr>
            <w:tcW w:w="1026" w:type="dxa"/>
            <w:vAlign w:val="center"/>
          </w:tcPr>
          <w:p>
            <w:pPr>
              <w:widowControl/>
              <w:jc w:val="right"/>
              <w:rPr>
                <w:rFonts w:ascii="宋体" w:hAnsi="宋体" w:cs="宋体"/>
                <w:kern w:val="0"/>
                <w:sz w:val="18"/>
                <w:szCs w:val="18"/>
              </w:rPr>
            </w:pPr>
            <w:r>
              <w:rPr>
                <w:rFonts w:hint="eastAsia" w:ascii="宋体" w:hAnsi="宋体"/>
                <w:sz w:val="18"/>
                <w:szCs w:val="18"/>
              </w:rPr>
              <w:t>10,000.00</w:t>
            </w:r>
          </w:p>
        </w:tc>
        <w:tc>
          <w:tcPr>
            <w:tcW w:w="1026" w:type="dxa"/>
            <w:shd w:val="clear" w:color="auto" w:fill="auto"/>
            <w:vAlign w:val="center"/>
          </w:tcPr>
          <w:p>
            <w:pPr>
              <w:widowControl/>
              <w:jc w:val="right"/>
              <w:rPr>
                <w:rFonts w:ascii="宋体" w:hAnsi="宋体" w:cs="宋体"/>
                <w:kern w:val="0"/>
                <w:sz w:val="18"/>
                <w:szCs w:val="18"/>
              </w:rPr>
            </w:pPr>
            <w:r>
              <w:rPr>
                <w:rFonts w:hint="eastAsia" w:ascii="宋体" w:hAnsi="宋体"/>
                <w:sz w:val="18"/>
                <w:szCs w:val="18"/>
              </w:rPr>
              <w:t>8,848.05</w:t>
            </w:r>
          </w:p>
        </w:tc>
        <w:tc>
          <w:tcPr>
            <w:tcW w:w="1026" w:type="dxa"/>
            <w:shd w:val="clear" w:color="auto" w:fill="auto"/>
            <w:vAlign w:val="center"/>
          </w:tcPr>
          <w:p>
            <w:pPr>
              <w:widowControl/>
              <w:jc w:val="right"/>
              <w:rPr>
                <w:rFonts w:ascii="宋体" w:hAnsi="宋体" w:cs="宋体"/>
                <w:kern w:val="0"/>
                <w:sz w:val="18"/>
                <w:szCs w:val="18"/>
              </w:rPr>
            </w:pPr>
            <w:r>
              <w:rPr>
                <w:rFonts w:hint="eastAsia" w:ascii="宋体" w:hAnsi="宋体"/>
                <w:sz w:val="18"/>
                <w:szCs w:val="18"/>
              </w:rPr>
              <w:t>不适用</w:t>
            </w:r>
          </w:p>
        </w:tc>
        <w:tc>
          <w:tcPr>
            <w:tcW w:w="936" w:type="dxa"/>
            <w:shd w:val="clear" w:color="auto" w:fill="auto"/>
            <w:vAlign w:val="center"/>
          </w:tcPr>
          <w:p>
            <w:pPr>
              <w:widowControl/>
              <w:jc w:val="right"/>
              <w:rPr>
                <w:rFonts w:ascii="宋体" w:hAnsi="宋体" w:cs="宋体"/>
                <w:kern w:val="0"/>
                <w:sz w:val="18"/>
                <w:szCs w:val="18"/>
              </w:rPr>
            </w:pPr>
            <w:r>
              <w:rPr>
                <w:rFonts w:hint="eastAsia" w:ascii="宋体" w:hAnsi="宋体"/>
                <w:kern w:val="0"/>
                <w:sz w:val="18"/>
                <w:szCs w:val="18"/>
              </w:rPr>
              <w:t>不适用</w:t>
            </w:r>
          </w:p>
        </w:tc>
        <w:tc>
          <w:tcPr>
            <w:tcW w:w="1103" w:type="dxa"/>
            <w:shd w:val="clear" w:color="auto" w:fill="auto"/>
            <w:vAlign w:val="center"/>
          </w:tcPr>
          <w:p>
            <w:pPr>
              <w:widowControl/>
              <w:jc w:val="right"/>
              <w:rPr>
                <w:rFonts w:ascii="宋体" w:hAnsi="宋体"/>
                <w:kern w:val="0"/>
                <w:sz w:val="18"/>
                <w:szCs w:val="18"/>
              </w:rPr>
            </w:pPr>
            <w:r>
              <w:rPr>
                <w:rFonts w:ascii="宋体" w:hAnsi="宋体"/>
                <w:kern w:val="0"/>
                <w:sz w:val="18"/>
                <w:szCs w:val="18"/>
              </w:rPr>
              <w:t>8,890.70</w:t>
            </w:r>
          </w:p>
        </w:tc>
        <w:tc>
          <w:tcPr>
            <w:tcW w:w="1493" w:type="dxa"/>
            <w:vAlign w:val="center"/>
          </w:tcPr>
          <w:p>
            <w:pPr>
              <w:widowControl/>
              <w:jc w:val="right"/>
              <w:rPr>
                <w:rFonts w:ascii="宋体" w:hAnsi="宋体" w:cs="宋体"/>
                <w:kern w:val="0"/>
                <w:sz w:val="18"/>
                <w:szCs w:val="18"/>
              </w:rPr>
            </w:pPr>
            <w:r>
              <w:rPr>
                <w:rFonts w:hint="eastAsia" w:ascii="宋体" w:hAnsi="宋体"/>
                <w:sz w:val="18"/>
                <w:szCs w:val="18"/>
              </w:rPr>
              <w:t>不适用</w:t>
            </w:r>
          </w:p>
        </w:tc>
        <w:tc>
          <w:tcPr>
            <w:tcW w:w="1249" w:type="dxa"/>
            <w:shd w:val="clear" w:color="auto" w:fill="auto"/>
            <w:vAlign w:val="center"/>
          </w:tcPr>
          <w:p>
            <w:pPr>
              <w:widowControl/>
              <w:jc w:val="right"/>
              <w:rPr>
                <w:rFonts w:ascii="宋体" w:hAnsi="宋体" w:cs="宋体"/>
                <w:kern w:val="0"/>
                <w:sz w:val="18"/>
                <w:szCs w:val="18"/>
              </w:rPr>
            </w:pPr>
            <w:r>
              <w:rPr>
                <w:rFonts w:hint="eastAsia" w:ascii="宋体" w:hAnsi="宋体"/>
                <w:sz w:val="18"/>
                <w:szCs w:val="18"/>
              </w:rPr>
              <w:t>不适用</w:t>
            </w:r>
          </w:p>
        </w:tc>
        <w:tc>
          <w:tcPr>
            <w:tcW w:w="969" w:type="dxa"/>
            <w:shd w:val="clear" w:color="auto" w:fill="auto"/>
            <w:vAlign w:val="center"/>
          </w:tcPr>
          <w:p>
            <w:pPr>
              <w:widowControl/>
              <w:jc w:val="right"/>
              <w:rPr>
                <w:rFonts w:ascii="宋体" w:hAnsi="宋体" w:cs="宋体"/>
                <w:kern w:val="0"/>
                <w:sz w:val="18"/>
                <w:szCs w:val="18"/>
              </w:rPr>
            </w:pPr>
            <w:r>
              <w:rPr>
                <w:rFonts w:hint="eastAsia" w:ascii="宋体" w:hAnsi="宋体"/>
                <w:sz w:val="18"/>
                <w:szCs w:val="18"/>
              </w:rPr>
              <w:t>——</w:t>
            </w:r>
          </w:p>
        </w:tc>
        <w:tc>
          <w:tcPr>
            <w:tcW w:w="972" w:type="dxa"/>
            <w:shd w:val="clear" w:color="auto" w:fill="auto"/>
            <w:vAlign w:val="center"/>
          </w:tcPr>
          <w:p>
            <w:pPr>
              <w:widowControl/>
              <w:jc w:val="right"/>
              <w:rPr>
                <w:rFonts w:ascii="宋体" w:hAnsi="宋体" w:cs="宋体"/>
                <w:kern w:val="0"/>
                <w:sz w:val="18"/>
                <w:szCs w:val="18"/>
              </w:rPr>
            </w:pPr>
            <w:r>
              <w:rPr>
                <w:rFonts w:hint="eastAsia" w:ascii="宋体" w:hAnsi="宋体"/>
                <w:kern w:val="0"/>
                <w:sz w:val="18"/>
                <w:szCs w:val="18"/>
              </w:rPr>
              <w:t>——</w:t>
            </w:r>
          </w:p>
        </w:tc>
        <w:tc>
          <w:tcPr>
            <w:tcW w:w="828" w:type="dxa"/>
            <w:shd w:val="clear" w:color="auto" w:fill="auto"/>
            <w:vAlign w:val="center"/>
          </w:tcPr>
          <w:p>
            <w:pPr>
              <w:widowControl/>
              <w:jc w:val="right"/>
              <w:rPr>
                <w:rFonts w:ascii="宋体" w:hAnsi="宋体" w:cs="宋体"/>
                <w:kern w:val="0"/>
                <w:sz w:val="18"/>
                <w:szCs w:val="18"/>
              </w:rPr>
            </w:pPr>
            <w:r>
              <w:rPr>
                <w:rFonts w:hint="eastAsia" w:ascii="宋体" w:hAnsi="宋体"/>
                <w:kern w:val="0"/>
                <w:sz w:val="18"/>
                <w:szCs w:val="18"/>
              </w:rPr>
              <w:t>——</w:t>
            </w:r>
          </w:p>
        </w:tc>
        <w:tc>
          <w:tcPr>
            <w:tcW w:w="856" w:type="dxa"/>
            <w:shd w:val="clear" w:color="auto" w:fill="auto"/>
            <w:vAlign w:val="center"/>
          </w:tcPr>
          <w:p>
            <w:pPr>
              <w:widowControl/>
              <w:jc w:val="right"/>
              <w:rPr>
                <w:rFonts w:ascii="宋体" w:hAnsi="宋体" w:cs="宋体"/>
                <w:kern w:val="0"/>
                <w:sz w:val="18"/>
                <w:szCs w:val="18"/>
              </w:rPr>
            </w:pPr>
            <w:r>
              <w:rPr>
                <w:rFonts w:hint="eastAsia" w:ascii="宋体" w:hAnsi="宋体"/>
                <w:kern w:val="0"/>
                <w:sz w:val="18"/>
                <w:szCs w:val="18"/>
              </w:rPr>
              <w:t>——</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2161" w:type="dxa"/>
            <w:shd w:val="clear" w:color="auto" w:fill="auto"/>
            <w:vAlign w:val="center"/>
          </w:tcPr>
          <w:p>
            <w:pPr>
              <w:widowControl/>
              <w:jc w:val="left"/>
              <w:rPr>
                <w:rFonts w:ascii="宋体" w:hAnsi="宋体" w:cs="宋体"/>
                <w:kern w:val="0"/>
                <w:sz w:val="18"/>
                <w:szCs w:val="18"/>
              </w:rPr>
            </w:pPr>
            <w:r>
              <w:rPr>
                <w:rFonts w:hint="eastAsia" w:ascii="宋体" w:hAnsi="宋体"/>
                <w:sz w:val="18"/>
                <w:szCs w:val="18"/>
              </w:rPr>
              <w:t xml:space="preserve">抗肿瘤 1 类新药 YS001的研发项目 </w:t>
            </w:r>
          </w:p>
        </w:tc>
        <w:tc>
          <w:tcPr>
            <w:tcW w:w="847" w:type="dxa"/>
            <w:shd w:val="clear" w:color="auto" w:fill="auto"/>
            <w:vAlign w:val="center"/>
          </w:tcPr>
          <w:p>
            <w:pPr>
              <w:widowControl/>
              <w:jc w:val="left"/>
              <w:rPr>
                <w:rFonts w:ascii="宋体" w:hAnsi="宋体" w:cs="宋体"/>
                <w:kern w:val="0"/>
                <w:sz w:val="18"/>
                <w:szCs w:val="18"/>
              </w:rPr>
            </w:pPr>
            <w:r>
              <w:rPr>
                <w:rFonts w:hint="eastAsia" w:ascii="宋体" w:hAnsi="宋体"/>
                <w:sz w:val="18"/>
                <w:szCs w:val="18"/>
              </w:rPr>
              <w:t>是</w:t>
            </w:r>
          </w:p>
        </w:tc>
        <w:tc>
          <w:tcPr>
            <w:tcW w:w="1026" w:type="dxa"/>
            <w:vAlign w:val="center"/>
          </w:tcPr>
          <w:p>
            <w:pPr>
              <w:widowControl/>
              <w:jc w:val="right"/>
              <w:rPr>
                <w:rFonts w:ascii="宋体" w:hAnsi="宋体" w:cs="宋体"/>
                <w:kern w:val="0"/>
                <w:sz w:val="18"/>
                <w:szCs w:val="18"/>
              </w:rPr>
            </w:pPr>
            <w:r>
              <w:rPr>
                <w:rFonts w:hint="eastAsia" w:ascii="宋体" w:hAnsi="宋体"/>
                <w:sz w:val="18"/>
                <w:szCs w:val="18"/>
              </w:rPr>
              <w:t>——</w:t>
            </w:r>
          </w:p>
        </w:tc>
        <w:tc>
          <w:tcPr>
            <w:tcW w:w="1026" w:type="dxa"/>
            <w:shd w:val="clear" w:color="auto" w:fill="auto"/>
            <w:vAlign w:val="center"/>
          </w:tcPr>
          <w:p>
            <w:pPr>
              <w:widowControl/>
              <w:jc w:val="right"/>
              <w:rPr>
                <w:rFonts w:ascii="宋体" w:hAnsi="宋体" w:cs="宋体"/>
                <w:kern w:val="0"/>
                <w:sz w:val="18"/>
                <w:szCs w:val="18"/>
              </w:rPr>
            </w:pPr>
            <w:r>
              <w:rPr>
                <w:rFonts w:hint="eastAsia" w:ascii="宋体" w:hAnsi="宋体"/>
                <w:sz w:val="18"/>
                <w:szCs w:val="18"/>
              </w:rPr>
              <w:t>3,500.00</w:t>
            </w:r>
          </w:p>
        </w:tc>
        <w:tc>
          <w:tcPr>
            <w:tcW w:w="1026" w:type="dxa"/>
            <w:shd w:val="clear" w:color="auto" w:fill="auto"/>
            <w:vAlign w:val="center"/>
          </w:tcPr>
          <w:p>
            <w:pPr>
              <w:widowControl/>
              <w:jc w:val="right"/>
              <w:rPr>
                <w:rFonts w:ascii="宋体" w:hAnsi="宋体" w:cs="宋体"/>
                <w:kern w:val="0"/>
                <w:sz w:val="18"/>
                <w:szCs w:val="18"/>
              </w:rPr>
            </w:pPr>
            <w:r>
              <w:rPr>
                <w:rFonts w:hint="eastAsia" w:ascii="宋体" w:hAnsi="宋体"/>
                <w:sz w:val="18"/>
                <w:szCs w:val="18"/>
              </w:rPr>
              <w:t>不适用</w:t>
            </w:r>
          </w:p>
        </w:tc>
        <w:tc>
          <w:tcPr>
            <w:tcW w:w="936" w:type="dxa"/>
            <w:shd w:val="clear" w:color="auto" w:fill="auto"/>
            <w:vAlign w:val="center"/>
          </w:tcPr>
          <w:p>
            <w:pPr>
              <w:widowControl/>
              <w:jc w:val="right"/>
              <w:rPr>
                <w:rFonts w:ascii="宋体" w:hAnsi="宋体"/>
                <w:kern w:val="0"/>
                <w:sz w:val="18"/>
                <w:szCs w:val="18"/>
              </w:rPr>
            </w:pPr>
            <w:r>
              <w:rPr>
                <w:rFonts w:hint="eastAsia" w:ascii="宋体" w:hAnsi="宋体"/>
                <w:kern w:val="0"/>
                <w:sz w:val="18"/>
                <w:szCs w:val="18"/>
              </w:rPr>
              <w:t xml:space="preserve">         </w:t>
            </w:r>
          </w:p>
          <w:p>
            <w:pPr>
              <w:widowControl/>
              <w:jc w:val="right"/>
              <w:rPr>
                <w:rFonts w:ascii="宋体" w:hAnsi="宋体"/>
                <w:kern w:val="0"/>
                <w:sz w:val="18"/>
                <w:szCs w:val="18"/>
              </w:rPr>
            </w:pPr>
            <w:r>
              <w:rPr>
                <w:rFonts w:ascii="宋体" w:hAnsi="宋体"/>
                <w:kern w:val="0"/>
                <w:sz w:val="18"/>
                <w:szCs w:val="18"/>
              </w:rPr>
              <w:t xml:space="preserve">                    299.76 </w:t>
            </w:r>
          </w:p>
          <w:p>
            <w:pPr>
              <w:widowControl/>
              <w:jc w:val="right"/>
              <w:rPr>
                <w:rFonts w:ascii="宋体" w:hAnsi="宋体"/>
                <w:kern w:val="0"/>
                <w:sz w:val="18"/>
                <w:szCs w:val="18"/>
              </w:rPr>
            </w:pPr>
          </w:p>
        </w:tc>
        <w:tc>
          <w:tcPr>
            <w:tcW w:w="1103" w:type="dxa"/>
            <w:shd w:val="clear" w:color="auto" w:fill="auto"/>
            <w:vAlign w:val="center"/>
          </w:tcPr>
          <w:p>
            <w:pPr>
              <w:widowControl/>
              <w:jc w:val="right"/>
              <w:rPr>
                <w:rFonts w:ascii="宋体" w:hAnsi="宋体"/>
                <w:kern w:val="0"/>
                <w:sz w:val="18"/>
                <w:szCs w:val="18"/>
              </w:rPr>
            </w:pPr>
            <w:r>
              <w:rPr>
                <w:rFonts w:hint="eastAsia" w:ascii="宋体" w:hAnsi="宋体"/>
                <w:kern w:val="0"/>
                <w:sz w:val="18"/>
                <w:szCs w:val="18"/>
              </w:rPr>
              <w:t xml:space="preserve">        </w:t>
            </w:r>
          </w:p>
          <w:p>
            <w:pPr>
              <w:widowControl/>
              <w:jc w:val="right"/>
              <w:rPr>
                <w:rFonts w:ascii="宋体" w:hAnsi="宋体"/>
                <w:kern w:val="0"/>
                <w:sz w:val="18"/>
                <w:szCs w:val="18"/>
              </w:rPr>
            </w:pPr>
            <w:r>
              <w:rPr>
                <w:rFonts w:hint="eastAsia" w:ascii="宋体" w:hAnsi="宋体"/>
                <w:kern w:val="0"/>
                <w:sz w:val="18"/>
                <w:szCs w:val="18"/>
              </w:rPr>
              <w:t xml:space="preserve">        2,353.76 </w:t>
            </w:r>
          </w:p>
          <w:p>
            <w:pPr>
              <w:widowControl/>
              <w:jc w:val="right"/>
              <w:rPr>
                <w:rFonts w:ascii="宋体" w:hAnsi="宋体"/>
                <w:kern w:val="0"/>
                <w:sz w:val="18"/>
                <w:szCs w:val="18"/>
              </w:rPr>
            </w:pPr>
          </w:p>
        </w:tc>
        <w:tc>
          <w:tcPr>
            <w:tcW w:w="1493" w:type="dxa"/>
            <w:vAlign w:val="center"/>
          </w:tcPr>
          <w:p>
            <w:pPr>
              <w:widowControl/>
              <w:jc w:val="right"/>
              <w:rPr>
                <w:rFonts w:ascii="宋体" w:hAnsi="宋体" w:cs="宋体"/>
                <w:kern w:val="0"/>
                <w:sz w:val="18"/>
                <w:szCs w:val="18"/>
              </w:rPr>
            </w:pPr>
            <w:r>
              <w:rPr>
                <w:rFonts w:hint="eastAsia" w:ascii="宋体" w:hAnsi="宋体"/>
                <w:sz w:val="18"/>
                <w:szCs w:val="18"/>
              </w:rPr>
              <w:t>不适用</w:t>
            </w:r>
          </w:p>
        </w:tc>
        <w:tc>
          <w:tcPr>
            <w:tcW w:w="1249" w:type="dxa"/>
            <w:shd w:val="clear" w:color="auto" w:fill="auto"/>
            <w:vAlign w:val="center"/>
          </w:tcPr>
          <w:p>
            <w:pPr>
              <w:widowControl/>
              <w:jc w:val="right"/>
              <w:rPr>
                <w:rFonts w:ascii="宋体" w:hAnsi="宋体" w:cs="宋体"/>
                <w:kern w:val="0"/>
                <w:sz w:val="18"/>
                <w:szCs w:val="18"/>
              </w:rPr>
            </w:pPr>
            <w:r>
              <w:rPr>
                <w:rFonts w:hint="eastAsia" w:ascii="宋体" w:hAnsi="宋体"/>
                <w:sz w:val="18"/>
                <w:szCs w:val="18"/>
              </w:rPr>
              <w:t>不适用</w:t>
            </w:r>
          </w:p>
        </w:tc>
        <w:tc>
          <w:tcPr>
            <w:tcW w:w="969" w:type="dxa"/>
            <w:shd w:val="clear" w:color="auto" w:fill="auto"/>
            <w:vAlign w:val="center"/>
          </w:tcPr>
          <w:p>
            <w:pPr>
              <w:widowControl/>
              <w:jc w:val="right"/>
              <w:rPr>
                <w:rFonts w:ascii="宋体" w:hAnsi="宋体" w:cs="宋体"/>
                <w:kern w:val="0"/>
                <w:sz w:val="18"/>
                <w:szCs w:val="18"/>
              </w:rPr>
            </w:pPr>
            <w:r>
              <w:rPr>
                <w:rFonts w:ascii="宋体" w:hAnsi="宋体"/>
                <w:sz w:val="18"/>
                <w:szCs w:val="18"/>
              </w:rPr>
              <w:t>2022.06</w:t>
            </w:r>
          </w:p>
        </w:tc>
        <w:tc>
          <w:tcPr>
            <w:tcW w:w="972" w:type="dxa"/>
            <w:shd w:val="clear" w:color="auto" w:fill="auto"/>
            <w:vAlign w:val="center"/>
          </w:tcPr>
          <w:p>
            <w:pPr>
              <w:widowControl/>
              <w:jc w:val="right"/>
              <w:rPr>
                <w:rFonts w:ascii="宋体" w:hAnsi="宋体" w:cs="宋体"/>
                <w:kern w:val="0"/>
                <w:sz w:val="18"/>
                <w:szCs w:val="18"/>
              </w:rPr>
            </w:pPr>
            <w:r>
              <w:rPr>
                <w:rFonts w:hint="eastAsia" w:ascii="宋体" w:hAnsi="宋体"/>
                <w:kern w:val="0"/>
                <w:sz w:val="18"/>
                <w:szCs w:val="18"/>
              </w:rPr>
              <w:t>——</w:t>
            </w:r>
          </w:p>
        </w:tc>
        <w:tc>
          <w:tcPr>
            <w:tcW w:w="828" w:type="dxa"/>
            <w:shd w:val="clear" w:color="auto" w:fill="auto"/>
            <w:vAlign w:val="center"/>
          </w:tcPr>
          <w:p>
            <w:pPr>
              <w:widowControl/>
              <w:jc w:val="right"/>
              <w:rPr>
                <w:rFonts w:ascii="宋体" w:hAnsi="宋体" w:cs="宋体"/>
                <w:kern w:val="0"/>
                <w:sz w:val="18"/>
                <w:szCs w:val="18"/>
              </w:rPr>
            </w:pPr>
            <w:r>
              <w:rPr>
                <w:rFonts w:hint="eastAsia" w:ascii="宋体" w:hAnsi="宋体"/>
                <w:kern w:val="0"/>
                <w:sz w:val="18"/>
                <w:szCs w:val="18"/>
              </w:rPr>
              <w:t>——</w:t>
            </w:r>
          </w:p>
        </w:tc>
        <w:tc>
          <w:tcPr>
            <w:tcW w:w="856" w:type="dxa"/>
            <w:shd w:val="clear" w:color="auto" w:fill="auto"/>
            <w:vAlign w:val="center"/>
          </w:tcPr>
          <w:p>
            <w:pPr>
              <w:widowControl/>
              <w:jc w:val="right"/>
              <w:rPr>
                <w:rFonts w:ascii="宋体" w:hAnsi="宋体" w:cs="宋体"/>
                <w:kern w:val="0"/>
                <w:sz w:val="18"/>
                <w:szCs w:val="18"/>
              </w:rPr>
            </w:pPr>
            <w:r>
              <w:rPr>
                <w:rFonts w:hint="eastAsia" w:ascii="宋体" w:hAnsi="宋体"/>
                <w:kern w:val="0"/>
                <w:sz w:val="18"/>
                <w:szCs w:val="18"/>
              </w:rPr>
              <w:t>——</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2161" w:type="dxa"/>
            <w:shd w:val="clear" w:color="auto" w:fill="auto"/>
            <w:vAlign w:val="center"/>
          </w:tcPr>
          <w:p>
            <w:pPr>
              <w:widowControl/>
              <w:jc w:val="left"/>
              <w:rPr>
                <w:rFonts w:ascii="宋体" w:hAnsi="宋体"/>
                <w:kern w:val="0"/>
                <w:sz w:val="18"/>
                <w:szCs w:val="18"/>
              </w:rPr>
            </w:pPr>
            <w:r>
              <w:rPr>
                <w:rFonts w:hint="eastAsia" w:ascii="宋体" w:hAnsi="宋体"/>
                <w:sz w:val="18"/>
                <w:szCs w:val="18"/>
              </w:rPr>
              <w:t>西洛他唑等上市化学仿制药的一致性评价项目</w:t>
            </w:r>
          </w:p>
        </w:tc>
        <w:tc>
          <w:tcPr>
            <w:tcW w:w="847" w:type="dxa"/>
            <w:shd w:val="clear" w:color="auto" w:fill="auto"/>
            <w:vAlign w:val="center"/>
          </w:tcPr>
          <w:p>
            <w:pPr>
              <w:widowControl/>
              <w:jc w:val="left"/>
              <w:rPr>
                <w:rFonts w:ascii="宋体" w:hAnsi="宋体"/>
                <w:kern w:val="0"/>
                <w:sz w:val="18"/>
                <w:szCs w:val="18"/>
              </w:rPr>
            </w:pPr>
            <w:r>
              <w:rPr>
                <w:rFonts w:hint="eastAsia" w:ascii="宋体" w:hAnsi="宋体"/>
                <w:sz w:val="18"/>
                <w:szCs w:val="18"/>
              </w:rPr>
              <w:t>是</w:t>
            </w:r>
          </w:p>
        </w:tc>
        <w:tc>
          <w:tcPr>
            <w:tcW w:w="1026" w:type="dxa"/>
            <w:vAlign w:val="center"/>
          </w:tcPr>
          <w:p>
            <w:pPr>
              <w:widowControl/>
              <w:jc w:val="right"/>
              <w:rPr>
                <w:rFonts w:ascii="宋体" w:hAnsi="宋体"/>
                <w:kern w:val="0"/>
                <w:sz w:val="18"/>
                <w:szCs w:val="18"/>
              </w:rPr>
            </w:pPr>
            <w:r>
              <w:rPr>
                <w:rFonts w:hint="eastAsia" w:ascii="宋体" w:hAnsi="宋体"/>
                <w:sz w:val="18"/>
                <w:szCs w:val="18"/>
              </w:rPr>
              <w:t>——</w:t>
            </w:r>
          </w:p>
        </w:tc>
        <w:tc>
          <w:tcPr>
            <w:tcW w:w="1026" w:type="dxa"/>
            <w:shd w:val="clear" w:color="auto" w:fill="auto"/>
            <w:vAlign w:val="center"/>
          </w:tcPr>
          <w:p>
            <w:pPr>
              <w:widowControl/>
              <w:jc w:val="right"/>
              <w:rPr>
                <w:rFonts w:ascii="宋体" w:hAnsi="宋体"/>
                <w:kern w:val="0"/>
                <w:sz w:val="18"/>
                <w:szCs w:val="18"/>
              </w:rPr>
            </w:pPr>
            <w:r>
              <w:rPr>
                <w:rFonts w:ascii="宋体" w:hAnsi="宋体"/>
                <w:sz w:val="18"/>
                <w:szCs w:val="18"/>
              </w:rPr>
              <w:t>1,534.00</w:t>
            </w:r>
          </w:p>
        </w:tc>
        <w:tc>
          <w:tcPr>
            <w:tcW w:w="1026" w:type="dxa"/>
            <w:shd w:val="clear" w:color="auto" w:fill="auto"/>
            <w:vAlign w:val="center"/>
          </w:tcPr>
          <w:p>
            <w:pPr>
              <w:widowControl/>
              <w:jc w:val="right"/>
              <w:rPr>
                <w:rFonts w:ascii="宋体" w:hAnsi="宋体"/>
                <w:kern w:val="0"/>
                <w:sz w:val="18"/>
                <w:szCs w:val="18"/>
              </w:rPr>
            </w:pPr>
            <w:r>
              <w:rPr>
                <w:rFonts w:hint="eastAsia" w:ascii="宋体" w:hAnsi="宋体"/>
                <w:sz w:val="18"/>
                <w:szCs w:val="18"/>
              </w:rPr>
              <w:t>不适用</w:t>
            </w:r>
          </w:p>
        </w:tc>
        <w:tc>
          <w:tcPr>
            <w:tcW w:w="936" w:type="dxa"/>
            <w:shd w:val="clear" w:color="auto" w:fill="auto"/>
            <w:vAlign w:val="center"/>
          </w:tcPr>
          <w:p>
            <w:pPr>
              <w:widowControl/>
              <w:jc w:val="right"/>
              <w:rPr>
                <w:rFonts w:ascii="宋体" w:hAnsi="宋体"/>
                <w:kern w:val="0"/>
                <w:sz w:val="18"/>
                <w:szCs w:val="18"/>
              </w:rPr>
            </w:pPr>
            <w:r>
              <w:rPr>
                <w:rFonts w:ascii="宋体" w:hAnsi="宋体"/>
                <w:kern w:val="0"/>
                <w:sz w:val="18"/>
                <w:szCs w:val="18"/>
              </w:rPr>
              <w:t xml:space="preserve">                        51.58 </w:t>
            </w:r>
          </w:p>
          <w:p>
            <w:pPr>
              <w:widowControl/>
              <w:jc w:val="right"/>
              <w:rPr>
                <w:rFonts w:ascii="宋体" w:hAnsi="宋体"/>
                <w:kern w:val="0"/>
                <w:sz w:val="18"/>
                <w:szCs w:val="18"/>
              </w:rPr>
            </w:pPr>
          </w:p>
        </w:tc>
        <w:tc>
          <w:tcPr>
            <w:tcW w:w="1103" w:type="dxa"/>
            <w:shd w:val="clear" w:color="auto" w:fill="auto"/>
            <w:vAlign w:val="center"/>
          </w:tcPr>
          <w:p>
            <w:pPr>
              <w:widowControl/>
              <w:jc w:val="right"/>
              <w:rPr>
                <w:rFonts w:ascii="宋体" w:hAnsi="宋体"/>
                <w:kern w:val="0"/>
                <w:sz w:val="18"/>
                <w:szCs w:val="18"/>
              </w:rPr>
            </w:pPr>
            <w:r>
              <w:rPr>
                <w:rFonts w:hint="eastAsia" w:ascii="宋体" w:hAnsi="宋体"/>
                <w:kern w:val="0"/>
                <w:sz w:val="18"/>
                <w:szCs w:val="18"/>
              </w:rPr>
              <w:t xml:space="preserve">          781.36 </w:t>
            </w:r>
          </w:p>
          <w:p>
            <w:pPr>
              <w:widowControl/>
              <w:jc w:val="right"/>
              <w:rPr>
                <w:rFonts w:ascii="宋体" w:hAnsi="宋体"/>
                <w:kern w:val="0"/>
                <w:sz w:val="18"/>
                <w:szCs w:val="18"/>
              </w:rPr>
            </w:pPr>
          </w:p>
        </w:tc>
        <w:tc>
          <w:tcPr>
            <w:tcW w:w="1493" w:type="dxa"/>
            <w:vAlign w:val="center"/>
          </w:tcPr>
          <w:p>
            <w:pPr>
              <w:widowControl/>
              <w:jc w:val="right"/>
              <w:rPr>
                <w:rFonts w:ascii="宋体" w:hAnsi="宋体"/>
                <w:kern w:val="0"/>
                <w:sz w:val="18"/>
                <w:szCs w:val="18"/>
              </w:rPr>
            </w:pPr>
            <w:r>
              <w:rPr>
                <w:rFonts w:hint="eastAsia" w:ascii="宋体" w:hAnsi="宋体"/>
                <w:sz w:val="18"/>
                <w:szCs w:val="18"/>
              </w:rPr>
              <w:t>不适用</w:t>
            </w:r>
          </w:p>
        </w:tc>
        <w:tc>
          <w:tcPr>
            <w:tcW w:w="1249" w:type="dxa"/>
            <w:shd w:val="clear" w:color="auto" w:fill="auto"/>
            <w:vAlign w:val="center"/>
          </w:tcPr>
          <w:p>
            <w:pPr>
              <w:widowControl/>
              <w:jc w:val="right"/>
              <w:rPr>
                <w:rFonts w:ascii="宋体" w:hAnsi="宋体"/>
                <w:kern w:val="0"/>
                <w:sz w:val="18"/>
                <w:szCs w:val="18"/>
              </w:rPr>
            </w:pPr>
            <w:r>
              <w:rPr>
                <w:rFonts w:hint="eastAsia" w:ascii="宋体" w:hAnsi="宋体"/>
                <w:sz w:val="18"/>
                <w:szCs w:val="18"/>
              </w:rPr>
              <w:t>不适用</w:t>
            </w:r>
          </w:p>
        </w:tc>
        <w:tc>
          <w:tcPr>
            <w:tcW w:w="969" w:type="dxa"/>
            <w:shd w:val="clear" w:color="auto" w:fill="auto"/>
            <w:vAlign w:val="center"/>
          </w:tcPr>
          <w:p>
            <w:pPr>
              <w:widowControl/>
              <w:jc w:val="right"/>
              <w:rPr>
                <w:rFonts w:ascii="宋体" w:hAnsi="宋体"/>
                <w:kern w:val="0"/>
                <w:sz w:val="18"/>
                <w:szCs w:val="18"/>
              </w:rPr>
            </w:pPr>
            <w:r>
              <w:rPr>
                <w:rFonts w:ascii="宋体" w:hAnsi="宋体"/>
                <w:sz w:val="18"/>
                <w:szCs w:val="18"/>
              </w:rPr>
              <w:t>2023.12</w:t>
            </w:r>
          </w:p>
        </w:tc>
        <w:tc>
          <w:tcPr>
            <w:tcW w:w="972" w:type="dxa"/>
            <w:shd w:val="clear" w:color="auto" w:fill="auto"/>
            <w:vAlign w:val="center"/>
          </w:tcPr>
          <w:p>
            <w:pPr>
              <w:widowControl/>
              <w:jc w:val="right"/>
              <w:rPr>
                <w:rFonts w:ascii="宋体" w:hAnsi="宋体"/>
                <w:kern w:val="0"/>
                <w:sz w:val="18"/>
                <w:szCs w:val="18"/>
              </w:rPr>
            </w:pPr>
            <w:r>
              <w:rPr>
                <w:rFonts w:hint="eastAsia" w:ascii="宋体" w:hAnsi="宋体"/>
                <w:kern w:val="0"/>
                <w:sz w:val="18"/>
                <w:szCs w:val="18"/>
              </w:rPr>
              <w:t>——</w:t>
            </w:r>
          </w:p>
        </w:tc>
        <w:tc>
          <w:tcPr>
            <w:tcW w:w="828" w:type="dxa"/>
            <w:shd w:val="clear" w:color="auto" w:fill="auto"/>
            <w:vAlign w:val="center"/>
          </w:tcPr>
          <w:p>
            <w:pPr>
              <w:widowControl/>
              <w:jc w:val="right"/>
              <w:rPr>
                <w:rFonts w:ascii="宋体" w:hAnsi="宋体"/>
                <w:kern w:val="0"/>
                <w:sz w:val="18"/>
                <w:szCs w:val="18"/>
              </w:rPr>
            </w:pPr>
            <w:r>
              <w:rPr>
                <w:rFonts w:hint="eastAsia" w:ascii="宋体" w:hAnsi="宋体"/>
                <w:kern w:val="0"/>
                <w:sz w:val="18"/>
                <w:szCs w:val="18"/>
              </w:rPr>
              <w:t>——</w:t>
            </w:r>
          </w:p>
        </w:tc>
        <w:tc>
          <w:tcPr>
            <w:tcW w:w="856" w:type="dxa"/>
            <w:shd w:val="clear" w:color="auto" w:fill="auto"/>
            <w:vAlign w:val="center"/>
          </w:tcPr>
          <w:p>
            <w:pPr>
              <w:widowControl/>
              <w:jc w:val="right"/>
              <w:rPr>
                <w:rFonts w:ascii="宋体" w:hAnsi="宋体"/>
                <w:kern w:val="0"/>
                <w:sz w:val="18"/>
                <w:szCs w:val="18"/>
              </w:rPr>
            </w:pPr>
            <w:r>
              <w:rPr>
                <w:rFonts w:hint="eastAsia" w:ascii="宋体" w:hAnsi="宋体"/>
                <w:kern w:val="0"/>
                <w:sz w:val="18"/>
                <w:szCs w:val="18"/>
              </w:rPr>
              <w:t>是</w:t>
            </w:r>
          </w:p>
          <w:p>
            <w:pPr>
              <w:widowControl/>
              <w:jc w:val="right"/>
              <w:rPr>
                <w:rFonts w:ascii="宋体" w:hAnsi="宋体"/>
                <w:kern w:val="0"/>
                <w:sz w:val="18"/>
                <w:szCs w:val="18"/>
              </w:rPr>
            </w:pPr>
            <w:r>
              <w:rPr>
                <w:rFonts w:hint="eastAsia" w:ascii="宋体" w:hAnsi="宋体"/>
                <w:kern w:val="0"/>
                <w:sz w:val="18"/>
                <w:szCs w:val="18"/>
              </w:rPr>
              <w:t>（注9）</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2161" w:type="dxa"/>
            <w:shd w:val="clear" w:color="auto" w:fill="auto"/>
            <w:vAlign w:val="center"/>
          </w:tcPr>
          <w:p>
            <w:pPr>
              <w:widowControl/>
              <w:jc w:val="left"/>
              <w:rPr>
                <w:rFonts w:ascii="宋体" w:hAnsi="宋体"/>
                <w:kern w:val="0"/>
                <w:sz w:val="18"/>
                <w:szCs w:val="18"/>
              </w:rPr>
            </w:pPr>
            <w:r>
              <w:rPr>
                <w:rFonts w:hint="eastAsia" w:ascii="宋体" w:hAnsi="宋体"/>
                <w:sz w:val="18"/>
                <w:szCs w:val="18"/>
              </w:rPr>
              <w:t xml:space="preserve">利奈唑胺与沃诺拉赞的仿制项目 </w:t>
            </w:r>
          </w:p>
        </w:tc>
        <w:tc>
          <w:tcPr>
            <w:tcW w:w="847" w:type="dxa"/>
            <w:shd w:val="clear" w:color="auto" w:fill="auto"/>
            <w:vAlign w:val="center"/>
          </w:tcPr>
          <w:p>
            <w:pPr>
              <w:widowControl/>
              <w:jc w:val="left"/>
              <w:rPr>
                <w:rFonts w:ascii="宋体" w:hAnsi="宋体"/>
                <w:kern w:val="0"/>
                <w:sz w:val="18"/>
                <w:szCs w:val="18"/>
              </w:rPr>
            </w:pPr>
            <w:r>
              <w:rPr>
                <w:rFonts w:hint="eastAsia" w:ascii="宋体" w:hAnsi="宋体"/>
                <w:sz w:val="18"/>
                <w:szCs w:val="18"/>
              </w:rPr>
              <w:t>是</w:t>
            </w:r>
          </w:p>
        </w:tc>
        <w:tc>
          <w:tcPr>
            <w:tcW w:w="1026" w:type="dxa"/>
            <w:vAlign w:val="center"/>
          </w:tcPr>
          <w:p>
            <w:pPr>
              <w:widowControl/>
              <w:jc w:val="right"/>
              <w:rPr>
                <w:rFonts w:ascii="宋体" w:hAnsi="宋体"/>
                <w:kern w:val="0"/>
                <w:sz w:val="18"/>
                <w:szCs w:val="18"/>
              </w:rPr>
            </w:pPr>
            <w:r>
              <w:rPr>
                <w:rFonts w:hint="eastAsia" w:ascii="宋体" w:hAnsi="宋体"/>
                <w:sz w:val="18"/>
                <w:szCs w:val="18"/>
              </w:rPr>
              <w:t>——</w:t>
            </w:r>
          </w:p>
        </w:tc>
        <w:tc>
          <w:tcPr>
            <w:tcW w:w="1026" w:type="dxa"/>
            <w:shd w:val="clear" w:color="auto" w:fill="auto"/>
            <w:vAlign w:val="center"/>
          </w:tcPr>
          <w:p>
            <w:pPr>
              <w:widowControl/>
              <w:jc w:val="right"/>
              <w:rPr>
                <w:rFonts w:ascii="宋体" w:hAnsi="宋体"/>
                <w:kern w:val="0"/>
                <w:sz w:val="18"/>
                <w:szCs w:val="18"/>
              </w:rPr>
            </w:pPr>
            <w:r>
              <w:rPr>
                <w:rFonts w:ascii="宋体" w:hAnsi="宋体"/>
                <w:sz w:val="18"/>
                <w:szCs w:val="18"/>
              </w:rPr>
              <w:t>1,480.37</w:t>
            </w:r>
          </w:p>
        </w:tc>
        <w:tc>
          <w:tcPr>
            <w:tcW w:w="1026" w:type="dxa"/>
            <w:shd w:val="clear" w:color="auto" w:fill="auto"/>
            <w:vAlign w:val="center"/>
          </w:tcPr>
          <w:p>
            <w:pPr>
              <w:widowControl/>
              <w:jc w:val="right"/>
              <w:rPr>
                <w:rFonts w:ascii="宋体" w:hAnsi="宋体"/>
                <w:kern w:val="0"/>
                <w:sz w:val="18"/>
                <w:szCs w:val="18"/>
              </w:rPr>
            </w:pPr>
            <w:r>
              <w:rPr>
                <w:rFonts w:hint="eastAsia" w:ascii="宋体" w:hAnsi="宋体"/>
                <w:sz w:val="18"/>
                <w:szCs w:val="18"/>
              </w:rPr>
              <w:t>不适用</w:t>
            </w:r>
          </w:p>
        </w:tc>
        <w:tc>
          <w:tcPr>
            <w:tcW w:w="936" w:type="dxa"/>
            <w:shd w:val="clear" w:color="auto" w:fill="auto"/>
            <w:vAlign w:val="center"/>
          </w:tcPr>
          <w:p>
            <w:pPr>
              <w:widowControl/>
              <w:jc w:val="right"/>
              <w:rPr>
                <w:rFonts w:ascii="宋体" w:hAnsi="宋体"/>
                <w:kern w:val="0"/>
                <w:sz w:val="18"/>
                <w:szCs w:val="18"/>
              </w:rPr>
            </w:pPr>
            <w:r>
              <w:rPr>
                <w:rFonts w:ascii="宋体" w:hAnsi="宋体"/>
                <w:kern w:val="0"/>
                <w:sz w:val="18"/>
                <w:szCs w:val="18"/>
              </w:rPr>
              <w:t xml:space="preserve">                        39.65 </w:t>
            </w:r>
          </w:p>
          <w:p>
            <w:pPr>
              <w:widowControl/>
              <w:jc w:val="right"/>
              <w:rPr>
                <w:rFonts w:ascii="宋体" w:hAnsi="宋体"/>
                <w:kern w:val="0"/>
                <w:sz w:val="18"/>
                <w:szCs w:val="18"/>
              </w:rPr>
            </w:pPr>
          </w:p>
        </w:tc>
        <w:tc>
          <w:tcPr>
            <w:tcW w:w="1103" w:type="dxa"/>
            <w:shd w:val="clear" w:color="auto" w:fill="auto"/>
            <w:vAlign w:val="center"/>
          </w:tcPr>
          <w:p>
            <w:pPr>
              <w:widowControl/>
              <w:jc w:val="right"/>
              <w:rPr>
                <w:rFonts w:ascii="宋体" w:hAnsi="宋体"/>
                <w:kern w:val="0"/>
                <w:sz w:val="18"/>
                <w:szCs w:val="18"/>
              </w:rPr>
            </w:pPr>
            <w:r>
              <w:rPr>
                <w:rFonts w:hint="eastAsia" w:ascii="宋体" w:hAnsi="宋体"/>
                <w:kern w:val="0"/>
                <w:sz w:val="18"/>
                <w:szCs w:val="18"/>
              </w:rPr>
              <w:t xml:space="preserve">          580.11 </w:t>
            </w:r>
          </w:p>
          <w:p>
            <w:pPr>
              <w:widowControl/>
              <w:jc w:val="right"/>
              <w:rPr>
                <w:rFonts w:ascii="宋体" w:hAnsi="宋体"/>
                <w:kern w:val="0"/>
                <w:sz w:val="18"/>
                <w:szCs w:val="18"/>
              </w:rPr>
            </w:pPr>
          </w:p>
        </w:tc>
        <w:tc>
          <w:tcPr>
            <w:tcW w:w="1493" w:type="dxa"/>
            <w:vAlign w:val="center"/>
          </w:tcPr>
          <w:p>
            <w:pPr>
              <w:widowControl/>
              <w:jc w:val="right"/>
              <w:rPr>
                <w:rFonts w:ascii="宋体" w:hAnsi="宋体"/>
                <w:kern w:val="0"/>
                <w:sz w:val="18"/>
                <w:szCs w:val="18"/>
              </w:rPr>
            </w:pPr>
            <w:r>
              <w:rPr>
                <w:rFonts w:hint="eastAsia" w:ascii="宋体" w:hAnsi="宋体"/>
                <w:sz w:val="18"/>
                <w:szCs w:val="18"/>
              </w:rPr>
              <w:t>不适用</w:t>
            </w:r>
          </w:p>
        </w:tc>
        <w:tc>
          <w:tcPr>
            <w:tcW w:w="1249" w:type="dxa"/>
            <w:shd w:val="clear" w:color="auto" w:fill="auto"/>
            <w:vAlign w:val="center"/>
          </w:tcPr>
          <w:p>
            <w:pPr>
              <w:widowControl/>
              <w:jc w:val="right"/>
              <w:rPr>
                <w:rFonts w:ascii="宋体" w:hAnsi="宋体"/>
                <w:kern w:val="0"/>
                <w:sz w:val="18"/>
                <w:szCs w:val="18"/>
              </w:rPr>
            </w:pPr>
            <w:r>
              <w:rPr>
                <w:rFonts w:hint="eastAsia" w:ascii="宋体" w:hAnsi="宋体"/>
                <w:sz w:val="18"/>
                <w:szCs w:val="18"/>
              </w:rPr>
              <w:t>不适用</w:t>
            </w:r>
          </w:p>
        </w:tc>
        <w:tc>
          <w:tcPr>
            <w:tcW w:w="969" w:type="dxa"/>
            <w:shd w:val="clear" w:color="auto" w:fill="auto"/>
            <w:vAlign w:val="center"/>
          </w:tcPr>
          <w:p>
            <w:pPr>
              <w:widowControl/>
              <w:jc w:val="right"/>
              <w:rPr>
                <w:rFonts w:ascii="宋体" w:hAnsi="宋体"/>
                <w:kern w:val="0"/>
                <w:sz w:val="18"/>
                <w:szCs w:val="18"/>
              </w:rPr>
            </w:pPr>
            <w:r>
              <w:rPr>
                <w:rFonts w:ascii="宋体" w:hAnsi="宋体"/>
                <w:sz w:val="18"/>
                <w:szCs w:val="18"/>
              </w:rPr>
              <w:t>2026.09</w:t>
            </w:r>
          </w:p>
        </w:tc>
        <w:tc>
          <w:tcPr>
            <w:tcW w:w="972" w:type="dxa"/>
            <w:shd w:val="clear" w:color="auto" w:fill="auto"/>
            <w:vAlign w:val="center"/>
          </w:tcPr>
          <w:p>
            <w:pPr>
              <w:widowControl/>
              <w:jc w:val="right"/>
              <w:rPr>
                <w:rFonts w:ascii="宋体" w:hAnsi="宋体"/>
                <w:kern w:val="0"/>
                <w:sz w:val="18"/>
                <w:szCs w:val="18"/>
              </w:rPr>
            </w:pPr>
            <w:r>
              <w:rPr>
                <w:rFonts w:hint="eastAsia" w:ascii="宋体" w:hAnsi="宋体"/>
                <w:kern w:val="0"/>
                <w:sz w:val="18"/>
                <w:szCs w:val="18"/>
              </w:rPr>
              <w:t>——</w:t>
            </w:r>
          </w:p>
        </w:tc>
        <w:tc>
          <w:tcPr>
            <w:tcW w:w="828" w:type="dxa"/>
            <w:shd w:val="clear" w:color="auto" w:fill="auto"/>
            <w:vAlign w:val="center"/>
          </w:tcPr>
          <w:p>
            <w:pPr>
              <w:widowControl/>
              <w:jc w:val="right"/>
              <w:rPr>
                <w:rFonts w:ascii="宋体" w:hAnsi="宋体"/>
                <w:kern w:val="0"/>
                <w:sz w:val="18"/>
                <w:szCs w:val="18"/>
              </w:rPr>
            </w:pPr>
            <w:r>
              <w:rPr>
                <w:rFonts w:hint="eastAsia" w:ascii="宋体" w:hAnsi="宋体"/>
                <w:kern w:val="0"/>
                <w:sz w:val="18"/>
                <w:szCs w:val="18"/>
              </w:rPr>
              <w:t>——</w:t>
            </w:r>
          </w:p>
        </w:tc>
        <w:tc>
          <w:tcPr>
            <w:tcW w:w="856" w:type="dxa"/>
            <w:shd w:val="clear" w:color="auto" w:fill="auto"/>
            <w:vAlign w:val="center"/>
          </w:tcPr>
          <w:p>
            <w:pPr>
              <w:widowControl/>
              <w:jc w:val="right"/>
              <w:rPr>
                <w:rFonts w:ascii="宋体" w:hAnsi="宋体"/>
                <w:kern w:val="0"/>
                <w:sz w:val="18"/>
                <w:szCs w:val="18"/>
              </w:rPr>
            </w:pPr>
            <w:r>
              <w:rPr>
                <w:rFonts w:hint="eastAsia" w:ascii="宋体" w:hAnsi="宋体"/>
                <w:kern w:val="0"/>
                <w:sz w:val="18"/>
                <w:szCs w:val="18"/>
              </w:rPr>
              <w:t>是</w:t>
            </w:r>
          </w:p>
          <w:p>
            <w:pPr>
              <w:widowControl/>
              <w:jc w:val="right"/>
              <w:rPr>
                <w:rFonts w:ascii="宋体" w:hAnsi="宋体"/>
                <w:kern w:val="0"/>
                <w:sz w:val="18"/>
                <w:szCs w:val="18"/>
              </w:rPr>
            </w:pPr>
            <w:r>
              <w:rPr>
                <w:rFonts w:hint="eastAsia" w:ascii="宋体" w:hAnsi="宋体"/>
                <w:kern w:val="0"/>
                <w:sz w:val="18"/>
                <w:szCs w:val="18"/>
              </w:rPr>
              <w:t>（注9）</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2161"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永久补充流动资金</w:t>
            </w:r>
          </w:p>
        </w:tc>
        <w:tc>
          <w:tcPr>
            <w:tcW w:w="847" w:type="dxa"/>
            <w:shd w:val="clear" w:color="auto" w:fill="auto"/>
            <w:vAlign w:val="center"/>
          </w:tcPr>
          <w:p>
            <w:pPr>
              <w:widowControl/>
              <w:jc w:val="left"/>
              <w:rPr>
                <w:rFonts w:ascii="宋体" w:hAnsi="宋体" w:cs="宋体"/>
                <w:kern w:val="0"/>
                <w:sz w:val="18"/>
                <w:szCs w:val="18"/>
              </w:rPr>
            </w:pPr>
          </w:p>
        </w:tc>
        <w:tc>
          <w:tcPr>
            <w:tcW w:w="1026" w:type="dxa"/>
            <w:vAlign w:val="center"/>
          </w:tcPr>
          <w:p>
            <w:pPr>
              <w:widowControl/>
              <w:jc w:val="right"/>
              <w:rPr>
                <w:rFonts w:ascii="宋体" w:hAnsi="宋体"/>
                <w:kern w:val="0"/>
                <w:sz w:val="18"/>
                <w:szCs w:val="18"/>
              </w:rPr>
            </w:pPr>
            <w:r>
              <w:rPr>
                <w:rFonts w:hint="eastAsia" w:ascii="宋体" w:hAnsi="宋体"/>
                <w:sz w:val="18"/>
                <w:szCs w:val="18"/>
              </w:rPr>
              <w:t>——</w:t>
            </w:r>
          </w:p>
        </w:tc>
        <w:tc>
          <w:tcPr>
            <w:tcW w:w="1026" w:type="dxa"/>
            <w:shd w:val="clear" w:color="auto" w:fill="auto"/>
            <w:vAlign w:val="center"/>
          </w:tcPr>
          <w:p>
            <w:pPr>
              <w:widowControl/>
              <w:jc w:val="right"/>
              <w:rPr>
                <w:rFonts w:ascii="宋体" w:hAnsi="宋体" w:cs="宋体"/>
                <w:kern w:val="0"/>
                <w:sz w:val="18"/>
                <w:szCs w:val="18"/>
              </w:rPr>
            </w:pPr>
            <w:r>
              <w:rPr>
                <w:rFonts w:ascii="宋体" w:hAnsi="宋体" w:cs="宋体"/>
                <w:kern w:val="0"/>
                <w:sz w:val="18"/>
                <w:szCs w:val="18"/>
              </w:rPr>
              <w:t>5,602.00</w:t>
            </w:r>
          </w:p>
        </w:tc>
        <w:tc>
          <w:tcPr>
            <w:tcW w:w="1026" w:type="dxa"/>
            <w:shd w:val="clear" w:color="auto" w:fill="auto"/>
            <w:vAlign w:val="center"/>
          </w:tcPr>
          <w:p>
            <w:pPr>
              <w:widowControl/>
              <w:jc w:val="right"/>
              <w:rPr>
                <w:rFonts w:ascii="宋体" w:hAnsi="宋体"/>
                <w:sz w:val="18"/>
                <w:szCs w:val="18"/>
              </w:rPr>
            </w:pPr>
            <w:r>
              <w:rPr>
                <w:rFonts w:hint="eastAsia" w:ascii="宋体" w:hAnsi="宋体"/>
                <w:sz w:val="18"/>
                <w:szCs w:val="18"/>
              </w:rPr>
              <w:t>不适用</w:t>
            </w:r>
          </w:p>
        </w:tc>
        <w:tc>
          <w:tcPr>
            <w:tcW w:w="936" w:type="dxa"/>
            <w:shd w:val="clear" w:color="auto" w:fill="auto"/>
            <w:vAlign w:val="center"/>
          </w:tcPr>
          <w:p>
            <w:pPr>
              <w:widowControl/>
              <w:jc w:val="right"/>
              <w:rPr>
                <w:rFonts w:ascii="宋体" w:hAnsi="宋体"/>
                <w:kern w:val="0"/>
                <w:sz w:val="18"/>
                <w:szCs w:val="18"/>
              </w:rPr>
            </w:pPr>
            <w:r>
              <w:rPr>
                <w:rFonts w:ascii="宋体" w:hAnsi="宋体"/>
                <w:kern w:val="0"/>
                <w:sz w:val="18"/>
                <w:szCs w:val="18"/>
              </w:rPr>
              <w:t>0</w:t>
            </w:r>
          </w:p>
        </w:tc>
        <w:tc>
          <w:tcPr>
            <w:tcW w:w="1103" w:type="dxa"/>
            <w:shd w:val="clear" w:color="auto" w:fill="auto"/>
            <w:vAlign w:val="center"/>
          </w:tcPr>
          <w:p>
            <w:pPr>
              <w:widowControl/>
              <w:jc w:val="right"/>
              <w:rPr>
                <w:rFonts w:ascii="宋体" w:hAnsi="宋体"/>
                <w:kern w:val="0"/>
                <w:sz w:val="18"/>
                <w:szCs w:val="18"/>
              </w:rPr>
            </w:pPr>
            <w:r>
              <w:rPr>
                <w:rFonts w:hint="eastAsia" w:ascii="宋体" w:hAnsi="宋体"/>
                <w:kern w:val="0"/>
                <w:sz w:val="18"/>
                <w:szCs w:val="18"/>
              </w:rPr>
              <w:t>5,602.00</w:t>
            </w:r>
          </w:p>
        </w:tc>
        <w:tc>
          <w:tcPr>
            <w:tcW w:w="1493" w:type="dxa"/>
            <w:vAlign w:val="center"/>
          </w:tcPr>
          <w:p>
            <w:pPr>
              <w:widowControl/>
              <w:jc w:val="right"/>
              <w:rPr>
                <w:rFonts w:ascii="宋体" w:hAnsi="宋体"/>
                <w:sz w:val="18"/>
                <w:szCs w:val="18"/>
              </w:rPr>
            </w:pPr>
            <w:r>
              <w:rPr>
                <w:rFonts w:hint="eastAsia" w:ascii="宋体" w:hAnsi="宋体"/>
                <w:sz w:val="18"/>
                <w:szCs w:val="18"/>
              </w:rPr>
              <w:t>不适用</w:t>
            </w:r>
          </w:p>
        </w:tc>
        <w:tc>
          <w:tcPr>
            <w:tcW w:w="1249" w:type="dxa"/>
            <w:shd w:val="clear" w:color="auto" w:fill="auto"/>
            <w:vAlign w:val="center"/>
          </w:tcPr>
          <w:p>
            <w:pPr>
              <w:widowControl/>
              <w:jc w:val="right"/>
              <w:rPr>
                <w:rFonts w:ascii="宋体" w:hAnsi="宋体"/>
                <w:sz w:val="18"/>
                <w:szCs w:val="18"/>
              </w:rPr>
            </w:pPr>
            <w:r>
              <w:rPr>
                <w:rFonts w:hint="eastAsia" w:ascii="宋体" w:hAnsi="宋体"/>
                <w:sz w:val="18"/>
                <w:szCs w:val="18"/>
              </w:rPr>
              <w:t>不适用</w:t>
            </w:r>
          </w:p>
        </w:tc>
        <w:tc>
          <w:tcPr>
            <w:tcW w:w="969" w:type="dxa"/>
            <w:shd w:val="clear" w:color="auto" w:fill="auto"/>
            <w:vAlign w:val="center"/>
          </w:tcPr>
          <w:p>
            <w:pPr>
              <w:widowControl/>
              <w:jc w:val="right"/>
              <w:rPr>
                <w:rFonts w:ascii="宋体" w:hAnsi="宋体"/>
                <w:sz w:val="18"/>
                <w:szCs w:val="18"/>
              </w:rPr>
            </w:pPr>
            <w:r>
              <w:rPr>
                <w:rFonts w:hint="eastAsia" w:ascii="宋体" w:hAnsi="宋体"/>
                <w:sz w:val="18"/>
                <w:szCs w:val="18"/>
              </w:rPr>
              <w:t>——</w:t>
            </w:r>
          </w:p>
        </w:tc>
        <w:tc>
          <w:tcPr>
            <w:tcW w:w="972" w:type="dxa"/>
            <w:shd w:val="clear" w:color="auto" w:fill="auto"/>
            <w:vAlign w:val="center"/>
          </w:tcPr>
          <w:p>
            <w:pPr>
              <w:widowControl/>
              <w:jc w:val="right"/>
              <w:rPr>
                <w:rFonts w:ascii="宋体" w:hAnsi="宋体"/>
                <w:kern w:val="0"/>
                <w:sz w:val="18"/>
                <w:szCs w:val="18"/>
              </w:rPr>
            </w:pPr>
            <w:r>
              <w:rPr>
                <w:rFonts w:hint="eastAsia" w:ascii="宋体" w:hAnsi="宋体"/>
                <w:kern w:val="0"/>
                <w:sz w:val="18"/>
                <w:szCs w:val="18"/>
              </w:rPr>
              <w:t>——</w:t>
            </w:r>
          </w:p>
        </w:tc>
        <w:tc>
          <w:tcPr>
            <w:tcW w:w="828" w:type="dxa"/>
            <w:shd w:val="clear" w:color="auto" w:fill="auto"/>
            <w:vAlign w:val="center"/>
          </w:tcPr>
          <w:p>
            <w:pPr>
              <w:widowControl/>
              <w:jc w:val="right"/>
              <w:rPr>
                <w:rFonts w:ascii="宋体" w:hAnsi="宋体"/>
                <w:kern w:val="0"/>
                <w:sz w:val="18"/>
                <w:szCs w:val="18"/>
              </w:rPr>
            </w:pPr>
            <w:r>
              <w:rPr>
                <w:rFonts w:hint="eastAsia" w:ascii="宋体" w:hAnsi="宋体"/>
                <w:kern w:val="0"/>
                <w:sz w:val="18"/>
                <w:szCs w:val="18"/>
              </w:rPr>
              <w:t>——</w:t>
            </w:r>
          </w:p>
        </w:tc>
        <w:tc>
          <w:tcPr>
            <w:tcW w:w="856" w:type="dxa"/>
            <w:shd w:val="clear" w:color="auto" w:fill="auto"/>
            <w:vAlign w:val="center"/>
          </w:tcPr>
          <w:p>
            <w:pPr>
              <w:widowControl/>
              <w:jc w:val="right"/>
              <w:rPr>
                <w:rFonts w:ascii="宋体" w:hAnsi="宋体"/>
                <w:kern w:val="0"/>
                <w:sz w:val="18"/>
                <w:szCs w:val="18"/>
              </w:rPr>
            </w:pPr>
            <w:r>
              <w:rPr>
                <w:rFonts w:hint="eastAsia" w:ascii="宋体" w:hAnsi="宋体"/>
                <w:kern w:val="0"/>
                <w:sz w:val="18"/>
                <w:szCs w:val="18"/>
              </w:rPr>
              <w:t>（注9）</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2161"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合计</w:t>
            </w:r>
          </w:p>
        </w:tc>
        <w:tc>
          <w:tcPr>
            <w:tcW w:w="847"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w:t>
            </w:r>
          </w:p>
        </w:tc>
        <w:tc>
          <w:tcPr>
            <w:tcW w:w="1026" w:type="dxa"/>
            <w:shd w:val="clear" w:color="auto" w:fill="auto"/>
            <w:vAlign w:val="center"/>
          </w:tcPr>
          <w:p>
            <w:pPr>
              <w:widowControl/>
              <w:jc w:val="right"/>
              <w:rPr>
                <w:rFonts w:ascii="宋体" w:hAnsi="宋体" w:cs="宋体"/>
                <w:kern w:val="0"/>
                <w:sz w:val="18"/>
                <w:szCs w:val="18"/>
              </w:rPr>
            </w:pPr>
            <w:r>
              <w:rPr>
                <w:rFonts w:ascii="宋体" w:hAnsi="宋体" w:cs="宋体"/>
                <w:kern w:val="0"/>
                <w:sz w:val="18"/>
                <w:szCs w:val="18"/>
              </w:rPr>
              <w:t>51,389.68</w:t>
            </w:r>
          </w:p>
        </w:tc>
        <w:tc>
          <w:tcPr>
            <w:tcW w:w="1026" w:type="dxa"/>
            <w:shd w:val="clear" w:color="auto" w:fill="auto"/>
            <w:vAlign w:val="center"/>
          </w:tcPr>
          <w:p>
            <w:pPr>
              <w:widowControl/>
              <w:jc w:val="right"/>
              <w:rPr>
                <w:rFonts w:ascii="宋体" w:hAnsi="宋体"/>
                <w:kern w:val="0"/>
                <w:sz w:val="18"/>
                <w:szCs w:val="18"/>
              </w:rPr>
            </w:pPr>
            <w:r>
              <w:rPr>
                <w:rFonts w:ascii="宋体" w:hAnsi="宋体"/>
                <w:kern w:val="0"/>
                <w:sz w:val="18"/>
                <w:szCs w:val="18"/>
              </w:rPr>
              <w:t>50,237.73</w:t>
            </w:r>
          </w:p>
        </w:tc>
        <w:tc>
          <w:tcPr>
            <w:tcW w:w="1026" w:type="dxa"/>
            <w:shd w:val="clear" w:color="auto" w:fill="auto"/>
            <w:vAlign w:val="center"/>
          </w:tcPr>
          <w:p>
            <w:pPr>
              <w:widowControl/>
              <w:jc w:val="right"/>
              <w:rPr>
                <w:rFonts w:ascii="宋体" w:hAnsi="宋体"/>
                <w:kern w:val="0"/>
                <w:sz w:val="18"/>
                <w:szCs w:val="18"/>
              </w:rPr>
            </w:pPr>
          </w:p>
        </w:tc>
        <w:tc>
          <w:tcPr>
            <w:tcW w:w="936" w:type="dxa"/>
            <w:shd w:val="clear" w:color="auto" w:fill="auto"/>
            <w:vAlign w:val="center"/>
          </w:tcPr>
          <w:p>
            <w:pPr>
              <w:widowControl/>
              <w:jc w:val="right"/>
              <w:rPr>
                <w:rFonts w:hint="eastAsia" w:ascii="宋体" w:hAnsi="宋体"/>
                <w:kern w:val="0"/>
                <w:sz w:val="18"/>
                <w:szCs w:val="18"/>
              </w:rPr>
            </w:pPr>
            <w:r>
              <w:rPr>
                <w:rFonts w:hint="eastAsia" w:ascii="宋体" w:hAnsi="宋体"/>
                <w:kern w:val="0"/>
                <w:sz w:val="18"/>
                <w:szCs w:val="18"/>
              </w:rPr>
              <w:t xml:space="preserve">        390.98 </w:t>
            </w:r>
          </w:p>
        </w:tc>
        <w:tc>
          <w:tcPr>
            <w:tcW w:w="1103" w:type="dxa"/>
            <w:shd w:val="clear" w:color="auto" w:fill="auto"/>
            <w:vAlign w:val="center"/>
          </w:tcPr>
          <w:p>
            <w:pPr>
              <w:widowControl/>
              <w:jc w:val="right"/>
              <w:rPr>
                <w:rFonts w:ascii="宋体" w:hAnsi="宋体"/>
                <w:kern w:val="0"/>
                <w:sz w:val="18"/>
                <w:szCs w:val="18"/>
              </w:rPr>
            </w:pPr>
            <w:r>
              <w:rPr>
                <w:rFonts w:hint="eastAsia" w:ascii="宋体" w:hAnsi="宋体"/>
                <w:kern w:val="0"/>
                <w:sz w:val="18"/>
                <w:szCs w:val="18"/>
              </w:rPr>
              <w:t xml:space="preserve">       </w:t>
            </w:r>
          </w:p>
          <w:p>
            <w:pPr>
              <w:widowControl/>
              <w:jc w:val="right"/>
              <w:rPr>
                <w:rFonts w:hint="eastAsia" w:ascii="宋体" w:hAnsi="宋体"/>
                <w:kern w:val="0"/>
                <w:sz w:val="18"/>
                <w:szCs w:val="18"/>
              </w:rPr>
            </w:pPr>
          </w:p>
          <w:p>
            <w:pPr>
              <w:widowControl/>
              <w:jc w:val="right"/>
              <w:rPr>
                <w:rFonts w:ascii="宋体" w:hAnsi="宋体"/>
                <w:kern w:val="0"/>
                <w:sz w:val="18"/>
                <w:szCs w:val="18"/>
              </w:rPr>
            </w:pPr>
            <w:r>
              <w:rPr>
                <w:rFonts w:ascii="宋体" w:hAnsi="宋体"/>
                <w:kern w:val="0"/>
                <w:sz w:val="18"/>
                <w:szCs w:val="18"/>
              </w:rPr>
              <w:t>48,957.57</w:t>
            </w:r>
          </w:p>
          <w:p>
            <w:pPr>
              <w:widowControl/>
              <w:jc w:val="right"/>
              <w:rPr>
                <w:rFonts w:ascii="宋体" w:hAnsi="宋体"/>
                <w:kern w:val="0"/>
                <w:sz w:val="18"/>
                <w:szCs w:val="18"/>
              </w:rPr>
            </w:pPr>
            <w:r>
              <w:rPr>
                <w:rFonts w:hint="eastAsia" w:ascii="宋体" w:hAnsi="宋体"/>
                <w:kern w:val="0"/>
                <w:sz w:val="18"/>
                <w:szCs w:val="18"/>
              </w:rPr>
              <w:t xml:space="preserve">     </w:t>
            </w:r>
          </w:p>
          <w:p>
            <w:pPr>
              <w:widowControl/>
              <w:ind w:left="-107" w:leftChars="-51" w:right="-107" w:rightChars="-51"/>
              <w:jc w:val="right"/>
              <w:rPr>
                <w:rFonts w:ascii="宋体" w:hAnsi="宋体"/>
                <w:kern w:val="0"/>
                <w:sz w:val="18"/>
                <w:szCs w:val="18"/>
              </w:rPr>
            </w:pPr>
          </w:p>
        </w:tc>
        <w:tc>
          <w:tcPr>
            <w:tcW w:w="1493" w:type="dxa"/>
            <w:vAlign w:val="center"/>
          </w:tcPr>
          <w:p>
            <w:pPr>
              <w:widowControl/>
              <w:jc w:val="right"/>
              <w:rPr>
                <w:rFonts w:ascii="宋体" w:hAnsi="宋体"/>
                <w:kern w:val="0"/>
                <w:sz w:val="18"/>
                <w:szCs w:val="18"/>
              </w:rPr>
            </w:pPr>
            <w:r>
              <w:rPr>
                <w:rFonts w:hint="eastAsia" w:ascii="宋体" w:hAnsi="宋体"/>
                <w:kern w:val="0"/>
                <w:sz w:val="18"/>
                <w:szCs w:val="18"/>
              </w:rPr>
              <w:t>-</w:t>
            </w:r>
          </w:p>
        </w:tc>
        <w:tc>
          <w:tcPr>
            <w:tcW w:w="1249" w:type="dxa"/>
            <w:shd w:val="clear" w:color="auto" w:fill="auto"/>
            <w:vAlign w:val="center"/>
          </w:tcPr>
          <w:p>
            <w:pPr>
              <w:widowControl/>
              <w:jc w:val="right"/>
              <w:rPr>
                <w:rFonts w:ascii="宋体" w:hAnsi="宋体"/>
                <w:kern w:val="0"/>
                <w:sz w:val="18"/>
                <w:szCs w:val="18"/>
              </w:rPr>
            </w:pPr>
            <w:r>
              <w:rPr>
                <w:rFonts w:hint="eastAsia" w:ascii="宋体" w:hAnsi="宋体"/>
                <w:kern w:val="0"/>
                <w:sz w:val="18"/>
                <w:szCs w:val="18"/>
              </w:rPr>
              <w:t>-</w:t>
            </w:r>
          </w:p>
        </w:tc>
        <w:tc>
          <w:tcPr>
            <w:tcW w:w="969" w:type="dxa"/>
            <w:shd w:val="clear" w:color="auto" w:fill="auto"/>
            <w:vAlign w:val="center"/>
          </w:tcPr>
          <w:p>
            <w:pPr>
              <w:widowControl/>
              <w:jc w:val="left"/>
              <w:rPr>
                <w:rFonts w:ascii="宋体" w:hAnsi="宋体" w:cs="宋体"/>
                <w:kern w:val="0"/>
                <w:sz w:val="18"/>
                <w:szCs w:val="18"/>
              </w:rPr>
            </w:pPr>
            <w:r>
              <w:rPr>
                <w:rFonts w:hint="eastAsia" w:ascii="宋体" w:hAnsi="宋体"/>
                <w:kern w:val="0"/>
                <w:sz w:val="18"/>
                <w:szCs w:val="18"/>
              </w:rPr>
              <w:t>-</w:t>
            </w:r>
          </w:p>
        </w:tc>
        <w:tc>
          <w:tcPr>
            <w:tcW w:w="972" w:type="dxa"/>
            <w:shd w:val="clear" w:color="auto" w:fill="auto"/>
            <w:vAlign w:val="center"/>
          </w:tcPr>
          <w:p>
            <w:pPr>
              <w:widowControl/>
              <w:jc w:val="right"/>
              <w:rPr>
                <w:rFonts w:ascii="宋体" w:hAnsi="宋体" w:cs="宋体"/>
                <w:kern w:val="0"/>
                <w:sz w:val="18"/>
                <w:szCs w:val="18"/>
              </w:rPr>
            </w:pPr>
            <w:r>
              <w:rPr>
                <w:rFonts w:hint="eastAsia" w:ascii="宋体" w:hAnsi="宋体"/>
                <w:kern w:val="0"/>
                <w:sz w:val="18"/>
                <w:szCs w:val="18"/>
              </w:rPr>
              <w:t>-</w:t>
            </w:r>
          </w:p>
        </w:tc>
        <w:tc>
          <w:tcPr>
            <w:tcW w:w="828" w:type="dxa"/>
            <w:shd w:val="clear" w:color="auto" w:fill="auto"/>
            <w:vAlign w:val="center"/>
          </w:tcPr>
          <w:p>
            <w:pPr>
              <w:widowControl/>
              <w:jc w:val="left"/>
              <w:rPr>
                <w:rFonts w:ascii="宋体" w:hAnsi="宋体" w:cs="宋体"/>
                <w:kern w:val="0"/>
                <w:sz w:val="18"/>
                <w:szCs w:val="18"/>
              </w:rPr>
            </w:pPr>
            <w:r>
              <w:rPr>
                <w:rFonts w:hint="eastAsia" w:ascii="宋体" w:hAnsi="宋体"/>
                <w:kern w:val="0"/>
                <w:sz w:val="18"/>
                <w:szCs w:val="18"/>
              </w:rPr>
              <w:t>-</w:t>
            </w:r>
          </w:p>
        </w:tc>
        <w:tc>
          <w:tcPr>
            <w:tcW w:w="856" w:type="dxa"/>
            <w:shd w:val="clear" w:color="auto" w:fill="auto"/>
            <w:vAlign w:val="center"/>
          </w:tcPr>
          <w:p>
            <w:pPr>
              <w:widowControl/>
              <w:jc w:val="left"/>
              <w:rPr>
                <w:rFonts w:ascii="宋体" w:hAnsi="宋体" w:cs="宋体"/>
                <w:kern w:val="0"/>
                <w:sz w:val="18"/>
                <w:szCs w:val="18"/>
              </w:rPr>
            </w:pPr>
            <w:r>
              <w:rPr>
                <w:rFonts w:hint="eastAsia" w:ascii="宋体" w:hAnsi="宋体"/>
                <w:kern w:val="0"/>
                <w:sz w:val="18"/>
                <w:szCs w:val="18"/>
              </w:rPr>
              <w:t>-</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6086" w:type="dxa"/>
            <w:gridSpan w:val="5"/>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未达到计划进度原因(分具体募投项目)</w:t>
            </w:r>
          </w:p>
        </w:tc>
        <w:tc>
          <w:tcPr>
            <w:tcW w:w="8406" w:type="dxa"/>
            <w:gridSpan w:val="8"/>
            <w:vAlign w:val="center"/>
          </w:tcPr>
          <w:p>
            <w:pPr>
              <w:widowControl/>
              <w:rPr>
                <w:rFonts w:ascii="宋体" w:hAnsi="宋体" w:cs="宋体"/>
                <w:kern w:val="0"/>
                <w:sz w:val="18"/>
                <w:szCs w:val="18"/>
              </w:rPr>
            </w:pPr>
            <w:r>
              <w:rPr>
                <w:rFonts w:hint="eastAsia" w:ascii="宋体" w:hAnsi="宋体" w:cs="宋体"/>
                <w:kern w:val="0"/>
                <w:sz w:val="18"/>
                <w:szCs w:val="18"/>
              </w:rPr>
              <w:t>注1：药品自动化立体仓库项目未达到计划进度，原因为由于项目可行性发生变化，公司不再进行仓库二期投入。</w:t>
            </w:r>
          </w:p>
          <w:p>
            <w:pPr>
              <w:widowControl/>
              <w:rPr>
                <w:rFonts w:ascii="宋体" w:hAnsi="宋体" w:cs="宋体"/>
                <w:kern w:val="0"/>
                <w:sz w:val="18"/>
                <w:szCs w:val="18"/>
              </w:rPr>
            </w:pPr>
            <w:r>
              <w:rPr>
                <w:rFonts w:hint="eastAsia" w:ascii="宋体" w:hAnsi="宋体" w:cs="宋体"/>
                <w:kern w:val="0"/>
                <w:sz w:val="18"/>
                <w:szCs w:val="18"/>
              </w:rPr>
              <w:t>注6：国家一类生物抗癌新药重组人血管内皮抑素注射液研发项目，2019年未达到计划进度，原因为江苏吴中医药集团有限公司向审评中心提出了药品注册撤回申请并获得批准。由于项目可行性发生变化，公司不再使用募集资金进行投入。</w:t>
            </w:r>
          </w:p>
          <w:p>
            <w:pPr>
              <w:widowControl/>
              <w:rPr>
                <w:rFonts w:ascii="宋体" w:hAnsi="宋体" w:cs="宋体"/>
                <w:kern w:val="0"/>
                <w:sz w:val="18"/>
                <w:szCs w:val="18"/>
              </w:rPr>
            </w:pPr>
            <w:r>
              <w:rPr>
                <w:rFonts w:hint="eastAsia" w:ascii="宋体" w:hAnsi="宋体" w:cs="宋体"/>
                <w:kern w:val="0"/>
                <w:sz w:val="18"/>
                <w:szCs w:val="18"/>
              </w:rPr>
              <w:t>注8：公司原料药二期项目分两期实施，一期为扩建工业用房，二期为在厂房内建设多个生产车间。目前工业用房完成建设并取得不动产证。2</w:t>
            </w:r>
            <w:r>
              <w:rPr>
                <w:rFonts w:ascii="宋体" w:hAnsi="宋体" w:cs="宋体"/>
                <w:kern w:val="0"/>
                <w:sz w:val="18"/>
                <w:szCs w:val="18"/>
              </w:rPr>
              <w:t>023</w:t>
            </w:r>
            <w:r>
              <w:rPr>
                <w:rFonts w:hint="eastAsia" w:ascii="宋体" w:hAnsi="宋体" w:cs="宋体"/>
                <w:kern w:val="0"/>
                <w:sz w:val="18"/>
                <w:szCs w:val="18"/>
              </w:rPr>
              <w:t>年3月1</w:t>
            </w:r>
            <w:r>
              <w:rPr>
                <w:rFonts w:ascii="宋体" w:hAnsi="宋体" w:cs="宋体"/>
                <w:kern w:val="0"/>
                <w:sz w:val="18"/>
                <w:szCs w:val="18"/>
              </w:rPr>
              <w:t>4</w:t>
            </w:r>
            <w:r>
              <w:rPr>
                <w:rFonts w:hint="eastAsia" w:ascii="宋体" w:hAnsi="宋体" w:cs="宋体"/>
                <w:kern w:val="0"/>
                <w:sz w:val="18"/>
                <w:szCs w:val="18"/>
              </w:rPr>
              <w:t>日-</w:t>
            </w:r>
            <w:r>
              <w:rPr>
                <w:rFonts w:ascii="宋体" w:hAnsi="宋体" w:cs="宋体"/>
                <w:kern w:val="0"/>
                <w:sz w:val="18"/>
                <w:szCs w:val="18"/>
              </w:rPr>
              <w:t>3</w:t>
            </w:r>
            <w:r>
              <w:rPr>
                <w:rFonts w:hint="eastAsia" w:ascii="宋体" w:hAnsi="宋体" w:cs="宋体"/>
                <w:kern w:val="0"/>
                <w:sz w:val="18"/>
                <w:szCs w:val="18"/>
              </w:rPr>
              <w:t>月</w:t>
            </w:r>
            <w:r>
              <w:rPr>
                <w:rFonts w:ascii="宋体" w:hAnsi="宋体" w:cs="宋体"/>
                <w:kern w:val="0"/>
                <w:sz w:val="18"/>
                <w:szCs w:val="18"/>
              </w:rPr>
              <w:t>15</w:t>
            </w:r>
            <w:r>
              <w:rPr>
                <w:rFonts w:hint="eastAsia" w:ascii="宋体" w:hAnsi="宋体" w:cs="宋体"/>
                <w:kern w:val="0"/>
                <w:sz w:val="18"/>
                <w:szCs w:val="18"/>
              </w:rPr>
              <w:t>日已召开江苏省生态环境厅环评中心组织的专家评审会，预计2</w:t>
            </w:r>
            <w:r>
              <w:rPr>
                <w:rFonts w:ascii="宋体" w:hAnsi="宋体" w:cs="宋体"/>
                <w:kern w:val="0"/>
                <w:sz w:val="18"/>
                <w:szCs w:val="18"/>
              </w:rPr>
              <w:t>023</w:t>
            </w:r>
            <w:r>
              <w:rPr>
                <w:rFonts w:hint="eastAsia" w:ascii="宋体" w:hAnsi="宋体" w:cs="宋体"/>
                <w:kern w:val="0"/>
                <w:sz w:val="18"/>
                <w:szCs w:val="18"/>
              </w:rPr>
              <w:t>年</w:t>
            </w:r>
            <w:r>
              <w:rPr>
                <w:rFonts w:ascii="宋体" w:hAnsi="宋体" w:cs="宋体"/>
                <w:kern w:val="0"/>
                <w:sz w:val="18"/>
                <w:szCs w:val="18"/>
              </w:rPr>
              <w:t>6</w:t>
            </w:r>
            <w:r>
              <w:rPr>
                <w:rFonts w:hint="eastAsia" w:ascii="宋体" w:hAnsi="宋体" w:cs="宋体"/>
                <w:kern w:val="0"/>
                <w:sz w:val="18"/>
                <w:szCs w:val="18"/>
              </w:rPr>
              <w:t>月完成环评。</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6086" w:type="dxa"/>
            <w:gridSpan w:val="5"/>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项目可行性发生重大变化的情况说明</w:t>
            </w:r>
          </w:p>
        </w:tc>
        <w:tc>
          <w:tcPr>
            <w:tcW w:w="8406" w:type="dxa"/>
            <w:gridSpan w:val="8"/>
            <w:vAlign w:val="center"/>
          </w:tcPr>
          <w:p>
            <w:pPr>
              <w:widowControl/>
              <w:rPr>
                <w:rFonts w:ascii="宋体" w:hAnsi="宋体" w:cs="宋体"/>
                <w:kern w:val="0"/>
                <w:sz w:val="18"/>
                <w:szCs w:val="18"/>
              </w:rPr>
            </w:pPr>
            <w:r>
              <w:rPr>
                <w:rFonts w:hint="eastAsia" w:ascii="宋体" w:hAnsi="宋体" w:cs="宋体"/>
                <w:kern w:val="0"/>
                <w:sz w:val="18"/>
                <w:szCs w:val="18"/>
              </w:rPr>
              <w:t>注2:药品自动化立体仓库项目发生变化。</w:t>
            </w:r>
          </w:p>
          <w:p>
            <w:pPr>
              <w:widowControl/>
              <w:ind w:firstLine="360" w:firstLineChars="200"/>
              <w:rPr>
                <w:rFonts w:ascii="宋体" w:hAnsi="宋体" w:cs="宋体"/>
                <w:kern w:val="0"/>
                <w:sz w:val="18"/>
                <w:szCs w:val="18"/>
              </w:rPr>
            </w:pPr>
            <w:r>
              <w:rPr>
                <w:rFonts w:hint="eastAsia" w:ascii="宋体" w:hAnsi="宋体" w:cs="宋体"/>
                <w:kern w:val="0"/>
                <w:sz w:val="18"/>
                <w:szCs w:val="18"/>
              </w:rPr>
              <w:t>公司在《江苏吴中实业股份有限公司三年发展战略规划（2017-2019）》中对江苏吴中医药集团有限公司未来的商业配送整体规模进行了重新定位，明确了未来医药集团的商业配送业务将适度发展，首先满足公司自有工业产品的分销和配送，其次根据市场发展情况适度开展以苏州大市范围为主导市场的商业配送业务。未来三年公司规划的商业配送年销售收入不超过8亿元。鉴于此，目前已竣工并投入使用的仓库一期项目已可满足设定的规模需求，公司不再进行二期投入。将剩余募集资金变更为“江苏吴中医药集团有限公司苏州制药厂原料药二期项目”（具体见公司于2017年4月28日及5月19日在《中国证券报》、《上海证券报》及上海证券交易所网站上披露的相关公告）。</w:t>
            </w:r>
          </w:p>
          <w:p>
            <w:pPr>
              <w:widowControl/>
              <w:rPr>
                <w:rFonts w:ascii="宋体" w:hAnsi="宋体" w:cs="宋体"/>
                <w:kern w:val="0"/>
                <w:sz w:val="18"/>
                <w:szCs w:val="18"/>
              </w:rPr>
            </w:pPr>
            <w:r>
              <w:rPr>
                <w:rFonts w:hint="eastAsia" w:ascii="宋体" w:hAnsi="宋体" w:cs="宋体"/>
                <w:kern w:val="0"/>
                <w:sz w:val="18"/>
                <w:szCs w:val="18"/>
              </w:rPr>
              <w:t>注7：国家一类生物抗癌新药重组人血管内皮抑素注射液研发项目发生变化</w:t>
            </w:r>
          </w:p>
          <w:p>
            <w:pPr>
              <w:widowControl/>
              <w:ind w:firstLine="360" w:firstLineChars="200"/>
              <w:rPr>
                <w:rFonts w:ascii="宋体" w:hAnsi="宋体" w:cs="宋体"/>
                <w:kern w:val="0"/>
                <w:sz w:val="18"/>
                <w:szCs w:val="18"/>
              </w:rPr>
            </w:pPr>
            <w:r>
              <w:rPr>
                <w:rFonts w:hint="eastAsia" w:ascii="宋体" w:hAnsi="宋体" w:cs="宋体"/>
                <w:kern w:val="0"/>
                <w:sz w:val="18"/>
                <w:szCs w:val="18"/>
              </w:rPr>
              <w:t>医药集团于2019年3月接到了国家药监局药品审评中心（以下简称“审评中心”）的技术审评部门发出的重组人血管内皮抑素注射液（CXSS1800005-1）依据现有数据技术审评不予通过与申请人沟通交流报告的相关通知；公司于2019年7月5日收到医药集团通知，经医药集团与审评中心充分沟通，为了后续拟开展该药品的肺鳞癌临床研究工作（在原三期临床批件基础上），同时结合国家最新有关药品的审评、审批政策，医药集团向审评中心提出了药品注册撤回申请，经审评中心申请人之窗系统查询知悉，当前品种技术审评建议结论为：终止审批程序；2019年7月19日，公司收到了医药集团通知，江苏吴中医药集团有限公司下属分支机构苏州中凯生物制药厂收到了国家药品监督管理局下发的《审批意见通知件》，审批意见为根据申请人的撤回申请，同意本品注册申请撤回，终止注册程序。</w:t>
            </w:r>
          </w:p>
          <w:p>
            <w:pPr>
              <w:widowControl/>
              <w:ind w:firstLine="360" w:firstLineChars="200"/>
              <w:rPr>
                <w:rFonts w:ascii="宋体" w:hAnsi="宋体" w:cs="宋体"/>
                <w:kern w:val="0"/>
                <w:sz w:val="18"/>
                <w:szCs w:val="18"/>
              </w:rPr>
            </w:pPr>
            <w:r>
              <w:rPr>
                <w:rFonts w:hint="eastAsia" w:ascii="宋体" w:hAnsi="宋体" w:cs="宋体"/>
                <w:kern w:val="0"/>
                <w:sz w:val="18"/>
                <w:szCs w:val="18"/>
              </w:rPr>
              <w:t>综合上述因素，为降低投资风险，提高募集资金使用效率，充分保证公司及全体股东的利益，公司拟对原募投项目“国家一类生物抗癌新药重组人血管内皮抑素注射液研发项目”进行变更。</w:t>
            </w:r>
          </w:p>
          <w:p>
            <w:pPr>
              <w:widowControl/>
              <w:ind w:firstLine="360" w:firstLineChars="200"/>
              <w:rPr>
                <w:rFonts w:ascii="宋体" w:hAnsi="宋体" w:cs="宋体"/>
                <w:kern w:val="0"/>
                <w:sz w:val="18"/>
                <w:szCs w:val="18"/>
              </w:rPr>
            </w:pPr>
            <w:r>
              <w:rPr>
                <w:rFonts w:hint="eastAsia" w:ascii="宋体" w:hAnsi="宋体" w:cs="宋体"/>
                <w:kern w:val="0"/>
                <w:sz w:val="18"/>
                <w:szCs w:val="18"/>
              </w:rPr>
              <w:t>根据公司下属江苏吴中医药集团有限公司经营发展和实际生产需要，经公司第九届董事会第六次会议、公司第九届监事会第六次会议及2019年第五次临时股东大会审议通过《江苏吴中实业股份有限公司关于变更部分募集资金投资项目的议案》，公司拟将原非公开发行的募集资金投资项目“国家一类生物抗癌新药重组人血管内皮抑素注射液研发项目”中部分未使用资金约12,055万元（占募集资金总额23.46%）进行变更，变更后的募集资金投向为抗肿瘤1类新药YS001的研发、西洛他唑等上市化学仿制药的一致性评价、利奈唑胺与沃诺拉赞的仿制。（具体见公司于2019年8月23日、2019年9月11日在《中国证券报》、《上海证券报》及上海证券交易所网站上披露的相关公告）</w:t>
            </w:r>
          </w:p>
          <w:p>
            <w:pPr>
              <w:widowControl/>
              <w:rPr>
                <w:rFonts w:ascii="宋体" w:hAnsi="宋体" w:cs="宋体"/>
                <w:kern w:val="0"/>
                <w:sz w:val="18"/>
                <w:szCs w:val="18"/>
              </w:rPr>
            </w:pPr>
            <w:r>
              <w:rPr>
                <w:rFonts w:hint="eastAsia" w:ascii="宋体" w:hAnsi="宋体" w:cs="宋体"/>
                <w:kern w:val="0"/>
                <w:sz w:val="18"/>
                <w:szCs w:val="18"/>
              </w:rPr>
              <w:t xml:space="preserve"> 注9：“西洛他唑等上市化学仿制药的一致性评价项目”中的西洛他唑片、利奈唑胺葡萄糖注射液、注射用艾司奥美拉唑钠 3 个子研发项目，以及“利奈唑胺与沃诺拉赞的仿制项目”中的利奈唑胺片剂的仿制、沃诺拉赞片剂的仿制 2 个子研发项目发生变化。</w:t>
            </w:r>
          </w:p>
          <w:p>
            <w:pPr>
              <w:widowControl/>
              <w:rPr>
                <w:rFonts w:ascii="宋体" w:hAnsi="宋体" w:cs="宋体"/>
                <w:kern w:val="0"/>
                <w:sz w:val="18"/>
                <w:szCs w:val="18"/>
              </w:rPr>
            </w:pPr>
            <w:r>
              <w:rPr>
                <w:rFonts w:hint="eastAsia" w:ascii="宋体" w:hAnsi="宋体" w:cs="宋体"/>
                <w:kern w:val="0"/>
                <w:sz w:val="18"/>
                <w:szCs w:val="18"/>
              </w:rPr>
              <w:t xml:space="preserve">   上述研发项目主要是受政策法规、市场环境及项目进度的影响，其中拟变更西洛他唑片一致性评价是由于国家药监局（NMPA）公布的参比制剂已退市，公司无法获取参比制剂；拟变更利奈唑胺葡萄糖注射液一致性评价、注射用艾司奥美拉唑钠一致性评价、利奈唑胺片剂的仿制、沃诺拉赞片剂的仿制主要是由于上述产品同质化竞争严重，进入集中采购的可能性也比较大，而公司的研发进度又相对落后。因此，为提高募集资金使用效率、降低公司财务费用、避免增加投资损失，结合公司实际生产经营需要，本着维护全体股东利益的原则，经审慎研究论证后，公司决定终止上述研发项目，并将剩余的募集资金用于永久补充流动资金。剩余的募集资金 5,602  万元及利息收入 永久补充流动资金，用于公司日常经营活动，本次变更用途的募集资金金额占公司募集资金净额的 11.15%。 （具体公告详见公司于2021年4月28日在《中国证券报》、《上海证券报》及上海证券交易所网站上披露的相关公告。）</w:t>
            </w:r>
          </w:p>
          <w:p>
            <w:pPr>
              <w:widowControl/>
              <w:ind w:firstLine="360" w:firstLineChars="200"/>
              <w:rPr>
                <w:rFonts w:ascii="宋体" w:hAnsi="宋体" w:cs="宋体"/>
                <w:kern w:val="0"/>
                <w:sz w:val="18"/>
                <w:szCs w:val="18"/>
              </w:rPr>
            </w:pPr>
            <w:r>
              <w:rPr>
                <w:rFonts w:hint="eastAsia" w:ascii="宋体" w:hAnsi="宋体" w:cs="宋体"/>
                <w:kern w:val="0"/>
                <w:sz w:val="18"/>
                <w:szCs w:val="18"/>
              </w:rPr>
              <w:t>2021年5月24日，公司从募集资金账户转入一般账户5,602.00万元，其中“西洛他唑等上市化学仿制药的一致性评价项目”中的西洛他唑片、利奈唑胺葡萄糖注射液、注射用艾司奥美拉唑钠 3 个子研发项目涉及金额为2,771.00万元，“利奈唑胺与沃诺拉赞的仿制项目”中的利奈唑胺片剂的仿制、沃诺拉赞片剂的仿制 2 个子研发项目涉及金额为2,831.00万元。</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6086" w:type="dxa"/>
            <w:gridSpan w:val="5"/>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募集资金投资项目先期投入及置换情况</w:t>
            </w:r>
          </w:p>
        </w:tc>
        <w:tc>
          <w:tcPr>
            <w:tcW w:w="8406" w:type="dxa"/>
            <w:gridSpan w:val="8"/>
            <w:vAlign w:val="center"/>
          </w:tcPr>
          <w:p>
            <w:pPr>
              <w:widowControl/>
              <w:ind w:firstLine="360" w:firstLineChars="200"/>
              <w:rPr>
                <w:rFonts w:ascii="宋体" w:hAnsi="宋体" w:cs="宋体"/>
                <w:kern w:val="0"/>
                <w:sz w:val="18"/>
                <w:szCs w:val="18"/>
              </w:rPr>
            </w:pPr>
            <w:r>
              <w:rPr>
                <w:rFonts w:hint="eastAsia" w:ascii="宋体" w:hAnsi="宋体" w:cs="宋体"/>
                <w:kern w:val="0"/>
                <w:sz w:val="18"/>
                <w:szCs w:val="18"/>
              </w:rPr>
              <w:t>截止2015年9月29日，公司已利用自筹资金对募集资金项目累计投入47,964,197.53元。募集资金到位后，公司于2015年10月置换出了先期垫付资金47,964,197.53元。本次置换已经公司2015年10月29日召开的第八届董事会第四次会议审议通过，经立信会计师事务所（特殊普通合伙）审验，并由其出具信会师报字[2015]第115404号《关于江苏吴中实业股份有限公司以自筹资金预先投入募集资金投资项目专项鉴证报告。</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6086" w:type="dxa"/>
            <w:gridSpan w:val="5"/>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用闲置募集资金暂时补充流动资金情况</w:t>
            </w:r>
          </w:p>
        </w:tc>
        <w:tc>
          <w:tcPr>
            <w:tcW w:w="8406" w:type="dxa"/>
            <w:gridSpan w:val="8"/>
            <w:vAlign w:val="center"/>
          </w:tcPr>
          <w:p>
            <w:pPr>
              <w:widowControl/>
              <w:rPr>
                <w:rFonts w:ascii="宋体" w:hAnsi="宋体" w:cs="宋体"/>
                <w:kern w:val="0"/>
                <w:sz w:val="18"/>
                <w:szCs w:val="18"/>
              </w:rPr>
            </w:pPr>
            <w:r>
              <w:rPr>
                <w:rFonts w:hint="eastAsia" w:ascii="宋体" w:hAnsi="宋体" w:cs="宋体"/>
                <w:kern w:val="0"/>
                <w:sz w:val="18"/>
                <w:szCs w:val="18"/>
              </w:rPr>
              <w:t>不适用</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6086" w:type="dxa"/>
            <w:gridSpan w:val="5"/>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对闲置募集资金进行现金管理，投资相关产品情况</w:t>
            </w:r>
          </w:p>
        </w:tc>
        <w:tc>
          <w:tcPr>
            <w:tcW w:w="8406" w:type="dxa"/>
            <w:gridSpan w:val="8"/>
            <w:vAlign w:val="center"/>
          </w:tcPr>
          <w:p>
            <w:pPr>
              <w:tabs>
                <w:tab w:val="left" w:pos="4620"/>
              </w:tabs>
              <w:spacing w:line="360" w:lineRule="auto"/>
              <w:rPr>
                <w:rFonts w:ascii="宋体" w:hAnsi="宋体" w:cs="宋体"/>
                <w:kern w:val="0"/>
                <w:sz w:val="18"/>
                <w:szCs w:val="18"/>
              </w:rPr>
            </w:pPr>
            <w:r>
              <w:rPr>
                <w:rFonts w:hint="eastAsia" w:ascii="宋体" w:hAnsi="宋体" w:cs="宋体"/>
                <w:kern w:val="0"/>
                <w:sz w:val="18"/>
                <w:szCs w:val="18"/>
              </w:rPr>
              <w:t>见</w:t>
            </w:r>
            <w:r>
              <w:rPr>
                <w:rFonts w:ascii="宋体" w:hAnsi="宋体" w:cs="宋体"/>
                <w:kern w:val="0"/>
                <w:sz w:val="18"/>
                <w:szCs w:val="18"/>
              </w:rPr>
              <w:t>本专项报告三</w:t>
            </w:r>
            <w:r>
              <w:rPr>
                <w:rFonts w:hint="eastAsia" w:ascii="宋体" w:hAnsi="宋体" w:cs="宋体"/>
                <w:kern w:val="0"/>
                <w:sz w:val="18"/>
                <w:szCs w:val="18"/>
              </w:rPr>
              <w:t>(三) 对闲置募集资金进行现金管理，投资相关产品情况。</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6086" w:type="dxa"/>
            <w:gridSpan w:val="5"/>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用超募资金永久补充流动资金或归还银行贷款情况</w:t>
            </w:r>
          </w:p>
        </w:tc>
        <w:tc>
          <w:tcPr>
            <w:tcW w:w="8406" w:type="dxa"/>
            <w:gridSpan w:val="8"/>
            <w:vAlign w:val="center"/>
          </w:tcPr>
          <w:p>
            <w:pPr>
              <w:widowControl/>
              <w:rPr>
                <w:rFonts w:ascii="宋体" w:hAnsi="宋体" w:cs="宋体"/>
                <w:kern w:val="0"/>
                <w:sz w:val="18"/>
                <w:szCs w:val="18"/>
              </w:rPr>
            </w:pPr>
            <w:r>
              <w:rPr>
                <w:rFonts w:hint="eastAsia" w:ascii="宋体" w:hAnsi="宋体" w:cs="宋体"/>
                <w:kern w:val="0"/>
                <w:sz w:val="18"/>
                <w:szCs w:val="18"/>
              </w:rPr>
              <w:t>不适用</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6086" w:type="dxa"/>
            <w:gridSpan w:val="5"/>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项目资金结余的金额及形成原因</w:t>
            </w:r>
          </w:p>
        </w:tc>
        <w:tc>
          <w:tcPr>
            <w:tcW w:w="8406" w:type="dxa"/>
            <w:gridSpan w:val="8"/>
            <w:vAlign w:val="center"/>
          </w:tcPr>
          <w:p>
            <w:pPr>
              <w:widowControl/>
              <w:rPr>
                <w:rFonts w:ascii="宋体" w:hAnsi="宋体" w:cs="宋体"/>
                <w:kern w:val="0"/>
                <w:sz w:val="18"/>
                <w:szCs w:val="18"/>
              </w:rPr>
            </w:pPr>
            <w:r>
              <w:rPr>
                <w:rFonts w:hint="eastAsia" w:ascii="宋体" w:hAnsi="宋体" w:cs="宋体"/>
                <w:kern w:val="0"/>
                <w:sz w:val="18"/>
                <w:szCs w:val="18"/>
              </w:rPr>
              <w:t>不适用</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454" w:hRule="atLeast"/>
        </w:trPr>
        <w:tc>
          <w:tcPr>
            <w:tcW w:w="6086" w:type="dxa"/>
            <w:gridSpan w:val="5"/>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募集资金其他使用情况</w:t>
            </w:r>
          </w:p>
        </w:tc>
        <w:tc>
          <w:tcPr>
            <w:tcW w:w="8406" w:type="dxa"/>
            <w:gridSpan w:val="8"/>
            <w:vAlign w:val="center"/>
          </w:tcPr>
          <w:p>
            <w:pPr>
              <w:widowControl/>
              <w:rPr>
                <w:rFonts w:ascii="宋体" w:hAnsi="宋体" w:cs="宋体"/>
                <w:kern w:val="0"/>
                <w:sz w:val="18"/>
                <w:szCs w:val="18"/>
              </w:rPr>
            </w:pPr>
            <w:r>
              <w:rPr>
                <w:rFonts w:hint="eastAsia" w:ascii="宋体" w:hAnsi="宋体" w:cs="宋体"/>
                <w:kern w:val="0"/>
                <w:sz w:val="18"/>
                <w:szCs w:val="18"/>
              </w:rPr>
              <w:t>不适用</w:t>
            </w:r>
          </w:p>
        </w:tc>
      </w:tr>
    </w:tbl>
    <w:p>
      <w:pPr>
        <w:spacing w:line="460" w:lineRule="exact"/>
        <w:ind w:right="420"/>
        <w:rPr>
          <w:rFonts w:ascii="宋体" w:hAnsi="宋体" w:cs="宋体"/>
          <w:kern w:val="0"/>
          <w:szCs w:val="21"/>
        </w:rPr>
      </w:pPr>
      <w:r>
        <w:rPr>
          <w:rFonts w:hint="eastAsia" w:ascii="宋体" w:hAnsi="宋体" w:cs="宋体"/>
          <w:kern w:val="0"/>
          <w:szCs w:val="21"/>
        </w:rPr>
        <w:t>注3：原料药（河东）、制剂（河西）调整改建项目本年度实现的效益，依照江苏省医药设计院研究有限公司于2014年12月江苏吴中医药集团有限公司苏州制药厂出具的《原料药（河东）、制剂（河西）调整改建项目可行性研究报告》中对建设项目财务分析的相关方式进行效益计算，其中：销售收入按该募投项目相关产品销售收入；相关税金及附加按国家规定比例扣减；相关成本按实际发生数扣减；相关费用参照可行性报告按销售收入比例估算。</w:t>
      </w:r>
    </w:p>
    <w:p>
      <w:pPr>
        <w:spacing w:line="460" w:lineRule="exact"/>
        <w:ind w:right="420"/>
        <w:rPr>
          <w:rFonts w:ascii="宋体" w:hAnsi="宋体" w:cs="宋体"/>
          <w:kern w:val="0"/>
          <w:szCs w:val="21"/>
        </w:rPr>
      </w:pPr>
      <w:r>
        <w:rPr>
          <w:rFonts w:hint="eastAsia" w:ascii="宋体" w:hAnsi="宋体" w:cs="宋体"/>
          <w:kern w:val="0"/>
          <w:szCs w:val="21"/>
        </w:rPr>
        <w:t>注4：受市场影响,主产品匹多莫德产量及售价大幅下降，导致原料药（河东）、制剂（河西）调整改建项目效益不及预期。</w:t>
      </w:r>
    </w:p>
    <w:p>
      <w:pPr>
        <w:spacing w:line="460" w:lineRule="exact"/>
        <w:ind w:right="420"/>
        <w:rPr>
          <w:rFonts w:ascii="宋体" w:hAnsi="宋体" w:cs="宋体"/>
          <w:kern w:val="0"/>
          <w:szCs w:val="21"/>
        </w:rPr>
      </w:pPr>
      <w:r>
        <w:rPr>
          <w:rFonts w:hint="eastAsia" w:ascii="宋体" w:hAnsi="宋体" w:cs="宋体"/>
          <w:kern w:val="0"/>
          <w:szCs w:val="21"/>
        </w:rPr>
        <w:t>注5：</w:t>
      </w:r>
      <w:bookmarkStart w:id="3" w:name="_GoBack"/>
      <w:bookmarkEnd w:id="3"/>
      <w:r>
        <w:rPr>
          <w:rFonts w:hint="eastAsia" w:ascii="宋体" w:hAnsi="宋体" w:cs="宋体"/>
          <w:kern w:val="0"/>
          <w:szCs w:val="21"/>
        </w:rPr>
        <w:t>药品自动化立体仓库项目本年度实现的效益，依照江苏省医药设计院研究有限公司于2014年12月为江苏吴中医药销售有限公司出具的《药品自动化立体仓库项目可行性研究报告》中对建设项目财务分析的相关方式进行效益计算，即用仓储的净利润额进行比较获得效益数据，其中；仓储收入按仓储药品货值的5%（含税）的毛利率计算；相关税金及附加按国家相关规定比例扣减；相关成本和费用按仓库运营中实际发生数扣减。</w:t>
      </w:r>
    </w:p>
    <w:p>
      <w:pPr>
        <w:spacing w:line="460" w:lineRule="exact"/>
        <w:ind w:right="420"/>
        <w:rPr>
          <w:rFonts w:ascii="宋体" w:hAnsi="宋体" w:cs="宋体"/>
          <w:kern w:val="0"/>
          <w:szCs w:val="21"/>
        </w:rPr>
      </w:pPr>
      <w:r>
        <w:rPr>
          <w:rFonts w:hint="eastAsia" w:ascii="宋体" w:hAnsi="宋体" w:cs="宋体"/>
          <w:kern w:val="0"/>
          <w:szCs w:val="21"/>
        </w:rPr>
        <w:t>注10：已累计投入募集资金总额包含募集资金现金管理所获收益后再投入金额。</w:t>
      </w:r>
    </w:p>
    <w:p>
      <w:pPr>
        <w:spacing w:line="460" w:lineRule="exact"/>
        <w:ind w:right="420"/>
        <w:rPr>
          <w:rFonts w:ascii="宋体" w:hAnsi="宋体" w:cs="宋体"/>
          <w:kern w:val="0"/>
          <w:szCs w:val="21"/>
        </w:rPr>
      </w:pPr>
    </w:p>
    <w:p>
      <w:pPr>
        <w:spacing w:line="460" w:lineRule="exact"/>
        <w:ind w:right="420"/>
        <w:rPr>
          <w:rFonts w:ascii="宋体" w:hAnsi="宋体" w:cs="宋体"/>
          <w:kern w:val="0"/>
          <w:szCs w:val="21"/>
        </w:rPr>
      </w:pPr>
    </w:p>
    <w:p>
      <w:pPr>
        <w:spacing w:line="460" w:lineRule="exact"/>
        <w:ind w:right="420"/>
        <w:rPr>
          <w:rFonts w:ascii="黑体" w:hAnsi="宋体" w:eastAsia="黑体" w:cs="宋体"/>
          <w:b/>
          <w:bCs/>
          <w:kern w:val="0"/>
          <w:sz w:val="28"/>
          <w:szCs w:val="28"/>
        </w:rPr>
      </w:pPr>
      <w:r>
        <w:rPr>
          <w:rFonts w:ascii="宋体" w:hAnsi="宋体" w:cs="宋体"/>
          <w:kern w:val="0"/>
          <w:szCs w:val="21"/>
        </w:rPr>
        <w:br w:type="page"/>
      </w:r>
      <w:r>
        <w:rPr>
          <w:rFonts w:hint="eastAsia" w:ascii="宋体" w:hAnsi="宋体" w:cs="宋体"/>
          <w:kern w:val="0"/>
          <w:szCs w:val="21"/>
        </w:rPr>
        <w:t xml:space="preserve">附件2                                          </w:t>
      </w:r>
      <w:r>
        <w:rPr>
          <w:rFonts w:hint="eastAsia" w:ascii="黑体" w:hAnsi="宋体" w:eastAsia="黑体" w:cs="宋体"/>
          <w:b/>
          <w:bCs/>
          <w:kern w:val="0"/>
          <w:sz w:val="28"/>
          <w:szCs w:val="28"/>
        </w:rPr>
        <w:t xml:space="preserve"> </w:t>
      </w:r>
    </w:p>
    <w:p>
      <w:pPr>
        <w:spacing w:line="460" w:lineRule="exact"/>
        <w:ind w:right="420"/>
        <w:jc w:val="center"/>
        <w:rPr>
          <w:rFonts w:ascii="黑体" w:hAnsi="宋体" w:eastAsia="黑体" w:cs="宋体"/>
          <w:b/>
          <w:bCs/>
          <w:kern w:val="0"/>
          <w:sz w:val="28"/>
          <w:szCs w:val="28"/>
        </w:rPr>
      </w:pPr>
      <w:r>
        <w:rPr>
          <w:rFonts w:hint="eastAsia" w:ascii="黑体" w:hAnsi="宋体" w:eastAsia="黑体" w:cs="宋体"/>
          <w:b/>
          <w:bCs/>
          <w:kern w:val="0"/>
          <w:sz w:val="28"/>
          <w:szCs w:val="28"/>
        </w:rPr>
        <w:t>变更募集资金投资项目情况表</w:t>
      </w:r>
    </w:p>
    <w:p>
      <w:pPr>
        <w:spacing w:line="460" w:lineRule="exact"/>
        <w:ind w:right="420"/>
        <w:jc w:val="center"/>
        <w:rPr>
          <w:rFonts w:ascii="宋体" w:hAnsi="宋体" w:cs="宋体"/>
          <w:kern w:val="0"/>
          <w:szCs w:val="21"/>
        </w:rPr>
      </w:pPr>
      <w:r>
        <w:rPr>
          <w:rFonts w:hint="eastAsia" w:ascii="宋体" w:hAnsi="宋体" w:cs="宋体"/>
          <w:kern w:val="0"/>
          <w:szCs w:val="21"/>
        </w:rPr>
        <w:t>2022年</w:t>
      </w:r>
    </w:p>
    <w:p>
      <w:pPr>
        <w:spacing w:line="460" w:lineRule="exact"/>
        <w:ind w:left="-2" w:leftChars="-1" w:right="-802"/>
        <w:rPr>
          <w:rFonts w:ascii="宋体" w:hAnsi="宋体"/>
          <w:szCs w:val="21"/>
        </w:rPr>
      </w:pPr>
      <w:r>
        <w:rPr>
          <w:rFonts w:hint="eastAsia" w:ascii="宋体" w:hAnsi="宋体" w:cs="宋体"/>
          <w:kern w:val="0"/>
          <w:szCs w:val="21"/>
        </w:rPr>
        <w:t>编制单位：江苏吴中医药发展股份有限公司</w:t>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单位：人民币万元</w:t>
      </w:r>
    </w:p>
    <w:tbl>
      <w:tblPr>
        <w:tblStyle w:val="4"/>
        <w:tblW w:w="14060" w:type="dxa"/>
        <w:tblInd w:w="88" w:type="dxa"/>
        <w:tblBorders>
          <w:top w:val="single" w:color="auto" w:sz="4" w:space="0"/>
          <w:left w:val="none" w:color="auto" w:sz="0" w:space="0"/>
          <w:bottom w:val="single" w:color="auto" w:sz="4" w:space="0"/>
          <w:right w:val="none" w:color="auto" w:sz="0" w:space="0"/>
          <w:insideH w:val="dashed" w:color="auto" w:sz="4" w:space="0"/>
          <w:insideV w:val="dashed" w:color="auto" w:sz="4" w:space="0"/>
        </w:tblBorders>
        <w:tblLayout w:type="autofit"/>
        <w:tblCellMar>
          <w:top w:w="0" w:type="dxa"/>
          <w:left w:w="108" w:type="dxa"/>
          <w:bottom w:w="0" w:type="dxa"/>
          <w:right w:w="108" w:type="dxa"/>
        </w:tblCellMar>
      </w:tblPr>
      <w:tblGrid>
        <w:gridCol w:w="1527"/>
        <w:gridCol w:w="1528"/>
        <w:gridCol w:w="1285"/>
        <w:gridCol w:w="1440"/>
        <w:gridCol w:w="1260"/>
        <w:gridCol w:w="1080"/>
        <w:gridCol w:w="1260"/>
        <w:gridCol w:w="1272"/>
        <w:gridCol w:w="1260"/>
        <w:gridCol w:w="900"/>
        <w:gridCol w:w="1248"/>
      </w:tblGrid>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1200" w:hRule="atLeast"/>
        </w:trPr>
        <w:tc>
          <w:tcPr>
            <w:tcW w:w="1527" w:type="dxa"/>
            <w:shd w:val="clear" w:color="auto" w:fill="auto"/>
            <w:vAlign w:val="center"/>
          </w:tcPr>
          <w:p>
            <w:pPr>
              <w:widowControl/>
              <w:spacing w:line="460" w:lineRule="exact"/>
              <w:jc w:val="left"/>
              <w:rPr>
                <w:rFonts w:ascii="宋体" w:hAnsi="宋体" w:cs="宋体"/>
                <w:kern w:val="0"/>
                <w:sz w:val="18"/>
                <w:szCs w:val="18"/>
              </w:rPr>
            </w:pP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 xml:space="preserve"> </w:t>
            </w:r>
            <w:r>
              <w:rPr>
                <w:rFonts w:hint="eastAsia" w:ascii="宋体" w:hAnsi="宋体" w:cs="宋体"/>
                <w:kern w:val="0"/>
                <w:sz w:val="18"/>
                <w:szCs w:val="18"/>
              </w:rPr>
              <w:t>变更后的项目</w:t>
            </w:r>
          </w:p>
        </w:tc>
        <w:tc>
          <w:tcPr>
            <w:tcW w:w="1528" w:type="dxa"/>
            <w:shd w:val="clear" w:color="auto" w:fill="auto"/>
            <w:vAlign w:val="center"/>
          </w:tcPr>
          <w:p>
            <w:pPr>
              <w:widowControl/>
              <w:spacing w:line="460" w:lineRule="exact"/>
              <w:jc w:val="left"/>
              <w:rPr>
                <w:rFonts w:ascii="宋体" w:hAnsi="宋体" w:cs="宋体"/>
                <w:kern w:val="0"/>
                <w:sz w:val="18"/>
                <w:szCs w:val="18"/>
              </w:rPr>
            </w:pPr>
            <w:r>
              <w:rPr>
                <w:rFonts w:hint="eastAsia" w:ascii="宋体" w:hAnsi="宋体" w:cs="宋体"/>
                <w:kern w:val="0"/>
                <w:sz w:val="18"/>
                <w:szCs w:val="18"/>
              </w:rPr>
              <w:t>对应的原项目</w:t>
            </w:r>
          </w:p>
        </w:tc>
        <w:tc>
          <w:tcPr>
            <w:tcW w:w="1285" w:type="dxa"/>
            <w:shd w:val="clear" w:color="auto" w:fill="auto"/>
            <w:vAlign w:val="center"/>
          </w:tcPr>
          <w:p>
            <w:pPr>
              <w:jc w:val="right"/>
              <w:rPr>
                <w:rFonts w:ascii="宋体" w:hAnsi="宋体"/>
                <w:kern w:val="0"/>
                <w:sz w:val="18"/>
                <w:szCs w:val="18"/>
              </w:rPr>
            </w:pPr>
            <w:r>
              <w:rPr>
                <w:rFonts w:hint="eastAsia" w:ascii="宋体" w:hAnsi="宋体"/>
                <w:kern w:val="0"/>
                <w:sz w:val="18"/>
                <w:szCs w:val="18"/>
              </w:rPr>
              <w:t>变更后项目拟投入募集资金总额</w:t>
            </w:r>
          </w:p>
        </w:tc>
        <w:tc>
          <w:tcPr>
            <w:tcW w:w="1440" w:type="dxa"/>
            <w:shd w:val="clear" w:color="auto" w:fill="auto"/>
            <w:vAlign w:val="center"/>
          </w:tcPr>
          <w:p>
            <w:pPr>
              <w:jc w:val="right"/>
              <w:rPr>
                <w:rFonts w:ascii="宋体" w:hAnsi="宋体"/>
                <w:kern w:val="0"/>
                <w:sz w:val="18"/>
                <w:szCs w:val="18"/>
              </w:rPr>
            </w:pPr>
            <w:r>
              <w:rPr>
                <w:rFonts w:hint="eastAsia" w:ascii="宋体" w:hAnsi="宋体"/>
                <w:kern w:val="0"/>
                <w:sz w:val="18"/>
                <w:szCs w:val="18"/>
              </w:rPr>
              <w:t>截至期末计划累计投资金额</w:t>
            </w:r>
          </w:p>
          <w:p>
            <w:pPr>
              <w:jc w:val="right"/>
              <w:rPr>
                <w:rFonts w:ascii="宋体" w:hAnsi="宋体"/>
                <w:kern w:val="0"/>
                <w:sz w:val="18"/>
                <w:szCs w:val="18"/>
              </w:rPr>
            </w:pPr>
            <w:r>
              <w:rPr>
                <w:rFonts w:hint="eastAsia" w:ascii="宋体" w:hAnsi="宋体"/>
                <w:kern w:val="0"/>
                <w:sz w:val="18"/>
                <w:szCs w:val="18"/>
              </w:rPr>
              <w:t>(1)</w:t>
            </w:r>
          </w:p>
        </w:tc>
        <w:tc>
          <w:tcPr>
            <w:tcW w:w="1260" w:type="dxa"/>
            <w:shd w:val="clear" w:color="auto" w:fill="auto"/>
            <w:vAlign w:val="center"/>
          </w:tcPr>
          <w:p>
            <w:pPr>
              <w:jc w:val="right"/>
              <w:rPr>
                <w:rFonts w:ascii="宋体" w:hAnsi="宋体"/>
                <w:kern w:val="0"/>
                <w:sz w:val="18"/>
                <w:szCs w:val="18"/>
              </w:rPr>
            </w:pPr>
            <w:r>
              <w:rPr>
                <w:rFonts w:hint="eastAsia" w:ascii="宋体" w:hAnsi="宋体"/>
                <w:kern w:val="0"/>
                <w:sz w:val="18"/>
                <w:szCs w:val="18"/>
              </w:rPr>
              <w:t>本年度实际投入金额</w:t>
            </w:r>
          </w:p>
        </w:tc>
        <w:tc>
          <w:tcPr>
            <w:tcW w:w="1080" w:type="dxa"/>
            <w:shd w:val="clear" w:color="auto" w:fill="auto"/>
            <w:vAlign w:val="center"/>
          </w:tcPr>
          <w:p>
            <w:pPr>
              <w:jc w:val="right"/>
              <w:rPr>
                <w:rFonts w:ascii="宋体" w:hAnsi="宋体"/>
                <w:kern w:val="0"/>
                <w:sz w:val="18"/>
                <w:szCs w:val="18"/>
              </w:rPr>
            </w:pPr>
            <w:r>
              <w:rPr>
                <w:rFonts w:hint="eastAsia" w:ascii="宋体" w:hAnsi="宋体"/>
                <w:kern w:val="0"/>
                <w:sz w:val="18"/>
                <w:szCs w:val="18"/>
              </w:rPr>
              <w:t>实际累计投入金额</w:t>
            </w:r>
          </w:p>
          <w:p>
            <w:pPr>
              <w:jc w:val="right"/>
              <w:rPr>
                <w:rFonts w:ascii="宋体" w:hAnsi="宋体"/>
                <w:kern w:val="0"/>
                <w:sz w:val="18"/>
                <w:szCs w:val="18"/>
              </w:rPr>
            </w:pPr>
            <w:r>
              <w:rPr>
                <w:rFonts w:hint="eastAsia" w:ascii="宋体" w:hAnsi="宋体"/>
                <w:kern w:val="0"/>
                <w:sz w:val="18"/>
                <w:szCs w:val="18"/>
              </w:rPr>
              <w:t>(2)</w:t>
            </w:r>
          </w:p>
        </w:tc>
        <w:tc>
          <w:tcPr>
            <w:tcW w:w="1260" w:type="dxa"/>
            <w:shd w:val="clear" w:color="auto" w:fill="auto"/>
            <w:vAlign w:val="center"/>
          </w:tcPr>
          <w:p>
            <w:pPr>
              <w:jc w:val="right"/>
              <w:rPr>
                <w:rFonts w:ascii="宋体" w:hAnsi="宋体"/>
                <w:kern w:val="0"/>
                <w:sz w:val="18"/>
                <w:szCs w:val="18"/>
              </w:rPr>
            </w:pPr>
            <w:r>
              <w:rPr>
                <w:rFonts w:hint="eastAsia" w:ascii="宋体" w:hAnsi="宋体"/>
                <w:kern w:val="0"/>
                <w:sz w:val="18"/>
                <w:szCs w:val="18"/>
              </w:rPr>
              <w:t>投资进度(%)</w:t>
            </w:r>
          </w:p>
          <w:p>
            <w:pPr>
              <w:jc w:val="right"/>
              <w:rPr>
                <w:rFonts w:ascii="宋体" w:hAnsi="宋体"/>
                <w:kern w:val="0"/>
                <w:sz w:val="18"/>
                <w:szCs w:val="18"/>
              </w:rPr>
            </w:pPr>
            <w:r>
              <w:rPr>
                <w:rFonts w:hint="eastAsia" w:ascii="宋体" w:hAnsi="宋体"/>
                <w:kern w:val="0"/>
                <w:sz w:val="18"/>
                <w:szCs w:val="18"/>
              </w:rPr>
              <w:t>(3)=(2)/(1)</w:t>
            </w:r>
          </w:p>
        </w:tc>
        <w:tc>
          <w:tcPr>
            <w:tcW w:w="1272" w:type="dxa"/>
            <w:shd w:val="clear" w:color="auto" w:fill="auto"/>
            <w:vAlign w:val="center"/>
          </w:tcPr>
          <w:p>
            <w:pPr>
              <w:ind w:left="-107" w:leftChars="-51" w:right="-107" w:rightChars="-51"/>
              <w:jc w:val="left"/>
              <w:rPr>
                <w:rFonts w:ascii="宋体" w:hAnsi="宋体"/>
                <w:kern w:val="0"/>
                <w:sz w:val="18"/>
                <w:szCs w:val="18"/>
              </w:rPr>
            </w:pPr>
            <w:r>
              <w:rPr>
                <w:rFonts w:hint="eastAsia" w:ascii="宋体" w:hAnsi="宋体"/>
                <w:kern w:val="0"/>
                <w:sz w:val="18"/>
                <w:szCs w:val="18"/>
              </w:rPr>
              <w:t>项目达到预定可使用状态日期</w:t>
            </w:r>
          </w:p>
        </w:tc>
        <w:tc>
          <w:tcPr>
            <w:tcW w:w="1260" w:type="dxa"/>
            <w:shd w:val="clear" w:color="auto" w:fill="auto"/>
            <w:vAlign w:val="center"/>
          </w:tcPr>
          <w:p>
            <w:pPr>
              <w:jc w:val="right"/>
              <w:rPr>
                <w:rFonts w:ascii="宋体" w:hAnsi="宋体"/>
                <w:kern w:val="0"/>
                <w:sz w:val="18"/>
                <w:szCs w:val="18"/>
              </w:rPr>
            </w:pPr>
            <w:r>
              <w:rPr>
                <w:rFonts w:hint="eastAsia" w:ascii="宋体" w:hAnsi="宋体"/>
                <w:kern w:val="0"/>
                <w:sz w:val="18"/>
                <w:szCs w:val="18"/>
              </w:rPr>
              <w:t>本年度实现的效益</w:t>
            </w:r>
          </w:p>
        </w:tc>
        <w:tc>
          <w:tcPr>
            <w:tcW w:w="900" w:type="dxa"/>
            <w:shd w:val="clear" w:color="auto" w:fill="auto"/>
            <w:vAlign w:val="center"/>
          </w:tcPr>
          <w:p>
            <w:pPr>
              <w:jc w:val="left"/>
              <w:rPr>
                <w:rFonts w:ascii="宋体" w:hAnsi="宋体"/>
                <w:kern w:val="0"/>
                <w:sz w:val="18"/>
                <w:szCs w:val="18"/>
              </w:rPr>
            </w:pPr>
            <w:r>
              <w:rPr>
                <w:rFonts w:hint="eastAsia" w:ascii="宋体" w:hAnsi="宋体"/>
                <w:kern w:val="0"/>
                <w:sz w:val="18"/>
                <w:szCs w:val="18"/>
              </w:rPr>
              <w:t>是否达到预计效益</w:t>
            </w:r>
          </w:p>
        </w:tc>
        <w:tc>
          <w:tcPr>
            <w:tcW w:w="1248" w:type="dxa"/>
            <w:shd w:val="clear" w:color="auto" w:fill="auto"/>
            <w:vAlign w:val="center"/>
          </w:tcPr>
          <w:p>
            <w:pPr>
              <w:jc w:val="left"/>
              <w:rPr>
                <w:rFonts w:ascii="宋体" w:hAnsi="宋体"/>
                <w:kern w:val="0"/>
                <w:sz w:val="18"/>
                <w:szCs w:val="18"/>
              </w:rPr>
            </w:pPr>
            <w:r>
              <w:rPr>
                <w:rFonts w:hint="eastAsia" w:ascii="宋体" w:hAnsi="宋体"/>
                <w:kern w:val="0"/>
                <w:sz w:val="18"/>
                <w:szCs w:val="18"/>
              </w:rPr>
              <w:t>变更后的项目可行性是否发生重大变化</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540" w:hRule="atLeast"/>
        </w:trPr>
        <w:tc>
          <w:tcPr>
            <w:tcW w:w="1527" w:type="dxa"/>
            <w:shd w:val="clear" w:color="auto" w:fill="auto"/>
            <w:vAlign w:val="center"/>
          </w:tcPr>
          <w:p>
            <w:pPr>
              <w:widowControl/>
              <w:rPr>
                <w:rFonts w:ascii="宋体" w:hAnsi="宋体" w:cs="宋体"/>
                <w:kern w:val="0"/>
                <w:sz w:val="18"/>
                <w:szCs w:val="18"/>
              </w:rPr>
            </w:pPr>
            <w:r>
              <w:rPr>
                <w:rFonts w:hint="eastAsia"/>
                <w:sz w:val="18"/>
                <w:szCs w:val="18"/>
              </w:rPr>
              <w:t>原料药二期</w:t>
            </w:r>
          </w:p>
        </w:tc>
        <w:tc>
          <w:tcPr>
            <w:tcW w:w="1528" w:type="dxa"/>
            <w:shd w:val="clear" w:color="auto" w:fill="auto"/>
            <w:vAlign w:val="center"/>
          </w:tcPr>
          <w:p>
            <w:pPr>
              <w:widowControl/>
              <w:rPr>
                <w:rFonts w:ascii="宋体" w:hAnsi="宋体" w:cs="宋体"/>
                <w:kern w:val="0"/>
                <w:sz w:val="18"/>
                <w:szCs w:val="18"/>
              </w:rPr>
            </w:pPr>
            <w:r>
              <w:rPr>
                <w:rFonts w:hint="eastAsia" w:cs="Arial"/>
                <w:color w:val="000000"/>
                <w:sz w:val="18"/>
                <w:szCs w:val="18"/>
              </w:rPr>
              <w:t>药品自动化立体仓库项目（注1）</w:t>
            </w:r>
          </w:p>
        </w:tc>
        <w:tc>
          <w:tcPr>
            <w:tcW w:w="1285" w:type="dxa"/>
            <w:shd w:val="clear" w:color="auto" w:fill="auto"/>
            <w:vAlign w:val="center"/>
          </w:tcPr>
          <w:p>
            <w:pPr>
              <w:widowControl/>
              <w:jc w:val="right"/>
              <w:rPr>
                <w:rFonts w:ascii="宋体" w:hAnsi="宋体" w:cs="宋体"/>
                <w:kern w:val="0"/>
                <w:sz w:val="18"/>
                <w:szCs w:val="18"/>
              </w:rPr>
            </w:pPr>
            <w:r>
              <w:rPr>
                <w:rFonts w:ascii="宋体" w:hAnsi="宋体" w:cs="宋体"/>
                <w:kern w:val="0"/>
                <w:sz w:val="18"/>
                <w:szCs w:val="18"/>
              </w:rPr>
              <w:t xml:space="preserve">2,867.45 </w:t>
            </w:r>
          </w:p>
        </w:tc>
        <w:tc>
          <w:tcPr>
            <w:tcW w:w="1440" w:type="dxa"/>
            <w:shd w:val="clear" w:color="auto" w:fill="auto"/>
            <w:vAlign w:val="center"/>
          </w:tcPr>
          <w:p>
            <w:pPr>
              <w:widowControl/>
              <w:jc w:val="right"/>
              <w:rPr>
                <w:rFonts w:ascii="宋体" w:hAnsi="宋体" w:cs="宋体"/>
                <w:kern w:val="0"/>
                <w:sz w:val="18"/>
                <w:szCs w:val="18"/>
              </w:rPr>
            </w:pPr>
            <w:r>
              <w:rPr>
                <w:rFonts w:hint="eastAsia" w:ascii="宋体" w:hAnsi="宋体"/>
                <w:kern w:val="0"/>
                <w:sz w:val="18"/>
                <w:szCs w:val="18"/>
              </w:rPr>
              <w:t>——</w:t>
            </w:r>
          </w:p>
        </w:tc>
        <w:tc>
          <w:tcPr>
            <w:tcW w:w="1260" w:type="dxa"/>
            <w:shd w:val="clear" w:color="auto" w:fill="auto"/>
            <w:vAlign w:val="center"/>
          </w:tcPr>
          <w:p>
            <w:pPr>
              <w:widowControl/>
              <w:jc w:val="right"/>
              <w:rPr>
                <w:rFonts w:ascii="宋体" w:hAnsi="宋体" w:cs="宋体"/>
                <w:kern w:val="0"/>
                <w:sz w:val="18"/>
                <w:szCs w:val="18"/>
              </w:rPr>
            </w:pPr>
            <w:r>
              <w:rPr>
                <w:rFonts w:ascii="宋体" w:hAnsi="宋体" w:cs="宋体"/>
                <w:kern w:val="0"/>
                <w:sz w:val="18"/>
                <w:szCs w:val="18"/>
              </w:rPr>
              <w:t>0</w:t>
            </w:r>
          </w:p>
        </w:tc>
        <w:tc>
          <w:tcPr>
            <w:tcW w:w="1080" w:type="dxa"/>
            <w:shd w:val="clear" w:color="auto" w:fill="auto"/>
            <w:vAlign w:val="center"/>
          </w:tcPr>
          <w:p>
            <w:pPr>
              <w:widowControl/>
              <w:jc w:val="right"/>
              <w:rPr>
                <w:rFonts w:ascii="宋体" w:hAnsi="宋体" w:cs="宋体"/>
                <w:kern w:val="0"/>
                <w:sz w:val="18"/>
                <w:szCs w:val="18"/>
              </w:rPr>
            </w:pPr>
            <w:r>
              <w:rPr>
                <w:rFonts w:ascii="宋体" w:hAnsi="宋体" w:cs="宋体"/>
                <w:kern w:val="0"/>
                <w:sz w:val="18"/>
                <w:szCs w:val="18"/>
              </w:rPr>
              <w:t>2,627.7</w:t>
            </w:r>
            <w:r>
              <w:rPr>
                <w:rFonts w:hint="eastAsia" w:ascii="宋体" w:hAnsi="宋体" w:cs="宋体"/>
                <w:kern w:val="0"/>
                <w:sz w:val="18"/>
                <w:szCs w:val="18"/>
              </w:rPr>
              <w:t>1</w:t>
            </w:r>
          </w:p>
        </w:tc>
        <w:tc>
          <w:tcPr>
            <w:tcW w:w="1260" w:type="dxa"/>
            <w:shd w:val="clear" w:color="auto" w:fill="auto"/>
            <w:vAlign w:val="center"/>
          </w:tcPr>
          <w:p>
            <w:pPr>
              <w:widowControl/>
              <w:jc w:val="right"/>
              <w:rPr>
                <w:rFonts w:ascii="宋体" w:hAnsi="宋体" w:cs="宋体"/>
                <w:kern w:val="0"/>
                <w:sz w:val="18"/>
                <w:szCs w:val="18"/>
              </w:rPr>
            </w:pPr>
            <w:r>
              <w:rPr>
                <w:rFonts w:hint="eastAsia" w:ascii="Arial Narrow" w:hAnsi="Arial Narrow" w:cs="Arial"/>
                <w:color w:val="000000"/>
                <w:sz w:val="18"/>
                <w:szCs w:val="18"/>
              </w:rPr>
              <w:t>不适用</w:t>
            </w:r>
          </w:p>
        </w:tc>
        <w:tc>
          <w:tcPr>
            <w:tcW w:w="1272" w:type="dxa"/>
            <w:shd w:val="clear" w:color="auto" w:fill="auto"/>
            <w:vAlign w:val="center"/>
          </w:tcPr>
          <w:p>
            <w:pPr>
              <w:widowControl/>
              <w:jc w:val="right"/>
              <w:rPr>
                <w:rFonts w:ascii="宋体" w:hAnsi="宋体" w:cs="宋体"/>
                <w:kern w:val="0"/>
                <w:sz w:val="18"/>
                <w:szCs w:val="18"/>
              </w:rPr>
            </w:pPr>
            <w:r>
              <w:rPr>
                <w:rFonts w:ascii="宋体" w:hAnsi="宋体" w:cs="宋体"/>
                <w:kern w:val="0"/>
                <w:sz w:val="18"/>
                <w:szCs w:val="18"/>
              </w:rPr>
              <w:t>2023.09</w:t>
            </w:r>
          </w:p>
        </w:tc>
        <w:tc>
          <w:tcPr>
            <w:tcW w:w="1260" w:type="dxa"/>
            <w:shd w:val="clear" w:color="auto" w:fill="auto"/>
            <w:vAlign w:val="center"/>
          </w:tcPr>
          <w:p>
            <w:pPr>
              <w:widowControl/>
              <w:jc w:val="right"/>
              <w:rPr>
                <w:rFonts w:ascii="宋体" w:hAnsi="宋体" w:cs="宋体"/>
                <w:kern w:val="0"/>
                <w:sz w:val="18"/>
                <w:szCs w:val="18"/>
              </w:rPr>
            </w:pPr>
            <w:r>
              <w:rPr>
                <w:rFonts w:hint="eastAsia" w:ascii="宋体" w:hAnsi="宋体"/>
                <w:kern w:val="0"/>
                <w:sz w:val="18"/>
                <w:szCs w:val="18"/>
              </w:rPr>
              <w:t>——</w:t>
            </w:r>
          </w:p>
        </w:tc>
        <w:tc>
          <w:tcPr>
            <w:tcW w:w="900" w:type="dxa"/>
            <w:shd w:val="clear" w:color="auto" w:fill="auto"/>
            <w:vAlign w:val="center"/>
          </w:tcPr>
          <w:p>
            <w:pPr>
              <w:widowControl/>
              <w:rPr>
                <w:rFonts w:ascii="宋体" w:hAnsi="宋体" w:cs="宋体"/>
                <w:kern w:val="0"/>
                <w:sz w:val="18"/>
                <w:szCs w:val="18"/>
              </w:rPr>
            </w:pPr>
            <w:r>
              <w:rPr>
                <w:rFonts w:hint="eastAsia" w:ascii="宋体" w:hAnsi="宋体"/>
                <w:kern w:val="0"/>
                <w:sz w:val="18"/>
                <w:szCs w:val="18"/>
              </w:rPr>
              <w:t>——</w:t>
            </w:r>
          </w:p>
        </w:tc>
        <w:tc>
          <w:tcPr>
            <w:tcW w:w="1248" w:type="dxa"/>
            <w:shd w:val="clear" w:color="auto" w:fill="auto"/>
            <w:vAlign w:val="center"/>
          </w:tcPr>
          <w:p>
            <w:pPr>
              <w:widowControl/>
              <w:rPr>
                <w:rFonts w:ascii="宋体" w:hAnsi="宋体" w:cs="宋体"/>
                <w:kern w:val="0"/>
                <w:sz w:val="18"/>
                <w:szCs w:val="18"/>
              </w:rPr>
            </w:pPr>
            <w:r>
              <w:rPr>
                <w:rFonts w:hint="eastAsia" w:cs="Arial"/>
                <w:color w:val="000000"/>
                <w:sz w:val="18"/>
                <w:szCs w:val="18"/>
              </w:rPr>
              <w:t>否</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540" w:hRule="atLeast"/>
        </w:trPr>
        <w:tc>
          <w:tcPr>
            <w:tcW w:w="1527" w:type="dxa"/>
            <w:shd w:val="clear" w:color="auto" w:fill="auto"/>
            <w:vAlign w:val="center"/>
          </w:tcPr>
          <w:p>
            <w:pPr>
              <w:widowControl/>
              <w:rPr>
                <w:rFonts w:ascii="宋体" w:hAnsi="宋体" w:cs="宋体"/>
                <w:kern w:val="0"/>
                <w:sz w:val="18"/>
                <w:szCs w:val="18"/>
              </w:rPr>
            </w:pPr>
            <w:r>
              <w:rPr>
                <w:rFonts w:hint="eastAsia"/>
                <w:sz w:val="18"/>
                <w:szCs w:val="18"/>
              </w:rPr>
              <w:t>抗肿瘤 1 类 新药YS001的研发项目</w:t>
            </w:r>
          </w:p>
        </w:tc>
        <w:tc>
          <w:tcPr>
            <w:tcW w:w="1528" w:type="dxa"/>
            <w:shd w:val="clear" w:color="auto" w:fill="auto"/>
            <w:vAlign w:val="center"/>
          </w:tcPr>
          <w:p>
            <w:pPr>
              <w:widowControl/>
              <w:rPr>
                <w:rFonts w:ascii="宋体" w:hAnsi="宋体" w:cs="宋体"/>
                <w:kern w:val="0"/>
                <w:sz w:val="18"/>
                <w:szCs w:val="18"/>
              </w:rPr>
            </w:pPr>
            <w:r>
              <w:rPr>
                <w:rFonts w:hint="eastAsia" w:cs="Arial"/>
                <w:color w:val="000000"/>
                <w:sz w:val="18"/>
                <w:szCs w:val="18"/>
              </w:rPr>
              <w:t>国家一类生物抗癌新药重组人血管内皮抑素注射液研发项目（注2）</w:t>
            </w:r>
          </w:p>
        </w:tc>
        <w:tc>
          <w:tcPr>
            <w:tcW w:w="1285" w:type="dxa"/>
            <w:shd w:val="clear" w:color="auto" w:fill="auto"/>
            <w:vAlign w:val="center"/>
          </w:tcPr>
          <w:p>
            <w:pPr>
              <w:widowControl/>
              <w:jc w:val="right"/>
              <w:rPr>
                <w:rFonts w:ascii="宋体" w:hAnsi="宋体" w:cs="宋体"/>
                <w:kern w:val="0"/>
                <w:sz w:val="18"/>
                <w:szCs w:val="18"/>
              </w:rPr>
            </w:pPr>
            <w:r>
              <w:rPr>
                <w:rFonts w:ascii="宋体" w:hAnsi="宋体" w:cs="宋体"/>
                <w:kern w:val="0"/>
                <w:sz w:val="18"/>
                <w:szCs w:val="18"/>
              </w:rPr>
              <w:t xml:space="preserve">3,500.00 </w:t>
            </w:r>
          </w:p>
        </w:tc>
        <w:tc>
          <w:tcPr>
            <w:tcW w:w="1440" w:type="dxa"/>
            <w:shd w:val="clear" w:color="auto" w:fill="auto"/>
            <w:vAlign w:val="center"/>
          </w:tcPr>
          <w:p>
            <w:pPr>
              <w:widowControl/>
              <w:jc w:val="right"/>
              <w:rPr>
                <w:rFonts w:ascii="宋体" w:hAnsi="宋体" w:cs="宋体"/>
                <w:kern w:val="0"/>
                <w:sz w:val="18"/>
                <w:szCs w:val="18"/>
              </w:rPr>
            </w:pPr>
            <w:r>
              <w:rPr>
                <w:rFonts w:hint="eastAsia" w:ascii="宋体" w:hAnsi="宋体"/>
                <w:kern w:val="0"/>
                <w:sz w:val="18"/>
                <w:szCs w:val="18"/>
              </w:rPr>
              <w:t>——</w:t>
            </w:r>
          </w:p>
        </w:tc>
        <w:tc>
          <w:tcPr>
            <w:tcW w:w="1260" w:type="dxa"/>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         </w:t>
            </w:r>
            <w:r>
              <w:rPr>
                <w:rFonts w:ascii="宋体" w:hAnsi="宋体" w:cs="宋体"/>
                <w:kern w:val="0"/>
                <w:sz w:val="18"/>
                <w:szCs w:val="18"/>
              </w:rPr>
              <w:t xml:space="preserve">                  299.76 </w:t>
            </w:r>
          </w:p>
          <w:p>
            <w:pPr>
              <w:widowControl/>
              <w:jc w:val="right"/>
              <w:rPr>
                <w:rFonts w:ascii="宋体" w:hAnsi="宋体" w:cs="宋体"/>
                <w:kern w:val="0"/>
                <w:sz w:val="18"/>
                <w:szCs w:val="18"/>
              </w:rPr>
            </w:pPr>
          </w:p>
        </w:tc>
        <w:tc>
          <w:tcPr>
            <w:tcW w:w="1080" w:type="dxa"/>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               2,353.76 </w:t>
            </w:r>
          </w:p>
          <w:p>
            <w:pPr>
              <w:widowControl/>
              <w:jc w:val="right"/>
              <w:rPr>
                <w:rFonts w:ascii="宋体" w:hAnsi="宋体" w:cs="宋体"/>
                <w:kern w:val="0"/>
                <w:sz w:val="18"/>
                <w:szCs w:val="18"/>
              </w:rPr>
            </w:pPr>
          </w:p>
        </w:tc>
        <w:tc>
          <w:tcPr>
            <w:tcW w:w="1260" w:type="dxa"/>
            <w:shd w:val="clear" w:color="auto" w:fill="auto"/>
            <w:vAlign w:val="center"/>
          </w:tcPr>
          <w:p>
            <w:pPr>
              <w:widowControl/>
              <w:jc w:val="right"/>
              <w:rPr>
                <w:rFonts w:ascii="宋体" w:hAnsi="宋体" w:cs="宋体"/>
                <w:kern w:val="0"/>
                <w:sz w:val="18"/>
                <w:szCs w:val="18"/>
              </w:rPr>
            </w:pPr>
            <w:r>
              <w:rPr>
                <w:rFonts w:hint="eastAsia" w:ascii="Arial Narrow" w:hAnsi="Arial Narrow" w:cs="Arial"/>
                <w:color w:val="000000"/>
                <w:sz w:val="18"/>
                <w:szCs w:val="18"/>
              </w:rPr>
              <w:t>不适用</w:t>
            </w:r>
          </w:p>
        </w:tc>
        <w:tc>
          <w:tcPr>
            <w:tcW w:w="1272" w:type="dxa"/>
            <w:shd w:val="clear" w:color="auto" w:fill="auto"/>
            <w:vAlign w:val="center"/>
          </w:tcPr>
          <w:p>
            <w:pPr>
              <w:widowControl/>
              <w:jc w:val="right"/>
              <w:rPr>
                <w:rFonts w:ascii="宋体" w:hAnsi="宋体" w:cs="宋体"/>
                <w:kern w:val="0"/>
                <w:sz w:val="18"/>
                <w:szCs w:val="18"/>
              </w:rPr>
            </w:pPr>
            <w:r>
              <w:rPr>
                <w:rFonts w:ascii="宋体" w:hAnsi="宋体" w:cs="宋体"/>
                <w:kern w:val="0"/>
                <w:sz w:val="18"/>
                <w:szCs w:val="18"/>
              </w:rPr>
              <w:t>2022.06</w:t>
            </w:r>
          </w:p>
        </w:tc>
        <w:tc>
          <w:tcPr>
            <w:tcW w:w="1260" w:type="dxa"/>
            <w:shd w:val="clear" w:color="auto" w:fill="auto"/>
            <w:vAlign w:val="center"/>
          </w:tcPr>
          <w:p>
            <w:pPr>
              <w:widowControl/>
              <w:jc w:val="right"/>
              <w:rPr>
                <w:rFonts w:ascii="宋体" w:hAnsi="宋体" w:cs="宋体"/>
                <w:kern w:val="0"/>
                <w:sz w:val="18"/>
                <w:szCs w:val="18"/>
              </w:rPr>
            </w:pPr>
            <w:r>
              <w:rPr>
                <w:rFonts w:hint="eastAsia" w:ascii="宋体" w:hAnsi="宋体"/>
                <w:kern w:val="0"/>
                <w:sz w:val="18"/>
                <w:szCs w:val="18"/>
              </w:rPr>
              <w:t>——</w:t>
            </w:r>
          </w:p>
        </w:tc>
        <w:tc>
          <w:tcPr>
            <w:tcW w:w="900" w:type="dxa"/>
            <w:shd w:val="clear" w:color="auto" w:fill="auto"/>
            <w:vAlign w:val="center"/>
          </w:tcPr>
          <w:p>
            <w:pPr>
              <w:widowControl/>
              <w:rPr>
                <w:rFonts w:ascii="宋体" w:hAnsi="宋体" w:cs="宋体"/>
                <w:kern w:val="0"/>
                <w:sz w:val="18"/>
                <w:szCs w:val="18"/>
              </w:rPr>
            </w:pPr>
            <w:r>
              <w:rPr>
                <w:rFonts w:hint="eastAsia" w:ascii="宋体" w:hAnsi="宋体"/>
                <w:kern w:val="0"/>
                <w:sz w:val="18"/>
                <w:szCs w:val="18"/>
              </w:rPr>
              <w:t>——</w:t>
            </w:r>
          </w:p>
        </w:tc>
        <w:tc>
          <w:tcPr>
            <w:tcW w:w="1248" w:type="dxa"/>
            <w:shd w:val="clear" w:color="auto" w:fill="auto"/>
            <w:vAlign w:val="center"/>
          </w:tcPr>
          <w:p>
            <w:pPr>
              <w:widowControl/>
              <w:rPr>
                <w:rFonts w:ascii="宋体" w:hAnsi="宋体" w:cs="宋体"/>
                <w:kern w:val="0"/>
                <w:sz w:val="18"/>
                <w:szCs w:val="18"/>
              </w:rPr>
            </w:pPr>
            <w:r>
              <w:rPr>
                <w:rFonts w:hint="eastAsia" w:cs="Arial"/>
                <w:color w:val="000000"/>
                <w:sz w:val="18"/>
                <w:szCs w:val="18"/>
              </w:rPr>
              <w:t>否</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540" w:hRule="atLeast"/>
        </w:trPr>
        <w:tc>
          <w:tcPr>
            <w:tcW w:w="1527" w:type="dxa"/>
            <w:shd w:val="clear" w:color="auto" w:fill="auto"/>
            <w:vAlign w:val="center"/>
          </w:tcPr>
          <w:p>
            <w:pPr>
              <w:widowControl/>
              <w:rPr>
                <w:rFonts w:ascii="宋体" w:hAnsi="宋体" w:cs="宋体"/>
                <w:kern w:val="0"/>
                <w:sz w:val="18"/>
                <w:szCs w:val="18"/>
              </w:rPr>
            </w:pPr>
            <w:r>
              <w:rPr>
                <w:rFonts w:hint="eastAsia"/>
                <w:sz w:val="18"/>
                <w:szCs w:val="18"/>
              </w:rPr>
              <w:t xml:space="preserve">西洛他唑等 上市化学仿 制药的一致 性评价项目 </w:t>
            </w:r>
          </w:p>
        </w:tc>
        <w:tc>
          <w:tcPr>
            <w:tcW w:w="1528" w:type="dxa"/>
            <w:shd w:val="clear" w:color="auto" w:fill="auto"/>
            <w:vAlign w:val="center"/>
          </w:tcPr>
          <w:p>
            <w:pPr>
              <w:widowControl/>
              <w:rPr>
                <w:rFonts w:ascii="宋体" w:hAnsi="宋体" w:cs="宋体"/>
                <w:kern w:val="0"/>
                <w:sz w:val="18"/>
                <w:szCs w:val="18"/>
              </w:rPr>
            </w:pPr>
            <w:r>
              <w:rPr>
                <w:rFonts w:hint="eastAsia" w:cs="Arial"/>
                <w:color w:val="000000"/>
                <w:sz w:val="18"/>
                <w:szCs w:val="18"/>
              </w:rPr>
              <w:t>国家一类生物抗癌新药重组人血管内皮抑素注射液研发项目</w:t>
            </w:r>
          </w:p>
        </w:tc>
        <w:tc>
          <w:tcPr>
            <w:tcW w:w="1285" w:type="dxa"/>
            <w:shd w:val="clear" w:color="auto" w:fill="auto"/>
            <w:vAlign w:val="center"/>
          </w:tcPr>
          <w:p>
            <w:pPr>
              <w:widowControl/>
              <w:jc w:val="right"/>
              <w:rPr>
                <w:rFonts w:ascii="宋体" w:hAnsi="宋体" w:cs="宋体"/>
                <w:kern w:val="0"/>
                <w:sz w:val="18"/>
                <w:szCs w:val="18"/>
              </w:rPr>
            </w:pPr>
            <w:r>
              <w:rPr>
                <w:rFonts w:ascii="宋体" w:hAnsi="宋体" w:cs="宋体"/>
                <w:kern w:val="0"/>
                <w:sz w:val="18"/>
                <w:szCs w:val="18"/>
              </w:rPr>
              <w:t xml:space="preserve">1,534.00  </w:t>
            </w:r>
          </w:p>
        </w:tc>
        <w:tc>
          <w:tcPr>
            <w:tcW w:w="1440" w:type="dxa"/>
            <w:shd w:val="clear" w:color="auto" w:fill="auto"/>
            <w:vAlign w:val="center"/>
          </w:tcPr>
          <w:p>
            <w:pPr>
              <w:widowControl/>
              <w:jc w:val="right"/>
              <w:rPr>
                <w:rFonts w:ascii="宋体" w:hAnsi="宋体" w:cs="宋体"/>
                <w:kern w:val="0"/>
                <w:sz w:val="18"/>
                <w:szCs w:val="18"/>
              </w:rPr>
            </w:pPr>
            <w:r>
              <w:rPr>
                <w:rFonts w:hint="eastAsia" w:ascii="宋体" w:hAnsi="宋体"/>
                <w:kern w:val="0"/>
                <w:sz w:val="18"/>
                <w:szCs w:val="18"/>
              </w:rPr>
              <w:t>——</w:t>
            </w:r>
          </w:p>
        </w:tc>
        <w:tc>
          <w:tcPr>
            <w:tcW w:w="1260" w:type="dxa"/>
            <w:shd w:val="clear" w:color="auto" w:fill="auto"/>
            <w:vAlign w:val="center"/>
          </w:tcPr>
          <w:p>
            <w:pPr>
              <w:widowControl/>
              <w:jc w:val="right"/>
              <w:rPr>
                <w:rFonts w:ascii="宋体" w:hAnsi="宋体" w:cs="宋体"/>
                <w:kern w:val="0"/>
                <w:sz w:val="18"/>
                <w:szCs w:val="18"/>
              </w:rPr>
            </w:pPr>
            <w:r>
              <w:rPr>
                <w:rFonts w:ascii="宋体" w:hAnsi="宋体" w:cs="宋体"/>
                <w:kern w:val="0"/>
                <w:sz w:val="18"/>
                <w:szCs w:val="18"/>
              </w:rPr>
              <w:t xml:space="preserve">                        51.58 </w:t>
            </w:r>
          </w:p>
          <w:p>
            <w:pPr>
              <w:widowControl/>
              <w:jc w:val="right"/>
              <w:rPr>
                <w:rFonts w:ascii="宋体" w:hAnsi="宋体" w:cs="宋体"/>
                <w:kern w:val="0"/>
                <w:sz w:val="18"/>
                <w:szCs w:val="18"/>
              </w:rPr>
            </w:pPr>
          </w:p>
        </w:tc>
        <w:tc>
          <w:tcPr>
            <w:tcW w:w="1080" w:type="dxa"/>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          781.36 </w:t>
            </w:r>
          </w:p>
          <w:p>
            <w:pPr>
              <w:widowControl/>
              <w:jc w:val="right"/>
              <w:rPr>
                <w:rFonts w:ascii="宋体" w:hAnsi="宋体" w:cs="宋体"/>
                <w:kern w:val="0"/>
                <w:sz w:val="18"/>
                <w:szCs w:val="18"/>
              </w:rPr>
            </w:pPr>
          </w:p>
        </w:tc>
        <w:tc>
          <w:tcPr>
            <w:tcW w:w="1260" w:type="dxa"/>
            <w:shd w:val="clear" w:color="auto" w:fill="auto"/>
            <w:vAlign w:val="center"/>
          </w:tcPr>
          <w:p>
            <w:pPr>
              <w:widowControl/>
              <w:jc w:val="right"/>
              <w:rPr>
                <w:rFonts w:ascii="宋体" w:hAnsi="宋体" w:cs="宋体"/>
                <w:kern w:val="0"/>
                <w:sz w:val="18"/>
                <w:szCs w:val="18"/>
              </w:rPr>
            </w:pPr>
            <w:r>
              <w:rPr>
                <w:rFonts w:hint="eastAsia" w:ascii="Arial Narrow" w:hAnsi="Arial Narrow" w:cs="Arial"/>
                <w:color w:val="000000"/>
                <w:sz w:val="18"/>
                <w:szCs w:val="18"/>
              </w:rPr>
              <w:t>不适用</w:t>
            </w:r>
          </w:p>
        </w:tc>
        <w:tc>
          <w:tcPr>
            <w:tcW w:w="1272" w:type="dxa"/>
            <w:shd w:val="clear" w:color="auto" w:fill="auto"/>
            <w:vAlign w:val="center"/>
          </w:tcPr>
          <w:p>
            <w:pPr>
              <w:widowControl/>
              <w:jc w:val="right"/>
              <w:rPr>
                <w:rFonts w:ascii="宋体" w:hAnsi="宋体" w:cs="宋体"/>
                <w:kern w:val="0"/>
                <w:sz w:val="18"/>
                <w:szCs w:val="18"/>
              </w:rPr>
            </w:pPr>
            <w:r>
              <w:rPr>
                <w:rFonts w:ascii="宋体" w:hAnsi="宋体" w:cs="宋体"/>
                <w:kern w:val="0"/>
                <w:sz w:val="18"/>
                <w:szCs w:val="18"/>
              </w:rPr>
              <w:t>2023.12</w:t>
            </w:r>
          </w:p>
        </w:tc>
        <w:tc>
          <w:tcPr>
            <w:tcW w:w="1260" w:type="dxa"/>
            <w:shd w:val="clear" w:color="auto" w:fill="auto"/>
            <w:vAlign w:val="center"/>
          </w:tcPr>
          <w:p>
            <w:pPr>
              <w:widowControl/>
              <w:jc w:val="right"/>
              <w:rPr>
                <w:rFonts w:ascii="宋体" w:hAnsi="宋体" w:cs="宋体"/>
                <w:kern w:val="0"/>
                <w:sz w:val="18"/>
                <w:szCs w:val="18"/>
              </w:rPr>
            </w:pPr>
            <w:r>
              <w:rPr>
                <w:rFonts w:hint="eastAsia" w:ascii="宋体" w:hAnsi="宋体"/>
                <w:kern w:val="0"/>
                <w:sz w:val="18"/>
                <w:szCs w:val="18"/>
              </w:rPr>
              <w:t>——</w:t>
            </w:r>
          </w:p>
        </w:tc>
        <w:tc>
          <w:tcPr>
            <w:tcW w:w="900" w:type="dxa"/>
            <w:shd w:val="clear" w:color="auto" w:fill="auto"/>
            <w:vAlign w:val="center"/>
          </w:tcPr>
          <w:p>
            <w:pPr>
              <w:widowControl/>
              <w:rPr>
                <w:rFonts w:ascii="宋体" w:hAnsi="宋体" w:cs="宋体"/>
                <w:kern w:val="0"/>
                <w:sz w:val="18"/>
                <w:szCs w:val="18"/>
              </w:rPr>
            </w:pPr>
            <w:r>
              <w:rPr>
                <w:rFonts w:hint="eastAsia" w:ascii="宋体" w:hAnsi="宋体"/>
                <w:kern w:val="0"/>
                <w:sz w:val="18"/>
                <w:szCs w:val="18"/>
              </w:rPr>
              <w:t>——</w:t>
            </w:r>
          </w:p>
        </w:tc>
        <w:tc>
          <w:tcPr>
            <w:tcW w:w="1248" w:type="dxa"/>
            <w:shd w:val="clear" w:color="auto" w:fill="auto"/>
            <w:vAlign w:val="center"/>
          </w:tcPr>
          <w:p>
            <w:pPr>
              <w:widowControl/>
              <w:rPr>
                <w:rFonts w:cs="Arial"/>
                <w:color w:val="000000"/>
                <w:sz w:val="18"/>
                <w:szCs w:val="18"/>
              </w:rPr>
            </w:pPr>
            <w:r>
              <w:rPr>
                <w:rFonts w:hint="eastAsia" w:cs="Arial"/>
                <w:color w:val="000000"/>
                <w:sz w:val="18"/>
                <w:szCs w:val="18"/>
              </w:rPr>
              <w:t>是</w:t>
            </w:r>
          </w:p>
          <w:p>
            <w:pPr>
              <w:widowControl/>
              <w:rPr>
                <w:rFonts w:ascii="宋体" w:hAnsi="宋体" w:cs="宋体"/>
                <w:kern w:val="0"/>
                <w:sz w:val="18"/>
                <w:szCs w:val="18"/>
              </w:rPr>
            </w:pPr>
            <w:r>
              <w:rPr>
                <w:rFonts w:hint="eastAsia" w:ascii="宋体" w:hAnsi="宋体" w:cs="宋体"/>
                <w:sz w:val="18"/>
                <w:szCs w:val="18"/>
              </w:rPr>
              <w:t>（注3）</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540" w:hRule="atLeast"/>
        </w:trPr>
        <w:tc>
          <w:tcPr>
            <w:tcW w:w="1527" w:type="dxa"/>
            <w:shd w:val="clear" w:color="auto" w:fill="auto"/>
            <w:vAlign w:val="center"/>
          </w:tcPr>
          <w:p>
            <w:pPr>
              <w:widowControl/>
              <w:rPr>
                <w:rFonts w:ascii="宋体" w:hAnsi="宋体" w:cs="宋体"/>
                <w:kern w:val="0"/>
                <w:sz w:val="18"/>
                <w:szCs w:val="18"/>
              </w:rPr>
            </w:pPr>
            <w:r>
              <w:rPr>
                <w:rFonts w:hint="eastAsia"/>
                <w:sz w:val="18"/>
                <w:szCs w:val="18"/>
              </w:rPr>
              <w:t xml:space="preserve">利奈唑胺与 沃诺拉赞的 仿制项目 </w:t>
            </w:r>
          </w:p>
        </w:tc>
        <w:tc>
          <w:tcPr>
            <w:tcW w:w="1528" w:type="dxa"/>
            <w:shd w:val="clear" w:color="auto" w:fill="auto"/>
            <w:vAlign w:val="center"/>
          </w:tcPr>
          <w:p>
            <w:pPr>
              <w:widowControl/>
              <w:rPr>
                <w:rFonts w:ascii="宋体" w:hAnsi="宋体" w:cs="宋体"/>
                <w:kern w:val="0"/>
                <w:sz w:val="18"/>
                <w:szCs w:val="18"/>
              </w:rPr>
            </w:pPr>
            <w:r>
              <w:rPr>
                <w:rFonts w:hint="eastAsia" w:cs="Arial"/>
                <w:color w:val="000000"/>
                <w:sz w:val="18"/>
                <w:szCs w:val="18"/>
              </w:rPr>
              <w:t>国家一类生物抗癌新药重组人血管内皮抑素注射液研发项目</w:t>
            </w:r>
          </w:p>
        </w:tc>
        <w:tc>
          <w:tcPr>
            <w:tcW w:w="1285" w:type="dxa"/>
            <w:shd w:val="clear" w:color="auto" w:fill="auto"/>
            <w:vAlign w:val="center"/>
          </w:tcPr>
          <w:p>
            <w:pPr>
              <w:widowControl/>
              <w:jc w:val="right"/>
              <w:rPr>
                <w:rFonts w:ascii="宋体" w:hAnsi="宋体" w:cs="宋体"/>
                <w:kern w:val="0"/>
                <w:sz w:val="18"/>
                <w:szCs w:val="18"/>
              </w:rPr>
            </w:pPr>
            <w:r>
              <w:rPr>
                <w:rFonts w:ascii="宋体" w:hAnsi="宋体" w:cs="宋体"/>
                <w:kern w:val="0"/>
                <w:sz w:val="18"/>
                <w:szCs w:val="18"/>
              </w:rPr>
              <w:t xml:space="preserve">1,480.37  </w:t>
            </w:r>
          </w:p>
        </w:tc>
        <w:tc>
          <w:tcPr>
            <w:tcW w:w="1440" w:type="dxa"/>
            <w:shd w:val="clear" w:color="auto" w:fill="auto"/>
            <w:vAlign w:val="center"/>
          </w:tcPr>
          <w:p>
            <w:pPr>
              <w:widowControl/>
              <w:jc w:val="right"/>
              <w:rPr>
                <w:rFonts w:ascii="宋体" w:hAnsi="宋体" w:cs="宋体"/>
                <w:kern w:val="0"/>
                <w:sz w:val="18"/>
                <w:szCs w:val="18"/>
              </w:rPr>
            </w:pPr>
            <w:r>
              <w:rPr>
                <w:rFonts w:hint="eastAsia" w:ascii="宋体" w:hAnsi="宋体"/>
                <w:kern w:val="0"/>
                <w:sz w:val="18"/>
                <w:szCs w:val="18"/>
              </w:rPr>
              <w:t>——</w:t>
            </w:r>
          </w:p>
        </w:tc>
        <w:tc>
          <w:tcPr>
            <w:tcW w:w="1260" w:type="dxa"/>
            <w:shd w:val="clear" w:color="auto" w:fill="auto"/>
            <w:vAlign w:val="center"/>
          </w:tcPr>
          <w:p>
            <w:pPr>
              <w:widowControl/>
              <w:jc w:val="right"/>
              <w:rPr>
                <w:rFonts w:ascii="宋体" w:hAnsi="宋体" w:cs="宋体"/>
                <w:kern w:val="0"/>
                <w:sz w:val="18"/>
                <w:szCs w:val="18"/>
              </w:rPr>
            </w:pPr>
            <w:r>
              <w:rPr>
                <w:rFonts w:ascii="宋体" w:hAnsi="宋体" w:cs="宋体"/>
                <w:kern w:val="0"/>
                <w:sz w:val="18"/>
                <w:szCs w:val="18"/>
              </w:rPr>
              <w:t xml:space="preserve">                        39.65 </w:t>
            </w:r>
          </w:p>
          <w:p>
            <w:pPr>
              <w:widowControl/>
              <w:jc w:val="right"/>
              <w:rPr>
                <w:rFonts w:ascii="宋体" w:hAnsi="宋体" w:cs="宋体"/>
                <w:kern w:val="0"/>
                <w:sz w:val="18"/>
                <w:szCs w:val="18"/>
              </w:rPr>
            </w:pPr>
          </w:p>
        </w:tc>
        <w:tc>
          <w:tcPr>
            <w:tcW w:w="1080" w:type="dxa"/>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 xml:space="preserve">          580.11 </w:t>
            </w:r>
          </w:p>
          <w:p>
            <w:pPr>
              <w:widowControl/>
              <w:jc w:val="right"/>
              <w:rPr>
                <w:rFonts w:ascii="宋体" w:hAnsi="宋体" w:cs="宋体"/>
                <w:kern w:val="0"/>
                <w:sz w:val="18"/>
                <w:szCs w:val="18"/>
              </w:rPr>
            </w:pPr>
          </w:p>
        </w:tc>
        <w:tc>
          <w:tcPr>
            <w:tcW w:w="1260" w:type="dxa"/>
            <w:shd w:val="clear" w:color="auto" w:fill="auto"/>
            <w:vAlign w:val="center"/>
          </w:tcPr>
          <w:p>
            <w:pPr>
              <w:widowControl/>
              <w:jc w:val="right"/>
              <w:rPr>
                <w:rFonts w:ascii="宋体" w:hAnsi="宋体" w:cs="宋体"/>
                <w:kern w:val="0"/>
                <w:sz w:val="18"/>
                <w:szCs w:val="18"/>
              </w:rPr>
            </w:pPr>
            <w:r>
              <w:rPr>
                <w:rFonts w:hint="eastAsia" w:ascii="Arial Narrow" w:hAnsi="Arial Narrow" w:cs="Arial"/>
                <w:color w:val="000000"/>
                <w:sz w:val="18"/>
                <w:szCs w:val="18"/>
              </w:rPr>
              <w:t>不适用</w:t>
            </w:r>
          </w:p>
        </w:tc>
        <w:tc>
          <w:tcPr>
            <w:tcW w:w="1272" w:type="dxa"/>
            <w:shd w:val="clear" w:color="auto" w:fill="auto"/>
            <w:vAlign w:val="center"/>
          </w:tcPr>
          <w:p>
            <w:pPr>
              <w:widowControl/>
              <w:jc w:val="right"/>
              <w:rPr>
                <w:rFonts w:ascii="宋体" w:hAnsi="宋体" w:cs="宋体"/>
                <w:kern w:val="0"/>
                <w:sz w:val="18"/>
                <w:szCs w:val="18"/>
              </w:rPr>
            </w:pPr>
            <w:r>
              <w:rPr>
                <w:rFonts w:ascii="宋体" w:hAnsi="宋体" w:cs="宋体"/>
                <w:kern w:val="0"/>
                <w:sz w:val="18"/>
                <w:szCs w:val="18"/>
              </w:rPr>
              <w:t>2026.09</w:t>
            </w:r>
          </w:p>
        </w:tc>
        <w:tc>
          <w:tcPr>
            <w:tcW w:w="1260" w:type="dxa"/>
            <w:shd w:val="clear" w:color="auto" w:fill="auto"/>
            <w:vAlign w:val="center"/>
          </w:tcPr>
          <w:p>
            <w:pPr>
              <w:widowControl/>
              <w:jc w:val="right"/>
              <w:rPr>
                <w:rFonts w:ascii="宋体" w:hAnsi="宋体" w:cs="宋体"/>
                <w:kern w:val="0"/>
                <w:sz w:val="18"/>
                <w:szCs w:val="18"/>
              </w:rPr>
            </w:pPr>
            <w:r>
              <w:rPr>
                <w:rFonts w:hint="eastAsia" w:ascii="宋体" w:hAnsi="宋体"/>
                <w:kern w:val="0"/>
                <w:sz w:val="18"/>
                <w:szCs w:val="18"/>
              </w:rPr>
              <w:t>——</w:t>
            </w:r>
          </w:p>
        </w:tc>
        <w:tc>
          <w:tcPr>
            <w:tcW w:w="900" w:type="dxa"/>
            <w:shd w:val="clear" w:color="auto" w:fill="auto"/>
            <w:vAlign w:val="center"/>
          </w:tcPr>
          <w:p>
            <w:pPr>
              <w:widowControl/>
              <w:rPr>
                <w:rFonts w:ascii="宋体" w:hAnsi="宋体" w:cs="宋体"/>
                <w:kern w:val="0"/>
                <w:sz w:val="18"/>
                <w:szCs w:val="18"/>
              </w:rPr>
            </w:pPr>
            <w:r>
              <w:rPr>
                <w:rFonts w:hint="eastAsia" w:ascii="宋体" w:hAnsi="宋体"/>
                <w:kern w:val="0"/>
                <w:sz w:val="18"/>
                <w:szCs w:val="18"/>
              </w:rPr>
              <w:t>——</w:t>
            </w:r>
          </w:p>
        </w:tc>
        <w:tc>
          <w:tcPr>
            <w:tcW w:w="1248" w:type="dxa"/>
            <w:shd w:val="clear" w:color="auto" w:fill="auto"/>
            <w:vAlign w:val="center"/>
          </w:tcPr>
          <w:p>
            <w:pPr>
              <w:widowControl/>
              <w:rPr>
                <w:rFonts w:cs="Arial"/>
                <w:color w:val="000000"/>
                <w:sz w:val="18"/>
                <w:szCs w:val="18"/>
              </w:rPr>
            </w:pPr>
            <w:r>
              <w:rPr>
                <w:rFonts w:hint="eastAsia" w:cs="Arial"/>
                <w:color w:val="000000"/>
                <w:sz w:val="18"/>
                <w:szCs w:val="18"/>
              </w:rPr>
              <w:t>是</w:t>
            </w:r>
          </w:p>
          <w:p>
            <w:pPr>
              <w:widowControl/>
              <w:rPr>
                <w:rFonts w:ascii="宋体" w:hAnsi="宋体" w:cs="宋体"/>
                <w:kern w:val="0"/>
                <w:sz w:val="18"/>
                <w:szCs w:val="18"/>
              </w:rPr>
            </w:pPr>
            <w:r>
              <w:rPr>
                <w:rFonts w:hint="eastAsia" w:ascii="宋体" w:hAnsi="宋体" w:cs="宋体"/>
                <w:sz w:val="18"/>
                <w:szCs w:val="18"/>
              </w:rPr>
              <w:t>（注3）</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540" w:hRule="atLeast"/>
        </w:trPr>
        <w:tc>
          <w:tcPr>
            <w:tcW w:w="1527" w:type="dxa"/>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合  计</w:t>
            </w:r>
          </w:p>
        </w:tc>
        <w:tc>
          <w:tcPr>
            <w:tcW w:w="1528" w:type="dxa"/>
            <w:shd w:val="clear" w:color="auto" w:fill="auto"/>
            <w:vAlign w:val="center"/>
          </w:tcPr>
          <w:p>
            <w:pPr>
              <w:widowControl/>
              <w:rPr>
                <w:rFonts w:ascii="宋体" w:hAnsi="宋体" w:cs="宋体"/>
                <w:kern w:val="0"/>
                <w:sz w:val="18"/>
                <w:szCs w:val="18"/>
              </w:rPr>
            </w:pPr>
          </w:p>
        </w:tc>
        <w:tc>
          <w:tcPr>
            <w:tcW w:w="1285" w:type="dxa"/>
            <w:shd w:val="clear" w:color="auto" w:fill="auto"/>
            <w:vAlign w:val="center"/>
          </w:tcPr>
          <w:p>
            <w:pPr>
              <w:widowControl/>
              <w:jc w:val="right"/>
              <w:rPr>
                <w:rFonts w:ascii="宋体" w:hAnsi="宋体" w:cs="宋体"/>
                <w:kern w:val="0"/>
                <w:sz w:val="18"/>
                <w:szCs w:val="18"/>
              </w:rPr>
            </w:pPr>
            <w:r>
              <w:rPr>
                <w:rFonts w:ascii="宋体" w:hAnsi="宋体" w:cs="宋体"/>
                <w:kern w:val="0"/>
                <w:sz w:val="18"/>
                <w:szCs w:val="18"/>
              </w:rPr>
              <w:t>9</w:t>
            </w:r>
            <w:r>
              <w:rPr>
                <w:rFonts w:hint="eastAsia" w:ascii="宋体" w:hAnsi="宋体" w:cs="宋体"/>
                <w:kern w:val="0"/>
                <w:sz w:val="18"/>
                <w:szCs w:val="18"/>
              </w:rPr>
              <w:t>,</w:t>
            </w:r>
            <w:r>
              <w:rPr>
                <w:rFonts w:ascii="宋体" w:hAnsi="宋体" w:cs="宋体"/>
                <w:kern w:val="0"/>
                <w:sz w:val="18"/>
                <w:szCs w:val="18"/>
              </w:rPr>
              <w:t>381.82</w:t>
            </w:r>
          </w:p>
        </w:tc>
        <w:tc>
          <w:tcPr>
            <w:tcW w:w="1440" w:type="dxa"/>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w:t>
            </w:r>
          </w:p>
        </w:tc>
        <w:tc>
          <w:tcPr>
            <w:tcW w:w="1260" w:type="dxa"/>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390.98</w:t>
            </w:r>
          </w:p>
        </w:tc>
        <w:tc>
          <w:tcPr>
            <w:tcW w:w="1080" w:type="dxa"/>
            <w:shd w:val="clear" w:color="auto" w:fill="auto"/>
            <w:vAlign w:val="center"/>
          </w:tcPr>
          <w:p>
            <w:pPr>
              <w:widowControl/>
              <w:jc w:val="right"/>
              <w:rPr>
                <w:rFonts w:ascii="宋体" w:hAnsi="宋体" w:cs="宋体"/>
                <w:kern w:val="0"/>
                <w:sz w:val="18"/>
                <w:szCs w:val="18"/>
              </w:rPr>
            </w:pPr>
            <w:r>
              <w:rPr>
                <w:rFonts w:ascii="宋体" w:hAnsi="宋体" w:cs="宋体"/>
                <w:kern w:val="0"/>
                <w:sz w:val="18"/>
                <w:szCs w:val="18"/>
              </w:rPr>
              <w:t>6342.94</w:t>
            </w:r>
          </w:p>
        </w:tc>
        <w:tc>
          <w:tcPr>
            <w:tcW w:w="1260" w:type="dxa"/>
            <w:shd w:val="clear" w:color="auto" w:fill="auto"/>
            <w:vAlign w:val="center"/>
          </w:tcPr>
          <w:p>
            <w:pPr>
              <w:widowControl/>
              <w:jc w:val="right"/>
              <w:rPr>
                <w:rFonts w:ascii="宋体" w:hAnsi="宋体" w:cs="宋体"/>
                <w:kern w:val="0"/>
                <w:sz w:val="18"/>
                <w:szCs w:val="18"/>
              </w:rPr>
            </w:pPr>
            <w:r>
              <w:rPr>
                <w:rFonts w:ascii="Arial Narrow" w:hAnsi="Arial Narrow" w:cs="Arial"/>
                <w:color w:val="000000"/>
                <w:sz w:val="18"/>
                <w:szCs w:val="18"/>
              </w:rPr>
              <w:t>-</w:t>
            </w:r>
          </w:p>
        </w:tc>
        <w:tc>
          <w:tcPr>
            <w:tcW w:w="1272" w:type="dxa"/>
            <w:shd w:val="clear" w:color="auto" w:fill="auto"/>
            <w:vAlign w:val="center"/>
          </w:tcPr>
          <w:p>
            <w:pPr>
              <w:widowControl/>
              <w:jc w:val="right"/>
              <w:rPr>
                <w:rFonts w:ascii="宋体" w:hAnsi="宋体" w:cs="宋体"/>
                <w:kern w:val="0"/>
                <w:sz w:val="18"/>
                <w:szCs w:val="18"/>
              </w:rPr>
            </w:pPr>
            <w:r>
              <w:rPr>
                <w:rFonts w:ascii="Arial Narrow" w:hAnsi="Arial Narrow" w:cs="Arial"/>
                <w:color w:val="000000"/>
                <w:sz w:val="18"/>
                <w:szCs w:val="18"/>
              </w:rPr>
              <w:t>-</w:t>
            </w:r>
          </w:p>
        </w:tc>
        <w:tc>
          <w:tcPr>
            <w:tcW w:w="1260" w:type="dxa"/>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w:t>
            </w:r>
          </w:p>
        </w:tc>
        <w:tc>
          <w:tcPr>
            <w:tcW w:w="900" w:type="dxa"/>
            <w:shd w:val="clear" w:color="auto" w:fill="auto"/>
            <w:vAlign w:val="center"/>
          </w:tcPr>
          <w:p>
            <w:pPr>
              <w:widowControl/>
              <w:jc w:val="right"/>
              <w:rPr>
                <w:rFonts w:ascii="宋体" w:hAnsi="宋体" w:cs="宋体"/>
                <w:kern w:val="0"/>
                <w:sz w:val="18"/>
                <w:szCs w:val="18"/>
              </w:rPr>
            </w:pPr>
            <w:r>
              <w:rPr>
                <w:rFonts w:ascii="Arial Narrow" w:hAnsi="Arial Narrow" w:cs="Arial"/>
                <w:color w:val="000000"/>
                <w:sz w:val="18"/>
                <w:szCs w:val="18"/>
              </w:rPr>
              <w:t>-</w:t>
            </w:r>
          </w:p>
        </w:tc>
        <w:tc>
          <w:tcPr>
            <w:tcW w:w="1248" w:type="dxa"/>
            <w:shd w:val="clear" w:color="auto" w:fill="auto"/>
            <w:vAlign w:val="center"/>
          </w:tcPr>
          <w:p>
            <w:pPr>
              <w:widowControl/>
              <w:jc w:val="right"/>
              <w:rPr>
                <w:rFonts w:ascii="宋体" w:hAnsi="宋体" w:cs="宋体"/>
                <w:kern w:val="0"/>
                <w:sz w:val="18"/>
                <w:szCs w:val="18"/>
              </w:rPr>
            </w:pPr>
            <w:r>
              <w:rPr>
                <w:rFonts w:ascii="Arial Narrow" w:hAnsi="Arial Narrow" w:cs="Arial"/>
                <w:color w:val="000000"/>
                <w:sz w:val="18"/>
                <w:szCs w:val="18"/>
              </w:rPr>
              <w:t>-</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539" w:hRule="atLeast"/>
        </w:trPr>
        <w:tc>
          <w:tcPr>
            <w:tcW w:w="5780" w:type="dxa"/>
            <w:gridSpan w:val="4"/>
            <w:shd w:val="clear" w:color="auto" w:fill="auto"/>
            <w:vAlign w:val="center"/>
          </w:tcPr>
          <w:p>
            <w:pPr>
              <w:widowControl/>
              <w:jc w:val="right"/>
              <w:rPr>
                <w:rFonts w:ascii="宋体" w:hAnsi="宋体" w:cs="宋体"/>
                <w:kern w:val="0"/>
                <w:sz w:val="18"/>
                <w:szCs w:val="18"/>
              </w:rPr>
            </w:pPr>
            <w:r>
              <w:rPr>
                <w:rFonts w:hint="eastAsia" w:ascii="宋体" w:hAnsi="宋体" w:cs="宋体"/>
                <w:kern w:val="0"/>
                <w:sz w:val="18"/>
                <w:szCs w:val="18"/>
              </w:rPr>
              <w:t>变更原因、决策程序及信息披露情况说明(分具体募投项目)</w:t>
            </w:r>
          </w:p>
        </w:tc>
        <w:tc>
          <w:tcPr>
            <w:tcW w:w="8280" w:type="dxa"/>
            <w:gridSpan w:val="7"/>
            <w:shd w:val="clear" w:color="auto" w:fill="auto"/>
            <w:vAlign w:val="center"/>
          </w:tcPr>
          <w:p>
            <w:pPr>
              <w:widowControl/>
              <w:ind w:firstLine="360" w:firstLineChars="200"/>
              <w:rPr>
                <w:rFonts w:ascii="宋体" w:hAnsi="宋体" w:cs="宋体"/>
                <w:kern w:val="0"/>
                <w:sz w:val="18"/>
                <w:szCs w:val="18"/>
              </w:rPr>
            </w:pPr>
            <w:r>
              <w:rPr>
                <w:rFonts w:hint="eastAsia" w:ascii="宋体" w:hAnsi="宋体" w:cs="宋体"/>
                <w:kern w:val="0"/>
                <w:sz w:val="18"/>
                <w:szCs w:val="18"/>
              </w:rPr>
              <w:t>注1：药品自动化立体仓库项目</w:t>
            </w:r>
          </w:p>
          <w:p>
            <w:pPr>
              <w:widowControl/>
              <w:ind w:firstLine="360" w:firstLineChars="200"/>
              <w:rPr>
                <w:rFonts w:ascii="宋体" w:hAnsi="宋体" w:cs="宋体"/>
                <w:kern w:val="0"/>
                <w:sz w:val="18"/>
                <w:szCs w:val="18"/>
              </w:rPr>
            </w:pPr>
            <w:r>
              <w:rPr>
                <w:rFonts w:hint="eastAsia" w:ascii="宋体" w:hAnsi="宋体" w:cs="宋体"/>
                <w:kern w:val="0"/>
                <w:sz w:val="18"/>
                <w:szCs w:val="18"/>
              </w:rPr>
              <w:t>公司在《江苏吴中实业股份有限公司三年发展战略规划（2017-2019）》中对医药集团未来的商业配送整体规模进行了重新定位，明确了未来医药集团的商业配送业务将适度发展，首先满足公司自有工业产品的分销和配送，其次根据市场发展情况适度开展以苏州大市范围为主导市场的商业配送业务。未来三年公司规划的商业配送年销售收入不超过8亿元。鉴于此，目前已竣工并投入使用的仓库一期项目已可满足设定的规模需求，公司不再进行二期投入。根据公司三年规划及新品开发要求，公司现有原料药基地日益不能满足公司原料药业务未来发展的需求，同时随着环保压力的日益增加，公司需要对原料药的生产能力进行提升，并新增溶媒回收车间，不断满足市场和环保需求，提高企业效益。经公司第八届董事会第十一次会议及2016年股东大会决议审议通过，公司将原“药品自动化立体仓库项目”变更为“江苏吴中医药集团有限公司苏州制药厂原料药二期项目”（具体见公司于2017年4月28日及5月19日在《中国证券报》、《上海证券报》及上海证券交易所网站上披露的相关公告）。</w:t>
            </w:r>
          </w:p>
          <w:p>
            <w:pPr>
              <w:widowControl/>
              <w:ind w:firstLine="360" w:firstLineChars="200"/>
              <w:rPr>
                <w:rFonts w:ascii="宋体" w:hAnsi="宋体" w:cs="宋体"/>
                <w:kern w:val="0"/>
                <w:sz w:val="18"/>
                <w:szCs w:val="18"/>
              </w:rPr>
            </w:pPr>
            <w:r>
              <w:rPr>
                <w:rFonts w:hint="eastAsia" w:ascii="宋体" w:hAnsi="宋体" w:cs="宋体"/>
                <w:kern w:val="0"/>
                <w:sz w:val="18"/>
                <w:szCs w:val="18"/>
              </w:rPr>
              <w:t>注2：国家一类生物抗癌新药重组人血管内皮抑素注射液研发项目</w:t>
            </w:r>
          </w:p>
          <w:p>
            <w:pPr>
              <w:widowControl/>
              <w:ind w:firstLine="360" w:firstLineChars="200"/>
              <w:rPr>
                <w:rFonts w:ascii="宋体" w:hAnsi="宋体" w:cs="宋体"/>
                <w:kern w:val="0"/>
                <w:sz w:val="18"/>
                <w:szCs w:val="18"/>
              </w:rPr>
            </w:pPr>
            <w:r>
              <w:rPr>
                <w:rFonts w:hint="eastAsia" w:ascii="宋体" w:hAnsi="宋体" w:cs="宋体"/>
                <w:kern w:val="0"/>
                <w:sz w:val="18"/>
                <w:szCs w:val="18"/>
              </w:rPr>
              <w:t>医药集团于2019年3月接到了国家药监局药品审评中心（以下简称“审评中心”）的技术审评部门发出的重组人血管内皮抑素注射液（CXSS1800005-1）依据现有数据技术审评不予通过与申请人沟通交流报告的相关通知；公司于2019年7月5日收到医药集团通知，经医药集团与审评中心充分沟通，为了后续拟开展该药品的肺鳞癌临床研究工作（在原三期临床批件基础上），同时结合国家最新有关药品的审评、审批政策，医药集团向审评中心提出了药品注册撤回申请，经审评中心申请人之窗系统查询知悉，当前品种技术审评建议结论为：终止审批程序；2019年7月19日，公司收到了医药集团通知，江苏吴中医药集团有限公司下属分支机构苏州中凯生物制药厂收到了国家药品监督管理局下发的《审批意见通知件》，审批意见为根据申请人的撤回申请，同意本品注册申请撤回，终止注册程序。</w:t>
            </w:r>
          </w:p>
          <w:p>
            <w:pPr>
              <w:widowControl/>
              <w:ind w:firstLine="360" w:firstLineChars="200"/>
              <w:rPr>
                <w:rFonts w:ascii="宋体" w:hAnsi="宋体" w:cs="宋体"/>
                <w:kern w:val="0"/>
                <w:sz w:val="18"/>
                <w:szCs w:val="18"/>
              </w:rPr>
            </w:pPr>
            <w:r>
              <w:rPr>
                <w:rFonts w:hint="eastAsia" w:ascii="宋体" w:hAnsi="宋体" w:cs="宋体"/>
                <w:kern w:val="0"/>
                <w:sz w:val="18"/>
                <w:szCs w:val="18"/>
              </w:rPr>
              <w:t>综合上述因素，为降低投资风险，提高募集资金使用效率，充分保证公司及全体股东的利益，公司拟对原募投项目“国家一类生物抗癌新药重组人血管内皮抑素注射液研发项目”进行变更。</w:t>
            </w:r>
          </w:p>
          <w:p>
            <w:pPr>
              <w:widowControl/>
              <w:ind w:firstLine="360" w:firstLineChars="200"/>
              <w:rPr>
                <w:rFonts w:ascii="宋体" w:hAnsi="宋体" w:cs="宋体"/>
                <w:kern w:val="0"/>
                <w:sz w:val="18"/>
                <w:szCs w:val="18"/>
              </w:rPr>
            </w:pPr>
            <w:r>
              <w:rPr>
                <w:rFonts w:hint="eastAsia" w:ascii="宋体" w:hAnsi="宋体" w:cs="宋体"/>
                <w:kern w:val="0"/>
                <w:sz w:val="18"/>
                <w:szCs w:val="18"/>
              </w:rPr>
              <w:t>根据公司下属江苏吴中医药集团有限公司经营发展和实际生产需要，经公司第九届董事会第六次会议、公司第九届监事会第六次会议及2019年第五次临时股东大会审议通过《江苏吴中实业股份有限公司关于变更部分募集资金投资项目的议案》，公司拟将原非公开发行的募集资金投资项目“国家一类生物抗癌新药重组人血管内皮抑素注射液研发项目”中部分未使用资金约12,055万元（占募集资金总额23.46%）进行变更，变更后的募集资金投向为抗肿瘤1类新药YS001的研发、西洛他唑等上市化学仿制药的一致性评价、利奈唑胺与沃诺拉赞的仿制。（具体见公司于2019年8月23日、2019年9月11日在《中国证券报》、《上海证券报》及上海证券交易所网站上披露的相关公告）</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539" w:hRule="atLeast"/>
        </w:trPr>
        <w:tc>
          <w:tcPr>
            <w:tcW w:w="5780" w:type="dxa"/>
            <w:gridSpan w:val="4"/>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未达到计划进度的情况和原因(分具体募投项目)</w:t>
            </w:r>
          </w:p>
        </w:tc>
        <w:tc>
          <w:tcPr>
            <w:tcW w:w="8280" w:type="dxa"/>
            <w:gridSpan w:val="7"/>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不适用</w:t>
            </w:r>
          </w:p>
        </w:tc>
      </w:tr>
      <w:tr>
        <w:tblPrEx>
          <w:tblBorders>
            <w:top w:val="single" w:color="auto" w:sz="4" w:space="0"/>
            <w:left w:val="none" w:color="auto" w:sz="0" w:space="0"/>
            <w:bottom w:val="single" w:color="auto" w:sz="4" w:space="0"/>
            <w:right w:val="none" w:color="auto" w:sz="0" w:space="0"/>
            <w:insideH w:val="dashed" w:color="auto" w:sz="4" w:space="0"/>
            <w:insideV w:val="dashed" w:color="auto" w:sz="4" w:space="0"/>
          </w:tblBorders>
          <w:tblCellMar>
            <w:top w:w="0" w:type="dxa"/>
            <w:left w:w="108" w:type="dxa"/>
            <w:bottom w:w="0" w:type="dxa"/>
            <w:right w:w="108" w:type="dxa"/>
          </w:tblCellMar>
        </w:tblPrEx>
        <w:trPr>
          <w:trHeight w:val="539" w:hRule="atLeast"/>
        </w:trPr>
        <w:tc>
          <w:tcPr>
            <w:tcW w:w="5780" w:type="dxa"/>
            <w:gridSpan w:val="4"/>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变更后的项目可行性发生重大变化的情况说明</w:t>
            </w:r>
          </w:p>
        </w:tc>
        <w:tc>
          <w:tcPr>
            <w:tcW w:w="8280" w:type="dxa"/>
            <w:gridSpan w:val="7"/>
            <w:shd w:val="clear" w:color="auto" w:fill="auto"/>
            <w:vAlign w:val="center"/>
          </w:tcPr>
          <w:p>
            <w:pPr>
              <w:widowControl/>
              <w:rPr>
                <w:rFonts w:ascii="宋体" w:hAnsi="宋体" w:cs="宋体"/>
                <w:kern w:val="0"/>
                <w:sz w:val="18"/>
                <w:szCs w:val="18"/>
              </w:rPr>
            </w:pPr>
            <w:r>
              <w:rPr>
                <w:rFonts w:hint="eastAsia" w:ascii="宋体" w:hAnsi="宋体" w:cs="宋体"/>
                <w:kern w:val="0"/>
                <w:sz w:val="18"/>
                <w:szCs w:val="18"/>
              </w:rPr>
              <w:t>注3：“西洛他唑等上市化学仿制药的一致性评价项目”中的西洛他唑片、利奈唑胺葡萄糖注射液、注射用艾司奥美拉唑钠 3 个子研发项目，以及“利奈唑胺与沃诺拉赞的仿制项目”中的利奈唑胺片剂的仿制、沃诺拉赞片剂的仿制 2 个子研发项目发生变化。</w:t>
            </w:r>
          </w:p>
          <w:p>
            <w:pPr>
              <w:widowControl/>
              <w:rPr>
                <w:rFonts w:ascii="宋体" w:hAnsi="宋体" w:cs="宋体"/>
                <w:kern w:val="0"/>
                <w:sz w:val="18"/>
                <w:szCs w:val="18"/>
              </w:rPr>
            </w:pPr>
            <w:r>
              <w:rPr>
                <w:rFonts w:hint="eastAsia" w:ascii="宋体" w:hAnsi="宋体" w:cs="宋体"/>
                <w:kern w:val="0"/>
                <w:sz w:val="18"/>
                <w:szCs w:val="18"/>
              </w:rPr>
              <w:t xml:space="preserve">   上述研发项目主要是受政策法规、市场环境及项目进度的影响，其中拟变更西洛他唑片一致性评价是由于国家药监局（NMPA）公布的参比制剂已退市，公司无法获取参比制剂；拟变更利奈唑胺葡萄糖注射液一致性评价、注射用艾司奥美拉唑钠一致性评价、利奈唑胺片剂的仿制、沃诺拉赞片剂的仿制主要是由于上述产品同质化竞争严重，进入集中采购的可能性也比较大，而公司的研发进度又相对落后。因此，为提高募集资金使用效率、降低公司财务费用、避免增加投资损失，结合公司实际生产经营需要，本着维护全体股东利益的原则，经审慎研究论证后，公司决定终止上述研发项目，并将剩余的募集资金用于永久补充流动资金。剩余的募集资金 5,602 万元及利息收入永久补充流动资金， 用于公司日常经营活动，本次变更用途的募集资金金额占公司募集资金净额的 11.15%。 （具体公告详见公司于2021年4月28日在《中国证券报》、《上海证券报》及上海证券交易所网站上披露的相关公告。）</w:t>
            </w:r>
          </w:p>
          <w:p>
            <w:pPr>
              <w:widowControl/>
              <w:ind w:firstLine="360" w:firstLineChars="200"/>
              <w:rPr>
                <w:rFonts w:ascii="宋体" w:hAnsi="宋体" w:cs="宋体"/>
                <w:kern w:val="0"/>
                <w:sz w:val="18"/>
                <w:szCs w:val="18"/>
              </w:rPr>
            </w:pPr>
            <w:r>
              <w:rPr>
                <w:rFonts w:hint="eastAsia" w:ascii="宋体" w:hAnsi="宋体" w:cs="宋体"/>
                <w:kern w:val="0"/>
                <w:sz w:val="18"/>
                <w:szCs w:val="18"/>
              </w:rPr>
              <w:t>2021年5月24日，公司从募集资金账户转入一般账户5,602.00万元，其中“西洛他唑等上市化学仿制药的一致性评价项目”中的西洛他唑片、利奈唑胺葡萄糖注射液、注射用艾司奥美拉唑钠 3 个子研发项目涉及金额为2,771.00万元，“利奈唑胺与沃诺拉赞的仿制项目”中的利奈唑胺片剂的仿制、沃诺拉赞片剂的仿制 2 个子研发项目涉及金额为2,831.00万元。</w:t>
            </w:r>
          </w:p>
        </w:tc>
      </w:tr>
    </w:tbl>
    <w:p>
      <w:pPr>
        <w:spacing w:line="360" w:lineRule="auto"/>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Arial Narrow">
    <w:panose1 w:val="020B0606020202030204"/>
    <w:charset w:val="00"/>
    <w:family w:val="swiss"/>
    <w:pitch w:val="default"/>
    <w:sig w:usb0="00000287" w:usb1="00000800" w:usb2="00000000" w:usb3="00000000" w:csb0="2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NjFmNzExYjIxOGZkYmIzZDZjMzU4MDM2MDNkODEifQ=="/>
  </w:docVars>
  <w:rsids>
    <w:rsidRoot w:val="00A71BE1"/>
    <w:rsid w:val="0000038C"/>
    <w:rsid w:val="000026E6"/>
    <w:rsid w:val="000052DC"/>
    <w:rsid w:val="0001153F"/>
    <w:rsid w:val="00015559"/>
    <w:rsid w:val="0003171D"/>
    <w:rsid w:val="00034EAF"/>
    <w:rsid w:val="000377FA"/>
    <w:rsid w:val="00037B42"/>
    <w:rsid w:val="000514F9"/>
    <w:rsid w:val="00055DC4"/>
    <w:rsid w:val="0006039B"/>
    <w:rsid w:val="0007113B"/>
    <w:rsid w:val="00077985"/>
    <w:rsid w:val="00095701"/>
    <w:rsid w:val="000972A4"/>
    <w:rsid w:val="000B0F9D"/>
    <w:rsid w:val="000B3BC8"/>
    <w:rsid w:val="000C1EBF"/>
    <w:rsid w:val="000C5038"/>
    <w:rsid w:val="000D2DCA"/>
    <w:rsid w:val="000D5160"/>
    <w:rsid w:val="000D59A8"/>
    <w:rsid w:val="000E2525"/>
    <w:rsid w:val="000E39CC"/>
    <w:rsid w:val="000E5928"/>
    <w:rsid w:val="000E7F53"/>
    <w:rsid w:val="000F3A78"/>
    <w:rsid w:val="001044FC"/>
    <w:rsid w:val="00115DE0"/>
    <w:rsid w:val="00125BE8"/>
    <w:rsid w:val="00125EB5"/>
    <w:rsid w:val="00127ECC"/>
    <w:rsid w:val="001302DF"/>
    <w:rsid w:val="00141A30"/>
    <w:rsid w:val="0014235B"/>
    <w:rsid w:val="001433F4"/>
    <w:rsid w:val="001449C0"/>
    <w:rsid w:val="00151157"/>
    <w:rsid w:val="001625DA"/>
    <w:rsid w:val="00163205"/>
    <w:rsid w:val="00164FAA"/>
    <w:rsid w:val="00167B35"/>
    <w:rsid w:val="00173650"/>
    <w:rsid w:val="001741A0"/>
    <w:rsid w:val="00177C3B"/>
    <w:rsid w:val="00184711"/>
    <w:rsid w:val="00190F6C"/>
    <w:rsid w:val="00194544"/>
    <w:rsid w:val="001947CB"/>
    <w:rsid w:val="001A6F91"/>
    <w:rsid w:val="001B2A0E"/>
    <w:rsid w:val="001C16DA"/>
    <w:rsid w:val="001C73AC"/>
    <w:rsid w:val="001D0721"/>
    <w:rsid w:val="001D198B"/>
    <w:rsid w:val="001E0DDC"/>
    <w:rsid w:val="001E1918"/>
    <w:rsid w:val="001E39C4"/>
    <w:rsid w:val="001E49FF"/>
    <w:rsid w:val="001E57CA"/>
    <w:rsid w:val="001F698F"/>
    <w:rsid w:val="00201E57"/>
    <w:rsid w:val="00204DB0"/>
    <w:rsid w:val="002101B8"/>
    <w:rsid w:val="002127B8"/>
    <w:rsid w:val="00216C8B"/>
    <w:rsid w:val="00217521"/>
    <w:rsid w:val="00227A64"/>
    <w:rsid w:val="002343EA"/>
    <w:rsid w:val="00235325"/>
    <w:rsid w:val="002442A3"/>
    <w:rsid w:val="00251C73"/>
    <w:rsid w:val="00252380"/>
    <w:rsid w:val="002554B0"/>
    <w:rsid w:val="00256018"/>
    <w:rsid w:val="002561CC"/>
    <w:rsid w:val="0025726D"/>
    <w:rsid w:val="0025795B"/>
    <w:rsid w:val="00266464"/>
    <w:rsid w:val="00270486"/>
    <w:rsid w:val="0027220C"/>
    <w:rsid w:val="0027295C"/>
    <w:rsid w:val="00276B63"/>
    <w:rsid w:val="002808AB"/>
    <w:rsid w:val="00284CD2"/>
    <w:rsid w:val="00285AE5"/>
    <w:rsid w:val="00297F43"/>
    <w:rsid w:val="002A1B60"/>
    <w:rsid w:val="002B5713"/>
    <w:rsid w:val="002B7CCB"/>
    <w:rsid w:val="002C43B8"/>
    <w:rsid w:val="002C71E7"/>
    <w:rsid w:val="002D2369"/>
    <w:rsid w:val="002D348C"/>
    <w:rsid w:val="002D4C8C"/>
    <w:rsid w:val="002F4242"/>
    <w:rsid w:val="002F64AF"/>
    <w:rsid w:val="002F74DC"/>
    <w:rsid w:val="00310502"/>
    <w:rsid w:val="00322CB8"/>
    <w:rsid w:val="00324EB8"/>
    <w:rsid w:val="003307ED"/>
    <w:rsid w:val="003334F6"/>
    <w:rsid w:val="0033444E"/>
    <w:rsid w:val="003402E8"/>
    <w:rsid w:val="00342CB6"/>
    <w:rsid w:val="0035286E"/>
    <w:rsid w:val="00353BA1"/>
    <w:rsid w:val="0035576C"/>
    <w:rsid w:val="00360937"/>
    <w:rsid w:val="00361463"/>
    <w:rsid w:val="00363847"/>
    <w:rsid w:val="003702AD"/>
    <w:rsid w:val="0037324C"/>
    <w:rsid w:val="00373349"/>
    <w:rsid w:val="0038210C"/>
    <w:rsid w:val="003870CC"/>
    <w:rsid w:val="003A1590"/>
    <w:rsid w:val="003A63F8"/>
    <w:rsid w:val="003B1D84"/>
    <w:rsid w:val="003B5345"/>
    <w:rsid w:val="003C607D"/>
    <w:rsid w:val="003C7A7E"/>
    <w:rsid w:val="003D0C3B"/>
    <w:rsid w:val="003D1CB6"/>
    <w:rsid w:val="003D3FFF"/>
    <w:rsid w:val="003D6B86"/>
    <w:rsid w:val="003D798A"/>
    <w:rsid w:val="003E2FD2"/>
    <w:rsid w:val="003E355B"/>
    <w:rsid w:val="003E6992"/>
    <w:rsid w:val="003F13AA"/>
    <w:rsid w:val="003F4088"/>
    <w:rsid w:val="003F5DA1"/>
    <w:rsid w:val="00417107"/>
    <w:rsid w:val="0041720E"/>
    <w:rsid w:val="00423495"/>
    <w:rsid w:val="0042410C"/>
    <w:rsid w:val="00425125"/>
    <w:rsid w:val="00425611"/>
    <w:rsid w:val="0042644B"/>
    <w:rsid w:val="004374BE"/>
    <w:rsid w:val="00444265"/>
    <w:rsid w:val="004502F4"/>
    <w:rsid w:val="004667F2"/>
    <w:rsid w:val="00475AC0"/>
    <w:rsid w:val="00493831"/>
    <w:rsid w:val="004958E0"/>
    <w:rsid w:val="00496E8A"/>
    <w:rsid w:val="004A41EF"/>
    <w:rsid w:val="004A44DF"/>
    <w:rsid w:val="004A700E"/>
    <w:rsid w:val="004B68A5"/>
    <w:rsid w:val="004B70B1"/>
    <w:rsid w:val="004B7E3E"/>
    <w:rsid w:val="004C0C76"/>
    <w:rsid w:val="004C27B9"/>
    <w:rsid w:val="004C3A3E"/>
    <w:rsid w:val="004C3DB4"/>
    <w:rsid w:val="004D2BA0"/>
    <w:rsid w:val="004D3489"/>
    <w:rsid w:val="004E363D"/>
    <w:rsid w:val="004F1ED6"/>
    <w:rsid w:val="004F1F15"/>
    <w:rsid w:val="004F65E5"/>
    <w:rsid w:val="005008E5"/>
    <w:rsid w:val="005014D1"/>
    <w:rsid w:val="00511CC2"/>
    <w:rsid w:val="00517C61"/>
    <w:rsid w:val="005216F4"/>
    <w:rsid w:val="00533D0F"/>
    <w:rsid w:val="0054211F"/>
    <w:rsid w:val="00542DA0"/>
    <w:rsid w:val="0054311D"/>
    <w:rsid w:val="00543C62"/>
    <w:rsid w:val="00543E11"/>
    <w:rsid w:val="005477DA"/>
    <w:rsid w:val="005526B0"/>
    <w:rsid w:val="005542A7"/>
    <w:rsid w:val="00555131"/>
    <w:rsid w:val="00557690"/>
    <w:rsid w:val="0056668D"/>
    <w:rsid w:val="005709EB"/>
    <w:rsid w:val="005712CB"/>
    <w:rsid w:val="005737FA"/>
    <w:rsid w:val="00577CBB"/>
    <w:rsid w:val="00580E39"/>
    <w:rsid w:val="00582889"/>
    <w:rsid w:val="00591636"/>
    <w:rsid w:val="00591C2B"/>
    <w:rsid w:val="005B31BE"/>
    <w:rsid w:val="005B442C"/>
    <w:rsid w:val="005B4F18"/>
    <w:rsid w:val="005C183C"/>
    <w:rsid w:val="005C21F0"/>
    <w:rsid w:val="005C3668"/>
    <w:rsid w:val="005D417A"/>
    <w:rsid w:val="005D4ACB"/>
    <w:rsid w:val="005D5EDA"/>
    <w:rsid w:val="005E4AFF"/>
    <w:rsid w:val="005F0AEF"/>
    <w:rsid w:val="00606509"/>
    <w:rsid w:val="00615D49"/>
    <w:rsid w:val="006216B9"/>
    <w:rsid w:val="00623CA7"/>
    <w:rsid w:val="006412D7"/>
    <w:rsid w:val="006446F0"/>
    <w:rsid w:val="00645C77"/>
    <w:rsid w:val="00647683"/>
    <w:rsid w:val="00647A28"/>
    <w:rsid w:val="006530C7"/>
    <w:rsid w:val="00654C80"/>
    <w:rsid w:val="00662769"/>
    <w:rsid w:val="00663516"/>
    <w:rsid w:val="0067327D"/>
    <w:rsid w:val="00682D83"/>
    <w:rsid w:val="00683AED"/>
    <w:rsid w:val="0069424B"/>
    <w:rsid w:val="00695D72"/>
    <w:rsid w:val="00697F78"/>
    <w:rsid w:val="006A4EA1"/>
    <w:rsid w:val="006B29CA"/>
    <w:rsid w:val="006B2B65"/>
    <w:rsid w:val="006B7491"/>
    <w:rsid w:val="006C1D25"/>
    <w:rsid w:val="006E12CC"/>
    <w:rsid w:val="006E1873"/>
    <w:rsid w:val="0070006A"/>
    <w:rsid w:val="007001F0"/>
    <w:rsid w:val="007014FC"/>
    <w:rsid w:val="00712B2A"/>
    <w:rsid w:val="007230C3"/>
    <w:rsid w:val="0075060C"/>
    <w:rsid w:val="007564B5"/>
    <w:rsid w:val="0076676A"/>
    <w:rsid w:val="00766EEB"/>
    <w:rsid w:val="00772515"/>
    <w:rsid w:val="00772A33"/>
    <w:rsid w:val="00772E4B"/>
    <w:rsid w:val="0078609E"/>
    <w:rsid w:val="007906CC"/>
    <w:rsid w:val="007918EE"/>
    <w:rsid w:val="007A1575"/>
    <w:rsid w:val="007B73C3"/>
    <w:rsid w:val="007C2598"/>
    <w:rsid w:val="007C79A9"/>
    <w:rsid w:val="007C7BAF"/>
    <w:rsid w:val="007E27D9"/>
    <w:rsid w:val="007E3476"/>
    <w:rsid w:val="007F596F"/>
    <w:rsid w:val="00802A0A"/>
    <w:rsid w:val="00822766"/>
    <w:rsid w:val="00824AB0"/>
    <w:rsid w:val="008270A7"/>
    <w:rsid w:val="008378DC"/>
    <w:rsid w:val="00837AFB"/>
    <w:rsid w:val="008412C9"/>
    <w:rsid w:val="00841584"/>
    <w:rsid w:val="008448FE"/>
    <w:rsid w:val="008839ED"/>
    <w:rsid w:val="00887DA0"/>
    <w:rsid w:val="008921C2"/>
    <w:rsid w:val="008931B1"/>
    <w:rsid w:val="00893296"/>
    <w:rsid w:val="008935D4"/>
    <w:rsid w:val="00895E43"/>
    <w:rsid w:val="008A72B1"/>
    <w:rsid w:val="008B3703"/>
    <w:rsid w:val="008B3DD4"/>
    <w:rsid w:val="008B43ED"/>
    <w:rsid w:val="008B4735"/>
    <w:rsid w:val="008C0E07"/>
    <w:rsid w:val="008C4A5A"/>
    <w:rsid w:val="008E325B"/>
    <w:rsid w:val="008E57CC"/>
    <w:rsid w:val="008F5155"/>
    <w:rsid w:val="008F6AB5"/>
    <w:rsid w:val="0090039B"/>
    <w:rsid w:val="009005B2"/>
    <w:rsid w:val="00907163"/>
    <w:rsid w:val="00933FA5"/>
    <w:rsid w:val="00934104"/>
    <w:rsid w:val="00935F0C"/>
    <w:rsid w:val="0094672C"/>
    <w:rsid w:val="00953697"/>
    <w:rsid w:val="00955A3F"/>
    <w:rsid w:val="00960430"/>
    <w:rsid w:val="00963B12"/>
    <w:rsid w:val="00967AA4"/>
    <w:rsid w:val="00972218"/>
    <w:rsid w:val="009841CB"/>
    <w:rsid w:val="009901EB"/>
    <w:rsid w:val="00995DC5"/>
    <w:rsid w:val="009A34AB"/>
    <w:rsid w:val="009D06B6"/>
    <w:rsid w:val="009D55F1"/>
    <w:rsid w:val="009E1FA0"/>
    <w:rsid w:val="009E3014"/>
    <w:rsid w:val="009F0BB3"/>
    <w:rsid w:val="00A0516D"/>
    <w:rsid w:val="00A05A16"/>
    <w:rsid w:val="00A06832"/>
    <w:rsid w:val="00A1341B"/>
    <w:rsid w:val="00A13AC5"/>
    <w:rsid w:val="00A1423D"/>
    <w:rsid w:val="00A169FD"/>
    <w:rsid w:val="00A204FB"/>
    <w:rsid w:val="00A205C1"/>
    <w:rsid w:val="00A206E4"/>
    <w:rsid w:val="00A267F9"/>
    <w:rsid w:val="00A30E76"/>
    <w:rsid w:val="00A31603"/>
    <w:rsid w:val="00A34683"/>
    <w:rsid w:val="00A36051"/>
    <w:rsid w:val="00A37C3C"/>
    <w:rsid w:val="00A40E7B"/>
    <w:rsid w:val="00A42891"/>
    <w:rsid w:val="00A45EDB"/>
    <w:rsid w:val="00A47CDA"/>
    <w:rsid w:val="00A51FF0"/>
    <w:rsid w:val="00A71BE1"/>
    <w:rsid w:val="00A72475"/>
    <w:rsid w:val="00A842DF"/>
    <w:rsid w:val="00A950B9"/>
    <w:rsid w:val="00A973BC"/>
    <w:rsid w:val="00A97968"/>
    <w:rsid w:val="00AA10D4"/>
    <w:rsid w:val="00AA706B"/>
    <w:rsid w:val="00AB0CFB"/>
    <w:rsid w:val="00AB15F8"/>
    <w:rsid w:val="00AB2664"/>
    <w:rsid w:val="00AB53AC"/>
    <w:rsid w:val="00AB6C97"/>
    <w:rsid w:val="00AC11D0"/>
    <w:rsid w:val="00AC4D4F"/>
    <w:rsid w:val="00AC7ABF"/>
    <w:rsid w:val="00AD0003"/>
    <w:rsid w:val="00AD18D6"/>
    <w:rsid w:val="00AD7DEB"/>
    <w:rsid w:val="00AF3E20"/>
    <w:rsid w:val="00AF45BF"/>
    <w:rsid w:val="00AF476E"/>
    <w:rsid w:val="00B03668"/>
    <w:rsid w:val="00B07E79"/>
    <w:rsid w:val="00B10FF0"/>
    <w:rsid w:val="00B129EF"/>
    <w:rsid w:val="00B17AF8"/>
    <w:rsid w:val="00B27494"/>
    <w:rsid w:val="00B30195"/>
    <w:rsid w:val="00B31A8D"/>
    <w:rsid w:val="00B356DC"/>
    <w:rsid w:val="00B369BE"/>
    <w:rsid w:val="00B37311"/>
    <w:rsid w:val="00B40795"/>
    <w:rsid w:val="00B40E4D"/>
    <w:rsid w:val="00B52013"/>
    <w:rsid w:val="00B57C2F"/>
    <w:rsid w:val="00B70134"/>
    <w:rsid w:val="00B801C3"/>
    <w:rsid w:val="00B83EF8"/>
    <w:rsid w:val="00B87AB6"/>
    <w:rsid w:val="00B929E0"/>
    <w:rsid w:val="00BA1EF6"/>
    <w:rsid w:val="00BA46C7"/>
    <w:rsid w:val="00BB3DF2"/>
    <w:rsid w:val="00BB5C59"/>
    <w:rsid w:val="00BB5E17"/>
    <w:rsid w:val="00BB5F62"/>
    <w:rsid w:val="00BC7D27"/>
    <w:rsid w:val="00BD58E6"/>
    <w:rsid w:val="00BE0A0A"/>
    <w:rsid w:val="00BE0DD8"/>
    <w:rsid w:val="00BE33D6"/>
    <w:rsid w:val="00BE7989"/>
    <w:rsid w:val="00BF0DC1"/>
    <w:rsid w:val="00BF5380"/>
    <w:rsid w:val="00BF68F7"/>
    <w:rsid w:val="00C00261"/>
    <w:rsid w:val="00C01D90"/>
    <w:rsid w:val="00C1036D"/>
    <w:rsid w:val="00C14435"/>
    <w:rsid w:val="00C23E6D"/>
    <w:rsid w:val="00C24361"/>
    <w:rsid w:val="00C37A71"/>
    <w:rsid w:val="00C442D1"/>
    <w:rsid w:val="00C51C5F"/>
    <w:rsid w:val="00C51E1F"/>
    <w:rsid w:val="00C56DCF"/>
    <w:rsid w:val="00C62BAA"/>
    <w:rsid w:val="00C65924"/>
    <w:rsid w:val="00C66833"/>
    <w:rsid w:val="00C6792D"/>
    <w:rsid w:val="00C71DAA"/>
    <w:rsid w:val="00C71E6E"/>
    <w:rsid w:val="00C745A9"/>
    <w:rsid w:val="00C76B43"/>
    <w:rsid w:val="00C770B6"/>
    <w:rsid w:val="00C77455"/>
    <w:rsid w:val="00C77936"/>
    <w:rsid w:val="00C77C63"/>
    <w:rsid w:val="00C8490D"/>
    <w:rsid w:val="00C84E9B"/>
    <w:rsid w:val="00C875F5"/>
    <w:rsid w:val="00CA1004"/>
    <w:rsid w:val="00CA49A9"/>
    <w:rsid w:val="00CB2DCE"/>
    <w:rsid w:val="00CB2EF4"/>
    <w:rsid w:val="00CB42C2"/>
    <w:rsid w:val="00CC65AD"/>
    <w:rsid w:val="00CC7C0B"/>
    <w:rsid w:val="00CD2A4D"/>
    <w:rsid w:val="00CD5891"/>
    <w:rsid w:val="00CD607E"/>
    <w:rsid w:val="00CD6EAB"/>
    <w:rsid w:val="00CD7F62"/>
    <w:rsid w:val="00CE3B3D"/>
    <w:rsid w:val="00CE4D8A"/>
    <w:rsid w:val="00CF2676"/>
    <w:rsid w:val="00CF3A66"/>
    <w:rsid w:val="00CF42BE"/>
    <w:rsid w:val="00CF7E7A"/>
    <w:rsid w:val="00D0156B"/>
    <w:rsid w:val="00D01A7C"/>
    <w:rsid w:val="00D04CBB"/>
    <w:rsid w:val="00D05E2F"/>
    <w:rsid w:val="00D141A5"/>
    <w:rsid w:val="00D21B8D"/>
    <w:rsid w:val="00D24824"/>
    <w:rsid w:val="00D25042"/>
    <w:rsid w:val="00D26654"/>
    <w:rsid w:val="00D26D15"/>
    <w:rsid w:val="00D27E79"/>
    <w:rsid w:val="00D3212E"/>
    <w:rsid w:val="00D431AD"/>
    <w:rsid w:val="00D45281"/>
    <w:rsid w:val="00D53DC4"/>
    <w:rsid w:val="00D57603"/>
    <w:rsid w:val="00D601FE"/>
    <w:rsid w:val="00D6753A"/>
    <w:rsid w:val="00D7040A"/>
    <w:rsid w:val="00D71559"/>
    <w:rsid w:val="00D7374F"/>
    <w:rsid w:val="00D73864"/>
    <w:rsid w:val="00D77523"/>
    <w:rsid w:val="00D819D3"/>
    <w:rsid w:val="00D86A2F"/>
    <w:rsid w:val="00D909E7"/>
    <w:rsid w:val="00D90BC6"/>
    <w:rsid w:val="00D92B06"/>
    <w:rsid w:val="00D9452A"/>
    <w:rsid w:val="00DC0757"/>
    <w:rsid w:val="00DD409A"/>
    <w:rsid w:val="00DD4D91"/>
    <w:rsid w:val="00DD7281"/>
    <w:rsid w:val="00DE24B3"/>
    <w:rsid w:val="00DE3893"/>
    <w:rsid w:val="00DF08C9"/>
    <w:rsid w:val="00DF5EF9"/>
    <w:rsid w:val="00E003D0"/>
    <w:rsid w:val="00E004EE"/>
    <w:rsid w:val="00E025CD"/>
    <w:rsid w:val="00E05034"/>
    <w:rsid w:val="00E069F9"/>
    <w:rsid w:val="00E13F46"/>
    <w:rsid w:val="00E14AD6"/>
    <w:rsid w:val="00E15E53"/>
    <w:rsid w:val="00E16D3F"/>
    <w:rsid w:val="00E220DE"/>
    <w:rsid w:val="00E26F68"/>
    <w:rsid w:val="00E30EA1"/>
    <w:rsid w:val="00E31233"/>
    <w:rsid w:val="00E373CB"/>
    <w:rsid w:val="00E74755"/>
    <w:rsid w:val="00E74E4D"/>
    <w:rsid w:val="00E77D37"/>
    <w:rsid w:val="00E81D6C"/>
    <w:rsid w:val="00E821A0"/>
    <w:rsid w:val="00E90C0B"/>
    <w:rsid w:val="00E915EA"/>
    <w:rsid w:val="00E9529E"/>
    <w:rsid w:val="00E96761"/>
    <w:rsid w:val="00E97E93"/>
    <w:rsid w:val="00EA6444"/>
    <w:rsid w:val="00EB0FB2"/>
    <w:rsid w:val="00EB67A2"/>
    <w:rsid w:val="00EB7FBA"/>
    <w:rsid w:val="00EC1465"/>
    <w:rsid w:val="00ED4169"/>
    <w:rsid w:val="00ED4428"/>
    <w:rsid w:val="00ED6800"/>
    <w:rsid w:val="00EE1038"/>
    <w:rsid w:val="00EE1637"/>
    <w:rsid w:val="00EE2FF9"/>
    <w:rsid w:val="00EF2FAC"/>
    <w:rsid w:val="00EF67AA"/>
    <w:rsid w:val="00F01F07"/>
    <w:rsid w:val="00F03FA2"/>
    <w:rsid w:val="00F07A0E"/>
    <w:rsid w:val="00F10224"/>
    <w:rsid w:val="00F11687"/>
    <w:rsid w:val="00F13C59"/>
    <w:rsid w:val="00F161EE"/>
    <w:rsid w:val="00F168FB"/>
    <w:rsid w:val="00F1784C"/>
    <w:rsid w:val="00F21312"/>
    <w:rsid w:val="00F22E15"/>
    <w:rsid w:val="00F23D77"/>
    <w:rsid w:val="00F25681"/>
    <w:rsid w:val="00F3504C"/>
    <w:rsid w:val="00F41A60"/>
    <w:rsid w:val="00F41B3B"/>
    <w:rsid w:val="00F43502"/>
    <w:rsid w:val="00F63357"/>
    <w:rsid w:val="00F642E6"/>
    <w:rsid w:val="00F75621"/>
    <w:rsid w:val="00F75B8D"/>
    <w:rsid w:val="00F7601B"/>
    <w:rsid w:val="00F81130"/>
    <w:rsid w:val="00F82AEB"/>
    <w:rsid w:val="00F84401"/>
    <w:rsid w:val="00F92A30"/>
    <w:rsid w:val="00FA5496"/>
    <w:rsid w:val="00FA7E3D"/>
    <w:rsid w:val="00FB3375"/>
    <w:rsid w:val="00FB56C5"/>
    <w:rsid w:val="00FB79DD"/>
    <w:rsid w:val="00FC49C6"/>
    <w:rsid w:val="00FC55F2"/>
    <w:rsid w:val="00FD17D4"/>
    <w:rsid w:val="00FD212D"/>
    <w:rsid w:val="00FE4FBE"/>
    <w:rsid w:val="00FE57F0"/>
    <w:rsid w:val="00FE5ACA"/>
    <w:rsid w:val="00FF4417"/>
    <w:rsid w:val="011E1FE4"/>
    <w:rsid w:val="075A7AEE"/>
    <w:rsid w:val="23231726"/>
    <w:rsid w:val="23A203FB"/>
    <w:rsid w:val="33AB50A9"/>
    <w:rsid w:val="377E7503"/>
    <w:rsid w:val="3A4F1346"/>
    <w:rsid w:val="3C8A7F52"/>
    <w:rsid w:val="3F163D1F"/>
    <w:rsid w:val="46F35349"/>
    <w:rsid w:val="4A421E6C"/>
    <w:rsid w:val="513C13D7"/>
    <w:rsid w:val="6712451C"/>
    <w:rsid w:val="69D97BC4"/>
    <w:rsid w:val="702D2D59"/>
    <w:rsid w:val="73A40BF2"/>
    <w:rsid w:val="74F17E67"/>
    <w:rsid w:val="75C630A2"/>
    <w:rsid w:val="75F23B02"/>
    <w:rsid w:val="782D7408"/>
    <w:rsid w:val="7C776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10850</Words>
  <Characters>12540</Characters>
  <Lines>96</Lines>
  <Paragraphs>27</Paragraphs>
  <TotalTime>40</TotalTime>
  <ScaleCrop>false</ScaleCrop>
  <LinksUpToDate>false</LinksUpToDate>
  <CharactersWithSpaces>13068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2023-03-24T03:09:00Z</dcterms:created>
  <dc:creator>李锐</dc:creator>
  <cp:lastModifiedBy>王雅杰</cp:lastModifiedBy>
  <dcterms:modified xsi:type="dcterms:W3CDTF">2023-04-26T05:09:52Z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4750FE94F88041E883D3F9D0AC2C67DB</vt:lpwstr>
  </property>
</Properties>
</file>