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rFonts w:ascii="宋体" w:hAnsi="宋体" w:cs="Arial"/>
          <w:kern w:val="0"/>
          <w:sz w:val="24"/>
        </w:rPr>
      </w:pPr>
      <w:r>
        <w:rPr>
          <w:rFonts w:hint="eastAsia" w:ascii="宋体" w:hAnsi="宋体" w:cs="宋体"/>
          <w:kern w:val="0"/>
          <w:sz w:val="24"/>
        </w:rPr>
        <w:t>证券代码：</w:t>
      </w:r>
      <w:r>
        <w:rPr>
          <w:rFonts w:ascii="宋体" w:hAnsi="宋体" w:cs="Arial"/>
          <w:kern w:val="0"/>
          <w:sz w:val="24"/>
        </w:rPr>
        <w:t>600</w:t>
      </w:r>
      <w:r>
        <w:rPr>
          <w:rFonts w:hint="eastAsia" w:ascii="宋体" w:hAnsi="宋体" w:cs="Arial"/>
          <w:kern w:val="0"/>
          <w:sz w:val="24"/>
        </w:rPr>
        <w:t xml:space="preserve">200  </w:t>
      </w:r>
      <w:r>
        <w:rPr>
          <w:rFonts w:ascii="宋体" w:hAnsi="宋体" w:cs="Arial"/>
          <w:kern w:val="0"/>
          <w:sz w:val="24"/>
        </w:rPr>
        <w:t xml:space="preserve"> </w:t>
      </w:r>
      <w:r>
        <w:rPr>
          <w:rFonts w:hint="eastAsia" w:ascii="宋体" w:hAnsi="宋体" w:cs="Arial"/>
          <w:kern w:val="0"/>
          <w:sz w:val="24"/>
        </w:rPr>
        <w:t xml:space="preserve">      </w:t>
      </w:r>
      <w:r>
        <w:rPr>
          <w:rFonts w:hint="eastAsia" w:ascii="宋体" w:hAnsi="宋体" w:cs="宋体"/>
          <w:kern w:val="0"/>
          <w:sz w:val="24"/>
        </w:rPr>
        <w:t>证券简称：江苏吴中</w:t>
      </w:r>
      <w:r>
        <w:rPr>
          <w:rFonts w:ascii="宋体" w:hAnsi="宋体" w:cs="宋体"/>
          <w:kern w:val="0"/>
          <w:sz w:val="24"/>
        </w:rPr>
        <w:t xml:space="preserve"> </w:t>
      </w:r>
      <w:r>
        <w:rPr>
          <w:rFonts w:hint="eastAsia" w:ascii="宋体" w:hAnsi="宋体" w:cs="宋体"/>
          <w:kern w:val="0"/>
          <w:sz w:val="24"/>
        </w:rPr>
        <w:t xml:space="preserve">      </w:t>
      </w:r>
      <w:r>
        <w:rPr>
          <w:rFonts w:hint="eastAsia" w:ascii="宋体" w:hAnsi="宋体" w:cs="Arial"/>
          <w:kern w:val="0"/>
          <w:sz w:val="24"/>
        </w:rPr>
        <w:t>公告编号：临2023-073</w:t>
      </w:r>
    </w:p>
    <w:p>
      <w:pPr>
        <w:autoSpaceDE w:val="0"/>
        <w:autoSpaceDN w:val="0"/>
        <w:adjustRightInd w:val="0"/>
        <w:spacing w:line="360" w:lineRule="auto"/>
        <w:jc w:val="center"/>
        <w:rPr>
          <w:rFonts w:ascii="黑体" w:hAnsi="宋体" w:eastAsia="黑体" w:cs="黑体"/>
          <w:kern w:val="0"/>
          <w:sz w:val="30"/>
          <w:szCs w:val="30"/>
        </w:rPr>
      </w:pPr>
    </w:p>
    <w:p>
      <w:pPr>
        <w:spacing w:line="360" w:lineRule="auto"/>
        <w:jc w:val="center"/>
        <w:rPr>
          <w:rFonts w:ascii="黑体" w:hAnsi="宋体" w:eastAsia="黑体"/>
          <w:b/>
          <w:bCs/>
          <w:color w:val="FF0000"/>
          <w:sz w:val="32"/>
          <w:szCs w:val="32"/>
        </w:rPr>
      </w:pPr>
      <w:r>
        <w:rPr>
          <w:rFonts w:hint="eastAsia" w:ascii="黑体" w:hAnsi="宋体" w:eastAsia="黑体"/>
          <w:b/>
          <w:bCs/>
          <w:color w:val="FF0000"/>
          <w:sz w:val="32"/>
          <w:szCs w:val="32"/>
        </w:rPr>
        <w:t>江苏吴中医药发展股份有限公司</w:t>
      </w:r>
    </w:p>
    <w:p>
      <w:pPr>
        <w:spacing w:line="360" w:lineRule="auto"/>
        <w:jc w:val="center"/>
        <w:rPr>
          <w:rFonts w:ascii="黑体" w:hAnsi="宋体" w:eastAsia="黑体"/>
          <w:b/>
          <w:bCs/>
          <w:color w:val="FF0000"/>
          <w:sz w:val="32"/>
          <w:szCs w:val="32"/>
        </w:rPr>
      </w:pPr>
      <w:r>
        <w:rPr>
          <w:rFonts w:hint="eastAsia" w:ascii="黑体" w:hAnsi="宋体" w:eastAsia="黑体"/>
          <w:b/>
          <w:bCs/>
          <w:color w:val="FF0000"/>
          <w:sz w:val="32"/>
          <w:szCs w:val="32"/>
        </w:rPr>
        <w:t>股票交易异常波动公告</w:t>
      </w:r>
    </w:p>
    <w:p>
      <w:pPr>
        <w:autoSpaceDE w:val="0"/>
        <w:autoSpaceDN w:val="0"/>
        <w:adjustRightInd w:val="0"/>
        <w:spacing w:line="360" w:lineRule="auto"/>
        <w:ind w:firstLine="482" w:firstLineChars="200"/>
        <w:rPr>
          <w:rFonts w:hint="eastAsia" w:ascii="ˎ̥" w:hAnsi="ˎ̥"/>
          <w:b/>
          <w:color w:val="000000"/>
          <w:sz w:val="24"/>
        </w:rPr>
      </w:pPr>
    </w:p>
    <w:p>
      <w:pPr>
        <w:autoSpaceDE w:val="0"/>
        <w:autoSpaceDN w:val="0"/>
        <w:adjustRightInd w:val="0"/>
        <w:spacing w:line="360" w:lineRule="auto"/>
        <w:ind w:firstLine="482" w:firstLineChars="200"/>
        <w:rPr>
          <w:rFonts w:hint="eastAsia" w:ascii="ˎ̥" w:hAnsi="ˎ̥"/>
          <w:b/>
          <w:color w:val="000000"/>
          <w:sz w:val="24"/>
        </w:rPr>
      </w:pPr>
      <w:r>
        <w:rPr>
          <w:rFonts w:hint="eastAsia" w:ascii="ˎ̥" w:hAnsi="ˎ̥"/>
          <w:b/>
          <w:color w:val="000000"/>
          <w:sz w:val="24"/>
        </w:rPr>
        <w:t>本公司董事会及全体董事保证本公告内容不存在任何虚假记载、误导性陈述或者重大遗漏，并对其内容的真实性、准确性和完整性承担法律责任。</w:t>
      </w:r>
    </w:p>
    <w:p>
      <w:pPr>
        <w:autoSpaceDE w:val="0"/>
        <w:autoSpaceDN w:val="0"/>
        <w:adjustRightInd w:val="0"/>
        <w:spacing w:line="360" w:lineRule="auto"/>
        <w:ind w:firstLine="480" w:firstLineChars="200"/>
        <w:rPr>
          <w:rFonts w:hint="eastAsia" w:ascii="ˎ̥" w:hAnsi="ˎ̥"/>
          <w:color w:val="000000"/>
          <w:sz w:val="24"/>
        </w:rPr>
      </w:pPr>
    </w:p>
    <w:p>
      <w:pPr>
        <w:widowControl/>
        <w:spacing w:line="360" w:lineRule="auto"/>
        <w:jc w:val="left"/>
        <w:rPr>
          <w:rFonts w:ascii="宋体" w:hAnsi="宋体" w:cs="宋体"/>
          <w:b/>
          <w:color w:val="000000"/>
          <w:kern w:val="0"/>
          <w:sz w:val="24"/>
        </w:rPr>
      </w:pPr>
      <w:r>
        <w:rPr>
          <w:rFonts w:hint="eastAsia" w:ascii="宋体" w:hAnsi="宋体" w:cs="宋体"/>
          <w:b/>
          <w:color w:val="000000"/>
          <w:kern w:val="0"/>
          <w:sz w:val="24"/>
        </w:rPr>
        <w:t>重要内容提示：</w:t>
      </w:r>
    </w:p>
    <w:p>
      <w:pPr>
        <w:pStyle w:val="9"/>
        <w:widowControl/>
        <w:numPr>
          <w:ilvl w:val="0"/>
          <w:numId w:val="1"/>
        </w:numPr>
        <w:spacing w:line="360" w:lineRule="auto"/>
        <w:ind w:firstLineChars="0"/>
        <w:jc w:val="left"/>
        <w:rPr>
          <w:rFonts w:ascii="宋体" w:hAnsi="宋体" w:cs="宋体"/>
          <w:color w:val="000000"/>
          <w:kern w:val="0"/>
          <w:sz w:val="24"/>
        </w:rPr>
      </w:pPr>
      <w:r>
        <w:rPr>
          <w:rFonts w:hint="eastAsia" w:ascii="宋体" w:hAnsi="宋体" w:cs="宋体"/>
          <w:color w:val="000000"/>
          <w:kern w:val="0"/>
          <w:sz w:val="24"/>
        </w:rPr>
        <w:t>江苏吴中医药发展股份有限公司（以下简称“公司”）股票于2023年10月27日、30日、31日连续三个交易日内收盘价格涨幅偏离值累计超过20%，根据《上海证券交易所交易规则》的有关规定，属于股票交易异常波动的情形。</w:t>
      </w:r>
    </w:p>
    <w:p>
      <w:pPr>
        <w:pStyle w:val="9"/>
        <w:widowControl/>
        <w:numPr>
          <w:ilvl w:val="0"/>
          <w:numId w:val="1"/>
        </w:numPr>
        <w:spacing w:line="360" w:lineRule="auto"/>
        <w:ind w:firstLineChars="0"/>
        <w:jc w:val="left"/>
        <w:rPr>
          <w:rFonts w:ascii="宋体" w:hAnsi="宋体" w:cs="宋体"/>
          <w:color w:val="000000"/>
          <w:kern w:val="0"/>
          <w:sz w:val="24"/>
        </w:rPr>
      </w:pPr>
      <w:r>
        <w:rPr>
          <w:rFonts w:hint="eastAsia" w:ascii="宋体" w:hAnsi="宋体" w:cs="宋体"/>
          <w:color w:val="000000"/>
          <w:kern w:val="0"/>
          <w:sz w:val="24"/>
        </w:rPr>
        <w:t>经公司自查并向公司控股股东及实际控制人核实，截至本公告披露日，除本公司已披露事项外，不存在应披露而未披露的重大信息。</w:t>
      </w:r>
    </w:p>
    <w:p>
      <w:pPr>
        <w:pStyle w:val="9"/>
        <w:widowControl/>
        <w:numPr>
          <w:ilvl w:val="0"/>
          <w:numId w:val="1"/>
        </w:numPr>
        <w:spacing w:line="360" w:lineRule="auto"/>
        <w:ind w:firstLineChars="0"/>
        <w:jc w:val="left"/>
        <w:rPr>
          <w:rFonts w:ascii="宋体" w:hAnsi="宋体" w:cs="宋体"/>
          <w:color w:val="000000"/>
          <w:kern w:val="0"/>
          <w:sz w:val="24"/>
        </w:rPr>
      </w:pPr>
      <w:r>
        <w:rPr>
          <w:rFonts w:hint="eastAsia" w:ascii="宋体" w:hAnsi="宋体" w:cs="宋体"/>
          <w:color w:val="000000"/>
          <w:kern w:val="0"/>
          <w:sz w:val="24"/>
        </w:rPr>
        <w:t>公司特别提醒投资者，公司生产经营未发生重大变化，敬请投资者注意投资风险，理性决策，审慎投资。</w:t>
      </w:r>
    </w:p>
    <w:p>
      <w:pPr>
        <w:widowControl/>
        <w:spacing w:line="360" w:lineRule="auto"/>
        <w:jc w:val="left"/>
        <w:rPr>
          <w:rFonts w:cs="宋体" w:asciiTheme="minorEastAsia" w:hAnsiTheme="minorEastAsia" w:eastAsiaTheme="minorEastAsia"/>
          <w:b/>
          <w:color w:val="000000"/>
          <w:kern w:val="0"/>
          <w:sz w:val="24"/>
        </w:rPr>
      </w:pPr>
    </w:p>
    <w:p>
      <w:pPr>
        <w:widowControl/>
        <w:spacing w:line="360" w:lineRule="auto"/>
        <w:ind w:firstLine="480"/>
        <w:jc w:val="left"/>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一、股票交易异常波动的具体情况</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公司股票于2023年10月27日、30日、31日连续三个交易日内收盘价格涨幅偏离值累计超过20%，根据《上海证券交易所交易规则》的有关规定，属于股票交易异常波动的情形。</w:t>
      </w:r>
    </w:p>
    <w:p>
      <w:pPr>
        <w:spacing w:line="360" w:lineRule="auto"/>
        <w:ind w:firstLine="482" w:firstLineChars="200"/>
        <w:rPr>
          <w:rFonts w:hint="eastAsia" w:asciiTheme="minorEastAsia" w:hAnsiTheme="minorEastAsia" w:eastAsiaTheme="minorEastAsia"/>
          <w:b/>
          <w:sz w:val="24"/>
        </w:rPr>
      </w:pP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二、公司关注并核实的相关情况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（一）生产经营情况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经公司自查，目前公司经营状况正常，日常经营情况及外部环境不存在重大变化。</w:t>
      </w:r>
    </w:p>
    <w:p>
      <w:pPr>
        <w:numPr>
          <w:ilvl w:val="0"/>
          <w:numId w:val="2"/>
        </w:num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重大事项情况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经公司自查，并向公司控股股东书面征询核实：不存在关于公司的应披露而未披露的重大事项，包括但不限于重大资产重组、股份发行、收购、债务重组、业务重组、资产剥离、资产注入、股份回购、股权激励、重大业务合作、引进战略投资者等重大事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（三）媒体报道、市场传闻、热点概念情况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未发现需要澄清或回应的媒体报道或市场传闻；未发现其他可能对公司股价产生较大影响的重大事件。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（四）其他股价敏感信息</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经公司核实，未发现公司控股股东及其一致行动人、董事、监事、高级管理人员买卖公司股票的情况。</w:t>
      </w:r>
    </w:p>
    <w:p>
      <w:pPr>
        <w:spacing w:line="360" w:lineRule="auto"/>
        <w:ind w:firstLine="482" w:firstLineChars="200"/>
        <w:rPr>
          <w:rFonts w:hint="eastAsia" w:asciiTheme="minorEastAsia" w:hAnsiTheme="minorEastAsia" w:eastAsiaTheme="minorEastAsia"/>
          <w:b/>
          <w:sz w:val="24"/>
        </w:rPr>
      </w:pP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三、相关风险提示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（一）二级市场交易风险</w:t>
      </w:r>
    </w:p>
    <w:p>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公司股票于2023年10月27日、30日、31日连续三个交易日内收盘价格涨幅偏离值累计超过20%，股价剔除大盘和板块整体因素后的实际波动幅度较大。敬请广大投资者注意二级市场交易风险，理性决策，审慎投资。</w:t>
      </w:r>
    </w:p>
    <w:p>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（二）业绩变化风险</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2023年10月31日，公司披露了《2023年第三季度报告》，2023年前三季度，公司实现营业收入</w:t>
      </w:r>
      <w:r>
        <w:rPr>
          <w:rFonts w:ascii="宋体" w:hAnsi="宋体" w:cs="宋体"/>
          <w:color w:val="000000"/>
          <w:kern w:val="0"/>
          <w:sz w:val="24"/>
        </w:rPr>
        <w:t>1,503,350,988.42</w:t>
      </w:r>
      <w:r>
        <w:rPr>
          <w:rFonts w:hint="eastAsia" w:ascii="宋体" w:hAnsi="宋体" w:cs="宋体"/>
          <w:color w:val="000000"/>
          <w:kern w:val="0"/>
          <w:sz w:val="24"/>
        </w:rPr>
        <w:t>元。同比增长8.91%，归属于上市公司股东的净利润为</w:t>
      </w:r>
      <w:r>
        <w:rPr>
          <w:rFonts w:ascii="宋体" w:hAnsi="宋体" w:cs="宋体"/>
          <w:color w:val="000000"/>
          <w:kern w:val="0"/>
          <w:sz w:val="24"/>
        </w:rPr>
        <w:t>10,954,011.07</w:t>
      </w:r>
      <w:r>
        <w:rPr>
          <w:rFonts w:hint="eastAsia" w:ascii="宋体" w:hAnsi="宋体" w:cs="宋体"/>
          <w:color w:val="000000"/>
          <w:kern w:val="0"/>
          <w:sz w:val="24"/>
        </w:rPr>
        <w:t>元，归属于上市公司股东的扣除非经常性损益的净利润为</w:t>
      </w:r>
      <w:r>
        <w:rPr>
          <w:rFonts w:ascii="宋体" w:hAnsi="宋体" w:cs="宋体"/>
          <w:color w:val="000000"/>
          <w:kern w:val="0"/>
          <w:sz w:val="24"/>
        </w:rPr>
        <w:t>-14,461,708.96</w:t>
      </w:r>
      <w:r>
        <w:rPr>
          <w:rFonts w:hint="eastAsia" w:ascii="宋体" w:hAnsi="宋体" w:cs="宋体"/>
          <w:color w:val="000000"/>
          <w:kern w:val="0"/>
          <w:sz w:val="24"/>
        </w:rPr>
        <w:t>元。其中2023年第三季度，公司实现营业收入</w:t>
      </w:r>
      <w:r>
        <w:rPr>
          <w:rFonts w:ascii="宋体" w:hAnsi="宋体" w:cs="宋体"/>
          <w:color w:val="000000"/>
          <w:kern w:val="0"/>
          <w:sz w:val="24"/>
        </w:rPr>
        <w:t>402,718,591.79</w:t>
      </w:r>
      <w:r>
        <w:rPr>
          <w:rFonts w:hint="eastAsia" w:ascii="宋体" w:hAnsi="宋体" w:cs="宋体"/>
          <w:color w:val="000000"/>
          <w:kern w:val="0"/>
          <w:sz w:val="24"/>
        </w:rPr>
        <w:t>元，同比下降32.23%，归属于上市公司股东的净利润为</w:t>
      </w:r>
      <w:r>
        <w:rPr>
          <w:rFonts w:ascii="宋体" w:hAnsi="宋体" w:cs="宋体"/>
          <w:color w:val="000000"/>
          <w:kern w:val="0"/>
          <w:sz w:val="24"/>
        </w:rPr>
        <w:t>-16,446,638.16</w:t>
      </w:r>
      <w:r>
        <w:rPr>
          <w:rFonts w:hint="eastAsia" w:ascii="宋体" w:hAnsi="宋体" w:cs="宋体"/>
          <w:color w:val="000000"/>
          <w:kern w:val="0"/>
          <w:sz w:val="24"/>
        </w:rPr>
        <w:t>元，归属于上市公司股东的扣除非经常性损益的净利润为</w:t>
      </w:r>
      <w:r>
        <w:rPr>
          <w:rFonts w:ascii="宋体" w:hAnsi="宋体" w:cs="宋体"/>
          <w:color w:val="000000"/>
          <w:kern w:val="0"/>
          <w:sz w:val="24"/>
        </w:rPr>
        <w:t>-16,507,316.32</w:t>
      </w:r>
      <w:r>
        <w:rPr>
          <w:rFonts w:hint="eastAsia" w:ascii="宋体" w:hAnsi="宋体" w:cs="宋体"/>
          <w:color w:val="000000"/>
          <w:kern w:val="0"/>
          <w:sz w:val="24"/>
        </w:rPr>
        <w:t>元。公司经营情况及内外部经营环境未发生重大变化，公司收入结构在短期内不会发生较大变化，敬请广大投资者注意投资风险。</w:t>
      </w:r>
    </w:p>
    <w:p>
      <w:pPr>
        <w:spacing w:line="360" w:lineRule="auto"/>
        <w:ind w:left="420" w:leftChars="200"/>
        <w:rPr>
          <w:rFonts w:asciiTheme="minorEastAsia" w:hAnsiTheme="minorEastAsia" w:eastAsiaTheme="minorEastAsia"/>
          <w:sz w:val="24"/>
        </w:rPr>
      </w:pPr>
      <w:r>
        <w:rPr>
          <w:rFonts w:hint="eastAsia" w:asciiTheme="minorEastAsia" w:hAnsiTheme="minorEastAsia" w:eastAsiaTheme="minorEastAsia"/>
          <w:sz w:val="24"/>
        </w:rPr>
        <w:t>（三）重大事项进展风险</w:t>
      </w:r>
    </w:p>
    <w:p>
      <w:pPr>
        <w:spacing w:line="360" w:lineRule="auto"/>
        <w:ind w:firstLine="480" w:firstLineChars="200"/>
        <w:rPr>
          <w:rFonts w:ascii="宋体" w:hAnsi="宋体" w:cs="宋体"/>
          <w:sz w:val="24"/>
        </w:rPr>
      </w:pPr>
      <w:r>
        <w:rPr>
          <w:rFonts w:hint="eastAsia" w:ascii="宋体" w:hAnsi="宋体" w:cs="宋体"/>
          <w:sz w:val="24"/>
        </w:rPr>
        <w:t>2023年8月21日，公司收到上海证券交易(以下简称“上交所”)所出具的《关于江苏吴中医药发展股份有限公司向特定对象发行股票申请文件的审核问询函》。截止目前，公司已会同中介机构完成了相关回复，具体详见公司在《中国证券报》《上海证券报》及上海证券交易所网站上披露的公告。公司本次向特定对象发行股票事项尚需通过上交所审核，并获得中国证券监督管理委员会（以下简称“中国证监会”）作出同意注册的决定后方可实施，最终能否通过上交所审核，并获得中国证监会同意注册的决定及其时间尚存在不确定性。公司将根据该事项的进展情况及时履行信息披露义务，敬请广大投资者注意投资风险。</w:t>
      </w:r>
    </w:p>
    <w:p>
      <w:pPr>
        <w:spacing w:line="360" w:lineRule="auto"/>
        <w:ind w:firstLine="482" w:firstLineChars="200"/>
        <w:rPr>
          <w:rFonts w:hint="eastAsia" w:asciiTheme="minorEastAsia" w:hAnsiTheme="minorEastAsia" w:eastAsiaTheme="minorEastAsia"/>
          <w:b/>
          <w:sz w:val="24"/>
        </w:rPr>
      </w:pPr>
    </w:p>
    <w:p>
      <w:pPr>
        <w:spacing w:line="360" w:lineRule="auto"/>
        <w:ind w:firstLine="482" w:firstLineChars="200"/>
        <w:rPr>
          <w:rFonts w:asciiTheme="minorEastAsia" w:hAnsiTheme="minorEastAsia" w:eastAsiaTheme="minorEastAsia"/>
          <w:b/>
          <w:sz w:val="24"/>
        </w:rPr>
      </w:pPr>
      <w:bookmarkStart w:id="0" w:name="_GoBack"/>
      <w:bookmarkEnd w:id="0"/>
      <w:r>
        <w:rPr>
          <w:rFonts w:hint="eastAsia" w:asciiTheme="minorEastAsia" w:hAnsiTheme="minorEastAsia" w:eastAsiaTheme="minorEastAsia"/>
          <w:b/>
          <w:sz w:val="24"/>
        </w:rPr>
        <w:t>四、董事会声明及相关方承诺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公司董事会确认，本公司没有任何根据《上海证券交易所股票上市规则》等有关规定应披露而未披露的事项或与该等事项有关的筹划、商谈、意向、协议等，董事会也未获悉根据《上海证券交易所股票上市规则》等有关规定应披露而未披露的、对公司股票及其衍生品种交易价格可能产生较大影响的信息；公司前期披露的信息不存在需要更正、补充之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公司郑重提醒广大投资者，公司指定信息披露媒体为《中国证券报》《上海证券报》及上海证券交易所网站（www.sse.com.cn），公司所有信息均以上述指定媒体刊登的正式公告为准,敬请广大投资者理性投资,注意投资风险。</w:t>
      </w:r>
    </w:p>
    <w:p>
      <w:pPr>
        <w:spacing w:line="360" w:lineRule="auto"/>
        <w:ind w:firstLine="480" w:firstLineChars="200"/>
        <w:rPr>
          <w:rFonts w:asciiTheme="minorEastAsia" w:hAnsiTheme="minorEastAsia" w:eastAsiaTheme="minorEastAsia"/>
          <w:sz w:val="24"/>
        </w:rPr>
      </w:pPr>
    </w:p>
    <w:p>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特此公告。</w:t>
      </w:r>
    </w:p>
    <w:p>
      <w:pPr>
        <w:widowControl/>
        <w:spacing w:line="360" w:lineRule="auto"/>
        <w:ind w:firstLine="480" w:firstLineChars="200"/>
        <w:jc w:val="left"/>
        <w:rPr>
          <w:rFonts w:cs="宋体" w:asciiTheme="minorEastAsia" w:hAnsiTheme="minorEastAsia" w:eastAsiaTheme="minorEastAsia"/>
          <w:color w:val="000000"/>
          <w:kern w:val="0"/>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2023年11月1日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CB82F"/>
    <w:multiLevelType w:val="singleLevel"/>
    <w:tmpl w:val="A55CB82F"/>
    <w:lvl w:ilvl="0" w:tentative="0">
      <w:start w:val="2"/>
      <w:numFmt w:val="chineseCounting"/>
      <w:suff w:val="nothing"/>
      <w:lvlText w:val="（%1）"/>
      <w:lvlJc w:val="left"/>
      <w:rPr>
        <w:rFonts w:hint="eastAsia"/>
      </w:rPr>
    </w:lvl>
  </w:abstractNum>
  <w:abstractNum w:abstractNumId="1">
    <w:nsid w:val="25335A89"/>
    <w:multiLevelType w:val="multilevel"/>
    <w:tmpl w:val="25335A89"/>
    <w:lvl w:ilvl="0" w:tentative="0">
      <w:start w:val="1"/>
      <w:numFmt w:val="bullet"/>
      <w:lvlText w:val=""/>
      <w:lvlJc w:val="left"/>
      <w:pPr>
        <w:ind w:left="888" w:hanging="420"/>
      </w:pPr>
      <w:rPr>
        <w:rFonts w:hint="default" w:ascii="Wingdings" w:hAnsi="Wingdings"/>
      </w:rPr>
    </w:lvl>
    <w:lvl w:ilvl="1" w:tentative="0">
      <w:start w:val="1"/>
      <w:numFmt w:val="bullet"/>
      <w:lvlText w:val=""/>
      <w:lvlJc w:val="left"/>
      <w:pPr>
        <w:ind w:left="1308" w:hanging="420"/>
      </w:pPr>
      <w:rPr>
        <w:rFonts w:hint="default" w:ascii="Wingdings" w:hAnsi="Wingdings"/>
      </w:rPr>
    </w:lvl>
    <w:lvl w:ilvl="2" w:tentative="0">
      <w:start w:val="1"/>
      <w:numFmt w:val="bullet"/>
      <w:lvlText w:val=""/>
      <w:lvlJc w:val="left"/>
      <w:pPr>
        <w:ind w:left="1728" w:hanging="420"/>
      </w:pPr>
      <w:rPr>
        <w:rFonts w:hint="default" w:ascii="Wingdings" w:hAnsi="Wingdings"/>
      </w:rPr>
    </w:lvl>
    <w:lvl w:ilvl="3" w:tentative="0">
      <w:start w:val="1"/>
      <w:numFmt w:val="bullet"/>
      <w:lvlText w:val=""/>
      <w:lvlJc w:val="left"/>
      <w:pPr>
        <w:ind w:left="2148" w:hanging="420"/>
      </w:pPr>
      <w:rPr>
        <w:rFonts w:hint="default" w:ascii="Wingdings" w:hAnsi="Wingdings"/>
      </w:rPr>
    </w:lvl>
    <w:lvl w:ilvl="4" w:tentative="0">
      <w:start w:val="1"/>
      <w:numFmt w:val="bullet"/>
      <w:lvlText w:val=""/>
      <w:lvlJc w:val="left"/>
      <w:pPr>
        <w:ind w:left="2568" w:hanging="420"/>
      </w:pPr>
      <w:rPr>
        <w:rFonts w:hint="default" w:ascii="Wingdings" w:hAnsi="Wingdings"/>
      </w:rPr>
    </w:lvl>
    <w:lvl w:ilvl="5" w:tentative="0">
      <w:start w:val="1"/>
      <w:numFmt w:val="bullet"/>
      <w:lvlText w:val=""/>
      <w:lvlJc w:val="left"/>
      <w:pPr>
        <w:ind w:left="2988" w:hanging="420"/>
      </w:pPr>
      <w:rPr>
        <w:rFonts w:hint="default" w:ascii="Wingdings" w:hAnsi="Wingdings"/>
      </w:rPr>
    </w:lvl>
    <w:lvl w:ilvl="6" w:tentative="0">
      <w:start w:val="1"/>
      <w:numFmt w:val="bullet"/>
      <w:lvlText w:val=""/>
      <w:lvlJc w:val="left"/>
      <w:pPr>
        <w:ind w:left="3408" w:hanging="420"/>
      </w:pPr>
      <w:rPr>
        <w:rFonts w:hint="default" w:ascii="Wingdings" w:hAnsi="Wingdings"/>
      </w:rPr>
    </w:lvl>
    <w:lvl w:ilvl="7" w:tentative="0">
      <w:start w:val="1"/>
      <w:numFmt w:val="bullet"/>
      <w:lvlText w:val=""/>
      <w:lvlJc w:val="left"/>
      <w:pPr>
        <w:ind w:left="3828" w:hanging="420"/>
      </w:pPr>
      <w:rPr>
        <w:rFonts w:hint="default" w:ascii="Wingdings" w:hAnsi="Wingdings"/>
      </w:rPr>
    </w:lvl>
    <w:lvl w:ilvl="8" w:tentative="0">
      <w:start w:val="1"/>
      <w:numFmt w:val="bullet"/>
      <w:lvlText w:val=""/>
      <w:lvlJc w:val="left"/>
      <w:pPr>
        <w:ind w:left="4248"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zMzg3MzBkYTdlOWNiYzE5Mzg4NjU4MDk0ZDkyNTkifQ=="/>
  </w:docVars>
  <w:rsids>
    <w:rsidRoot w:val="009426D2"/>
    <w:rsid w:val="0001153F"/>
    <w:rsid w:val="00015559"/>
    <w:rsid w:val="000162FB"/>
    <w:rsid w:val="000300BA"/>
    <w:rsid w:val="0003171D"/>
    <w:rsid w:val="000377FA"/>
    <w:rsid w:val="000514F9"/>
    <w:rsid w:val="0008262B"/>
    <w:rsid w:val="000A270E"/>
    <w:rsid w:val="000C1EBF"/>
    <w:rsid w:val="000D5160"/>
    <w:rsid w:val="000D59A8"/>
    <w:rsid w:val="000D6D02"/>
    <w:rsid w:val="000E0ED5"/>
    <w:rsid w:val="000E5928"/>
    <w:rsid w:val="00102ACC"/>
    <w:rsid w:val="001044FC"/>
    <w:rsid w:val="00115DE0"/>
    <w:rsid w:val="00125EB5"/>
    <w:rsid w:val="00140047"/>
    <w:rsid w:val="00141A30"/>
    <w:rsid w:val="0014235B"/>
    <w:rsid w:val="001430F0"/>
    <w:rsid w:val="001449C0"/>
    <w:rsid w:val="00163205"/>
    <w:rsid w:val="00167B35"/>
    <w:rsid w:val="00181BE1"/>
    <w:rsid w:val="00184711"/>
    <w:rsid w:val="00190F6C"/>
    <w:rsid w:val="001937C0"/>
    <w:rsid w:val="001A6D99"/>
    <w:rsid w:val="001A6F91"/>
    <w:rsid w:val="001C428D"/>
    <w:rsid w:val="001F698F"/>
    <w:rsid w:val="002101B8"/>
    <w:rsid w:val="00224130"/>
    <w:rsid w:val="00241FF9"/>
    <w:rsid w:val="00243988"/>
    <w:rsid w:val="002442A3"/>
    <w:rsid w:val="0024599F"/>
    <w:rsid w:val="002470D3"/>
    <w:rsid w:val="00251C73"/>
    <w:rsid w:val="002555CC"/>
    <w:rsid w:val="0025726D"/>
    <w:rsid w:val="0025795B"/>
    <w:rsid w:val="00266464"/>
    <w:rsid w:val="0027220C"/>
    <w:rsid w:val="002808AB"/>
    <w:rsid w:val="00284CD2"/>
    <w:rsid w:val="002B3167"/>
    <w:rsid w:val="002B5713"/>
    <w:rsid w:val="002B7CCB"/>
    <w:rsid w:val="002C240A"/>
    <w:rsid w:val="002C71E7"/>
    <w:rsid w:val="002D1811"/>
    <w:rsid w:val="002D2369"/>
    <w:rsid w:val="002D31A6"/>
    <w:rsid w:val="002E2C40"/>
    <w:rsid w:val="002F4E9F"/>
    <w:rsid w:val="002F74DC"/>
    <w:rsid w:val="00306640"/>
    <w:rsid w:val="00324EB8"/>
    <w:rsid w:val="00344D7A"/>
    <w:rsid w:val="0037324C"/>
    <w:rsid w:val="00373349"/>
    <w:rsid w:val="003870CC"/>
    <w:rsid w:val="003A5140"/>
    <w:rsid w:val="003B5345"/>
    <w:rsid w:val="003C607D"/>
    <w:rsid w:val="003D0C3B"/>
    <w:rsid w:val="003D3FFF"/>
    <w:rsid w:val="003E355B"/>
    <w:rsid w:val="003F0F90"/>
    <w:rsid w:val="0041720E"/>
    <w:rsid w:val="00420759"/>
    <w:rsid w:val="0042410C"/>
    <w:rsid w:val="00440DF5"/>
    <w:rsid w:val="004502F4"/>
    <w:rsid w:val="004800DF"/>
    <w:rsid w:val="00496E8A"/>
    <w:rsid w:val="004C27B9"/>
    <w:rsid w:val="004C3DB4"/>
    <w:rsid w:val="004D2AD6"/>
    <w:rsid w:val="004D3EE0"/>
    <w:rsid w:val="004E363D"/>
    <w:rsid w:val="004F1ED6"/>
    <w:rsid w:val="004F1F15"/>
    <w:rsid w:val="00515147"/>
    <w:rsid w:val="005254C0"/>
    <w:rsid w:val="0054311D"/>
    <w:rsid w:val="00557945"/>
    <w:rsid w:val="005712CB"/>
    <w:rsid w:val="00572F3A"/>
    <w:rsid w:val="00577CBB"/>
    <w:rsid w:val="00580E39"/>
    <w:rsid w:val="005960C6"/>
    <w:rsid w:val="005B4F18"/>
    <w:rsid w:val="005C164C"/>
    <w:rsid w:val="005C2489"/>
    <w:rsid w:val="005C3668"/>
    <w:rsid w:val="005D4ACB"/>
    <w:rsid w:val="005D5EDA"/>
    <w:rsid w:val="005D7D5C"/>
    <w:rsid w:val="00615D49"/>
    <w:rsid w:val="006161FD"/>
    <w:rsid w:val="00626EA4"/>
    <w:rsid w:val="00633AA4"/>
    <w:rsid w:val="006412D7"/>
    <w:rsid w:val="00644BB3"/>
    <w:rsid w:val="00647B9B"/>
    <w:rsid w:val="0065319B"/>
    <w:rsid w:val="00662769"/>
    <w:rsid w:val="00683AED"/>
    <w:rsid w:val="0069424B"/>
    <w:rsid w:val="00695D72"/>
    <w:rsid w:val="006A7984"/>
    <w:rsid w:val="006B0CA9"/>
    <w:rsid w:val="006B29CA"/>
    <w:rsid w:val="006B2B65"/>
    <w:rsid w:val="006F1843"/>
    <w:rsid w:val="007001F0"/>
    <w:rsid w:val="007014FC"/>
    <w:rsid w:val="00746C9C"/>
    <w:rsid w:val="0074787C"/>
    <w:rsid w:val="007564B5"/>
    <w:rsid w:val="00766EEB"/>
    <w:rsid w:val="007720E7"/>
    <w:rsid w:val="007725C0"/>
    <w:rsid w:val="00772A33"/>
    <w:rsid w:val="0078609E"/>
    <w:rsid w:val="007C7BAF"/>
    <w:rsid w:val="007E1307"/>
    <w:rsid w:val="00802A0A"/>
    <w:rsid w:val="00824AB0"/>
    <w:rsid w:val="00850A23"/>
    <w:rsid w:val="00887DA0"/>
    <w:rsid w:val="00893296"/>
    <w:rsid w:val="008935D4"/>
    <w:rsid w:val="008A7C84"/>
    <w:rsid w:val="008B43ED"/>
    <w:rsid w:val="008C75F1"/>
    <w:rsid w:val="008E57CC"/>
    <w:rsid w:val="008F5155"/>
    <w:rsid w:val="008F6AB5"/>
    <w:rsid w:val="00933FA5"/>
    <w:rsid w:val="00934104"/>
    <w:rsid w:val="00941DB9"/>
    <w:rsid w:val="009426D2"/>
    <w:rsid w:val="00955A3F"/>
    <w:rsid w:val="00960430"/>
    <w:rsid w:val="009650F7"/>
    <w:rsid w:val="00967AA4"/>
    <w:rsid w:val="009A0A80"/>
    <w:rsid w:val="009B06C3"/>
    <w:rsid w:val="009C5FBD"/>
    <w:rsid w:val="009D3DC1"/>
    <w:rsid w:val="009E1FA0"/>
    <w:rsid w:val="009E3014"/>
    <w:rsid w:val="00A05A16"/>
    <w:rsid w:val="00A267F9"/>
    <w:rsid w:val="00A716DB"/>
    <w:rsid w:val="00A842DF"/>
    <w:rsid w:val="00A97FB0"/>
    <w:rsid w:val="00AA10D4"/>
    <w:rsid w:val="00AA706B"/>
    <w:rsid w:val="00AB2664"/>
    <w:rsid w:val="00AC7ABF"/>
    <w:rsid w:val="00AD0003"/>
    <w:rsid w:val="00AE0A2F"/>
    <w:rsid w:val="00B03668"/>
    <w:rsid w:val="00B0458B"/>
    <w:rsid w:val="00B07E79"/>
    <w:rsid w:val="00B14B21"/>
    <w:rsid w:val="00B27494"/>
    <w:rsid w:val="00B31A8D"/>
    <w:rsid w:val="00B40F43"/>
    <w:rsid w:val="00B52013"/>
    <w:rsid w:val="00B630EF"/>
    <w:rsid w:val="00B84FE2"/>
    <w:rsid w:val="00B85546"/>
    <w:rsid w:val="00B87AB6"/>
    <w:rsid w:val="00BA0830"/>
    <w:rsid w:val="00BB19E1"/>
    <w:rsid w:val="00BB5C59"/>
    <w:rsid w:val="00BB5F62"/>
    <w:rsid w:val="00BC7D27"/>
    <w:rsid w:val="00BF27C8"/>
    <w:rsid w:val="00BF68F7"/>
    <w:rsid w:val="00C01D90"/>
    <w:rsid w:val="00C14435"/>
    <w:rsid w:val="00C17BF9"/>
    <w:rsid w:val="00C62BAA"/>
    <w:rsid w:val="00C6792D"/>
    <w:rsid w:val="00C71DAA"/>
    <w:rsid w:val="00C77455"/>
    <w:rsid w:val="00C84E9B"/>
    <w:rsid w:val="00CA1004"/>
    <w:rsid w:val="00CB5591"/>
    <w:rsid w:val="00CC65AD"/>
    <w:rsid w:val="00CD2A4D"/>
    <w:rsid w:val="00CD3AF2"/>
    <w:rsid w:val="00CD5891"/>
    <w:rsid w:val="00CD6EAB"/>
    <w:rsid w:val="00CE5040"/>
    <w:rsid w:val="00CF11B4"/>
    <w:rsid w:val="00CF2676"/>
    <w:rsid w:val="00CF42BE"/>
    <w:rsid w:val="00D04CBB"/>
    <w:rsid w:val="00D05A7F"/>
    <w:rsid w:val="00D21B8D"/>
    <w:rsid w:val="00D22E52"/>
    <w:rsid w:val="00D24359"/>
    <w:rsid w:val="00D243CA"/>
    <w:rsid w:val="00D26D15"/>
    <w:rsid w:val="00D45281"/>
    <w:rsid w:val="00D53DC4"/>
    <w:rsid w:val="00D86A2F"/>
    <w:rsid w:val="00D909E7"/>
    <w:rsid w:val="00D90BC6"/>
    <w:rsid w:val="00DC0288"/>
    <w:rsid w:val="00DD4A3F"/>
    <w:rsid w:val="00DE24B3"/>
    <w:rsid w:val="00E003D0"/>
    <w:rsid w:val="00E025CD"/>
    <w:rsid w:val="00E05034"/>
    <w:rsid w:val="00E12FDC"/>
    <w:rsid w:val="00E146CD"/>
    <w:rsid w:val="00E220DE"/>
    <w:rsid w:val="00E53559"/>
    <w:rsid w:val="00E74755"/>
    <w:rsid w:val="00E77D37"/>
    <w:rsid w:val="00E91AB7"/>
    <w:rsid w:val="00E9529E"/>
    <w:rsid w:val="00E96761"/>
    <w:rsid w:val="00E96F5F"/>
    <w:rsid w:val="00EA6444"/>
    <w:rsid w:val="00EB7FBA"/>
    <w:rsid w:val="00EF0B9E"/>
    <w:rsid w:val="00EF67AA"/>
    <w:rsid w:val="00F03FA2"/>
    <w:rsid w:val="00F11687"/>
    <w:rsid w:val="00F168FB"/>
    <w:rsid w:val="00F21312"/>
    <w:rsid w:val="00F21F0B"/>
    <w:rsid w:val="00F23D77"/>
    <w:rsid w:val="00F241FB"/>
    <w:rsid w:val="00F41BFC"/>
    <w:rsid w:val="00F43502"/>
    <w:rsid w:val="00F43561"/>
    <w:rsid w:val="00F577F5"/>
    <w:rsid w:val="00F57DFF"/>
    <w:rsid w:val="00F642E6"/>
    <w:rsid w:val="00F74C92"/>
    <w:rsid w:val="00F7601B"/>
    <w:rsid w:val="00F9708E"/>
    <w:rsid w:val="00FA5496"/>
    <w:rsid w:val="00FB56C5"/>
    <w:rsid w:val="00FB79DD"/>
    <w:rsid w:val="00FC145B"/>
    <w:rsid w:val="00FC69BC"/>
    <w:rsid w:val="00FD4C8F"/>
    <w:rsid w:val="00FE4FBE"/>
    <w:rsid w:val="00FE5ACA"/>
    <w:rsid w:val="00FF4216"/>
    <w:rsid w:val="00FF4FE7"/>
    <w:rsid w:val="08C711B3"/>
    <w:rsid w:val="108E453B"/>
    <w:rsid w:val="21415B23"/>
    <w:rsid w:val="22C64F02"/>
    <w:rsid w:val="302661BA"/>
    <w:rsid w:val="40AF61D9"/>
    <w:rsid w:val="654417EF"/>
    <w:rsid w:val="765A2B43"/>
    <w:rsid w:val="7A2D0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275</Words>
  <Characters>1568</Characters>
  <Lines>13</Lines>
  <Paragraphs>3</Paragraphs>
  <TotalTime>14</TotalTime>
  <ScaleCrop>false</ScaleCrop>
  <LinksUpToDate>false</LinksUpToDate>
  <CharactersWithSpaces>1840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2020-01-21T06:36:00Z</dcterms:created>
  <dc:creator>李锐</dc:creator>
  <cp:lastModifiedBy>王雅杰</cp:lastModifiedBy>
  <cp:lastPrinted>2023-10-31T06:14:00Z</cp:lastPrinted>
  <dcterms:modified xsi:type="dcterms:W3CDTF">2023-10-31T07:30:52Z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78C304D1E7FC4B0892AFD6E6A3EE5A89_12</vt:lpwstr>
  </property>
</Properties>
</file>