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公告编号：临2023-</w:t>
      </w:r>
      <w:r>
        <w:rPr>
          <w:rFonts w:hint="eastAsia" w:ascii="宋体" w:hAnsi="宋体" w:cs="宋体"/>
          <w:color w:val="000000"/>
          <w:kern w:val="0"/>
          <w:sz w:val="24"/>
          <w:highlight w:val="none"/>
          <w:lang w:val="en-US" w:eastAsia="zh-CN"/>
        </w:rPr>
        <w:t>063</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关于变更持续督导保荐机构及保荐代表人后</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重新签订募集资金监管协议的公告</w:t>
      </w:r>
    </w:p>
    <w:p>
      <w:pPr>
        <w:spacing w:line="360" w:lineRule="auto"/>
        <w:ind w:right="-153" w:rightChars="-73"/>
        <w:jc w:val="center"/>
        <w:rPr>
          <w:rFonts w:ascii="黑体" w:hAnsi="宋体" w:eastAsia="黑体"/>
          <w:b/>
          <w:bCs/>
          <w:color w:val="FF0000"/>
          <w:sz w:val="32"/>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pStyle w:val="14"/>
        <w:tabs>
          <w:tab w:val="left" w:pos="7140"/>
        </w:tabs>
        <w:spacing w:line="360" w:lineRule="auto"/>
      </w:pPr>
    </w:p>
    <w:p>
      <w:pPr>
        <w:spacing w:line="360" w:lineRule="auto"/>
        <w:ind w:firstLine="480" w:firstLineChars="200"/>
        <w:rPr>
          <w:rFonts w:ascii="宋体" w:hAnsi="宋体"/>
          <w:sz w:val="24"/>
        </w:rPr>
      </w:pPr>
      <w:r>
        <w:rPr>
          <w:rFonts w:hint="eastAsia" w:ascii="宋体" w:hAnsi="宋体"/>
          <w:sz w:val="24"/>
        </w:rPr>
        <w:t>江苏吴中医药发展股份有限公司（以下简称“公司”）于2023年7月27日披露了《江苏吴中医药发展股份有限公司关于变更持续督导保荐机构及保荐代表人的公告》（公告编号：2023-052），公司因聘请中山证券有限责任公司（以下简称“中山证券”）担任公司2023年度向特定对象发行A股股票的保荐机构，公司与原保荐机构东吴证券股份有限公司（以下简称“东吴证券”）以及相关募集资金存储银行签订的《募集资金专户存储四方监管协议》相应终止，东吴证券未完成的持续督导工作由中山证券承接。</w:t>
      </w:r>
    </w:p>
    <w:p>
      <w:pPr>
        <w:spacing w:line="360" w:lineRule="auto"/>
        <w:ind w:firstLine="480" w:firstLineChars="200"/>
        <w:rPr>
          <w:rFonts w:ascii="宋体" w:hAnsi="宋体"/>
          <w:sz w:val="24"/>
        </w:rPr>
      </w:pPr>
      <w:r>
        <w:rPr>
          <w:rFonts w:hint="eastAsia" w:ascii="宋体" w:hAnsi="宋体"/>
          <w:sz w:val="24"/>
        </w:rPr>
        <w:t>鉴于公司保荐机构已发生更换，为进一步规范公司募集资金管理，保护投资者权益，根据中国证券监督管理委员会（以下简称“中国证监会”）《上市公司监管指引第2号——上市公司募集资金管理和使用的监管要求（2022年修订）》《上海证券交易所上市公司自律监管指引第1号——规范运作》等法律法规的规定，公司、中山证券有限</w:t>
      </w:r>
      <w:r>
        <w:rPr>
          <w:rFonts w:hint="eastAsia" w:ascii="宋体" w:hAnsi="宋体"/>
          <w:sz w:val="24"/>
          <w:lang w:val="en-US" w:eastAsia="zh-CN"/>
        </w:rPr>
        <w:t>责任</w:t>
      </w:r>
      <w:r>
        <w:rPr>
          <w:rFonts w:hint="eastAsia" w:ascii="宋体" w:hAnsi="宋体"/>
          <w:sz w:val="24"/>
        </w:rPr>
        <w:t>公司、中国银行股份有限公司苏州吴中支行</w:t>
      </w:r>
      <w:r>
        <w:rPr>
          <w:rFonts w:hint="eastAsia" w:ascii="宋体" w:hAnsi="宋体"/>
          <w:sz w:val="24"/>
          <w:lang w:val="en-US" w:eastAsia="zh-CN"/>
        </w:rPr>
        <w:t>/</w:t>
      </w:r>
      <w:r>
        <w:rPr>
          <w:rFonts w:hint="eastAsia" w:ascii="宋体" w:hAnsi="宋体"/>
          <w:sz w:val="24"/>
        </w:rPr>
        <w:t>中国农业银行股份有限公司苏州姑苏支行</w:t>
      </w:r>
      <w:r>
        <w:rPr>
          <w:rFonts w:hint="eastAsia" w:ascii="宋体" w:hAnsi="宋体"/>
          <w:sz w:val="24"/>
          <w:lang w:val="en-US" w:eastAsia="zh-CN"/>
        </w:rPr>
        <w:t>、</w:t>
      </w:r>
      <w:r>
        <w:rPr>
          <w:rFonts w:hint="eastAsia" w:ascii="宋体" w:hAnsi="宋体"/>
          <w:sz w:val="24"/>
        </w:rPr>
        <w:t>苏州泽润新药研发有限公司/江苏吴中医药集团有限公司苏州制药厂在苏州签订了募集资金专户存储四方监管协议（以下简称为“《四方监管协议》”），《四方监管协议》内容与上海证券交易所《募集资金专户存储三方监管协议（范本）》不存在重大差异。现将有关情况公告如下：</w:t>
      </w:r>
    </w:p>
    <w:p>
      <w:pPr>
        <w:spacing w:line="360" w:lineRule="auto"/>
        <w:ind w:firstLine="482" w:firstLineChars="200"/>
        <w:rPr>
          <w:rFonts w:ascii="宋体" w:hAnsi="宋体"/>
          <w:b/>
          <w:bCs/>
          <w:sz w:val="24"/>
        </w:rPr>
      </w:pPr>
      <w:r>
        <w:rPr>
          <w:rFonts w:hint="eastAsia" w:ascii="宋体" w:hAnsi="宋体"/>
          <w:b/>
          <w:bCs/>
          <w:sz w:val="24"/>
        </w:rPr>
        <w:t>一、募集资金基本情况</w:t>
      </w:r>
    </w:p>
    <w:p>
      <w:pPr>
        <w:spacing w:line="360" w:lineRule="auto"/>
        <w:ind w:firstLine="480" w:firstLineChars="200"/>
        <w:rPr>
          <w:rFonts w:ascii="宋体" w:hAnsi="宋体"/>
          <w:sz w:val="24"/>
        </w:rPr>
      </w:pPr>
      <w:r>
        <w:rPr>
          <w:rFonts w:hint="eastAsia" w:ascii="宋体" w:hAnsi="宋体"/>
          <w:sz w:val="24"/>
        </w:rPr>
        <w:t>根据中国证券监督管理委员会《关于核准江苏吴中实业股份有限公司非公开发行股票的批复》(证监许可[2015]2084号)核准，公司获准非公开发行不超过4,538万股新股(以下简称“本次发行”)。发行实际发行数量为41,046,070股，发行对象为6名，发行价格为12.52元/股，募集资金总额513,896,796.40元(含发行费用)。扣除发行费用合计人民币11,519,544.24元后，募集资金净额为人民币502,377,252.16元，募集资金已于2015年9月29日划至公司指定账户。上述募集资金到位情况经立信会计师事务所(特殊普通合伙)审验，并由其于2015年9月30日出具了《验资报告》(信会师报字[2015]第115325号)验证。</w:t>
      </w:r>
    </w:p>
    <w:p>
      <w:pPr>
        <w:spacing w:line="360" w:lineRule="auto"/>
        <w:ind w:firstLine="482" w:firstLineChars="200"/>
        <w:rPr>
          <w:rFonts w:hint="eastAsia" w:ascii="宋体" w:hAnsi="宋体"/>
          <w:b/>
          <w:bCs/>
          <w:sz w:val="24"/>
        </w:rPr>
      </w:pPr>
    </w:p>
    <w:p>
      <w:pPr>
        <w:spacing w:line="360" w:lineRule="auto"/>
        <w:ind w:firstLine="482" w:firstLineChars="200"/>
        <w:rPr>
          <w:rFonts w:ascii="宋体" w:hAnsi="宋体"/>
          <w:b/>
          <w:bCs/>
          <w:sz w:val="24"/>
        </w:rPr>
      </w:pPr>
      <w:r>
        <w:rPr>
          <w:rFonts w:hint="eastAsia" w:ascii="宋体" w:hAnsi="宋体"/>
          <w:b/>
          <w:bCs/>
          <w:sz w:val="24"/>
        </w:rPr>
        <w:t>二、募集资金监管协议的签订情况和募集资金专户的开立情况</w:t>
      </w:r>
    </w:p>
    <w:p>
      <w:pPr>
        <w:spacing w:line="360" w:lineRule="auto"/>
        <w:ind w:firstLine="480" w:firstLineChars="200"/>
        <w:rPr>
          <w:rFonts w:ascii="宋体" w:hAnsi="宋体"/>
          <w:sz w:val="24"/>
        </w:rPr>
      </w:pPr>
      <w:r>
        <w:rPr>
          <w:rFonts w:hint="eastAsia" w:ascii="宋体" w:hAnsi="宋体"/>
          <w:sz w:val="24"/>
        </w:rPr>
        <w:t>为规范公司募集资金管理和使用，保护投资者的权益，提高募集资金使用效率，根据《上市公司监管指引第2号——上市公司募集资金管理和使用的监管要求（2022年修订）》和《上海证券交易所上市公司自律监管指引第1号——规范运作》等相关法规及公司《募集资金使用管理办法》等规定，公司、中山证券有限</w:t>
      </w:r>
      <w:r>
        <w:rPr>
          <w:rFonts w:hint="eastAsia" w:ascii="宋体" w:hAnsi="宋体"/>
          <w:sz w:val="24"/>
          <w:lang w:val="en-US" w:eastAsia="zh-CN"/>
        </w:rPr>
        <w:t>责任</w:t>
      </w:r>
      <w:r>
        <w:rPr>
          <w:rFonts w:hint="eastAsia" w:ascii="宋体" w:hAnsi="宋体"/>
          <w:sz w:val="24"/>
        </w:rPr>
        <w:t>公司、中国银行股份有限公司苏州吴中支行</w:t>
      </w:r>
      <w:r>
        <w:rPr>
          <w:rFonts w:hint="eastAsia" w:ascii="宋体" w:hAnsi="宋体"/>
          <w:sz w:val="24"/>
          <w:lang w:val="en-US" w:eastAsia="zh-CN"/>
        </w:rPr>
        <w:t>/</w:t>
      </w:r>
      <w:r>
        <w:rPr>
          <w:rFonts w:hint="eastAsia" w:ascii="宋体" w:hAnsi="宋体"/>
          <w:sz w:val="24"/>
        </w:rPr>
        <w:t>中国农业银行股份有限公司苏州姑苏支行、苏州泽润新药研发有限公司/江苏吴中医药集团有限公司苏州制药厂签订了募集资金专户存储四方监管协议。</w:t>
      </w:r>
    </w:p>
    <w:p>
      <w:pPr>
        <w:spacing w:line="360" w:lineRule="auto"/>
        <w:ind w:firstLine="480" w:firstLineChars="200"/>
        <w:rPr>
          <w:rFonts w:ascii="宋体" w:hAnsi="宋体"/>
          <w:sz w:val="24"/>
          <w:highlight w:val="none"/>
        </w:rPr>
      </w:pPr>
      <w:r>
        <w:rPr>
          <w:rFonts w:hint="eastAsia" w:ascii="宋体" w:hAnsi="宋体"/>
          <w:sz w:val="24"/>
        </w:rPr>
        <w:t>截至2023</w:t>
      </w:r>
      <w:r>
        <w:rPr>
          <w:rFonts w:hint="eastAsia" w:ascii="宋体" w:hAnsi="宋体"/>
          <w:sz w:val="24"/>
          <w:highlight w:val="none"/>
        </w:rPr>
        <w:t>年</w:t>
      </w:r>
      <w:r>
        <w:rPr>
          <w:rFonts w:hint="eastAsia" w:ascii="宋体" w:hAnsi="宋体"/>
          <w:sz w:val="24"/>
          <w:highlight w:val="none"/>
          <w:lang w:val="en-US" w:eastAsia="zh-CN"/>
        </w:rPr>
        <w:t>7</w:t>
      </w:r>
      <w:r>
        <w:rPr>
          <w:rFonts w:hint="eastAsia" w:ascii="宋体" w:hAnsi="宋体"/>
          <w:sz w:val="24"/>
          <w:highlight w:val="none"/>
        </w:rPr>
        <w:t>月</w:t>
      </w:r>
      <w:r>
        <w:rPr>
          <w:rFonts w:hint="eastAsia" w:ascii="宋体" w:hAnsi="宋体"/>
          <w:sz w:val="24"/>
          <w:highlight w:val="none"/>
          <w:lang w:val="en-US" w:eastAsia="zh-CN"/>
        </w:rPr>
        <w:t>25</w:t>
      </w:r>
      <w:r>
        <w:rPr>
          <w:rFonts w:hint="eastAsia" w:ascii="宋体" w:hAnsi="宋体"/>
          <w:sz w:val="24"/>
          <w:highlight w:val="none"/>
        </w:rPr>
        <w:t>日，公司募集资金专户的募集资金存放情况如下：</w:t>
      </w:r>
    </w:p>
    <w:p>
      <w:pPr>
        <w:spacing w:line="360" w:lineRule="auto"/>
        <w:ind w:firstLine="480" w:firstLineChars="200"/>
        <w:jc w:val="right"/>
        <w:rPr>
          <w:rFonts w:ascii="宋体" w:hAnsi="宋体"/>
          <w:sz w:val="24"/>
          <w:highlight w:val="none"/>
        </w:rPr>
      </w:pPr>
      <w:r>
        <w:rPr>
          <w:rFonts w:hint="eastAsia" w:ascii="宋体" w:hAnsi="宋体"/>
          <w:sz w:val="24"/>
          <w:highlight w:val="none"/>
        </w:rPr>
        <w:t>单位：人民币元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2043"/>
        <w:gridCol w:w="1819"/>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tcPr>
          <w:p>
            <w:pPr>
              <w:spacing w:line="360" w:lineRule="auto"/>
              <w:jc w:val="center"/>
              <w:rPr>
                <w:rFonts w:ascii="宋体" w:hAnsi="宋体"/>
                <w:sz w:val="21"/>
                <w:szCs w:val="21"/>
                <w:highlight w:val="none"/>
              </w:rPr>
            </w:pPr>
            <w:r>
              <w:rPr>
                <w:rFonts w:hint="eastAsia" w:ascii="宋体" w:hAnsi="宋体"/>
                <w:sz w:val="21"/>
                <w:szCs w:val="21"/>
                <w:highlight w:val="none"/>
              </w:rPr>
              <w:t>募集资金存放银行</w:t>
            </w:r>
          </w:p>
        </w:tc>
        <w:tc>
          <w:tcPr>
            <w:tcW w:w="2043" w:type="dxa"/>
          </w:tcPr>
          <w:p>
            <w:pPr>
              <w:spacing w:line="360" w:lineRule="auto"/>
              <w:jc w:val="center"/>
              <w:rPr>
                <w:rFonts w:ascii="宋体" w:hAnsi="宋体"/>
                <w:sz w:val="21"/>
                <w:szCs w:val="21"/>
                <w:highlight w:val="none"/>
              </w:rPr>
            </w:pPr>
            <w:r>
              <w:rPr>
                <w:rFonts w:hint="eastAsia" w:ascii="宋体" w:hAnsi="宋体"/>
                <w:sz w:val="21"/>
                <w:szCs w:val="21"/>
                <w:highlight w:val="none"/>
              </w:rPr>
              <w:t>银行账号</w:t>
            </w:r>
          </w:p>
        </w:tc>
        <w:tc>
          <w:tcPr>
            <w:tcW w:w="1819" w:type="dxa"/>
          </w:tcPr>
          <w:p>
            <w:pPr>
              <w:spacing w:line="360" w:lineRule="auto"/>
              <w:jc w:val="center"/>
              <w:rPr>
                <w:rFonts w:ascii="宋体" w:hAnsi="宋体"/>
                <w:sz w:val="21"/>
                <w:szCs w:val="21"/>
                <w:highlight w:val="none"/>
              </w:rPr>
            </w:pPr>
            <w:r>
              <w:rPr>
                <w:rFonts w:hint="eastAsia" w:ascii="宋体" w:hAnsi="宋体"/>
                <w:sz w:val="21"/>
                <w:szCs w:val="21"/>
                <w:highlight w:val="none"/>
              </w:rPr>
              <w:t>专户余额</w:t>
            </w:r>
          </w:p>
        </w:tc>
        <w:tc>
          <w:tcPr>
            <w:tcW w:w="2513" w:type="dxa"/>
          </w:tcPr>
          <w:p>
            <w:pPr>
              <w:spacing w:line="360" w:lineRule="auto"/>
              <w:jc w:val="center"/>
              <w:rPr>
                <w:rFonts w:ascii="宋体" w:hAnsi="宋体"/>
                <w:sz w:val="21"/>
                <w:szCs w:val="21"/>
                <w:highlight w:val="none"/>
              </w:rPr>
            </w:pPr>
            <w:r>
              <w:rPr>
                <w:rFonts w:hint="eastAsia" w:ascii="宋体" w:hAnsi="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tcPr>
          <w:p>
            <w:pPr>
              <w:pStyle w:val="2"/>
              <w:ind w:left="0" w:leftChars="0" w:firstLine="0" w:firstLineChars="0"/>
              <w:rPr>
                <w:rFonts w:ascii="宋体" w:hAnsi="宋体"/>
                <w:sz w:val="21"/>
                <w:szCs w:val="21"/>
                <w:highlight w:val="none"/>
              </w:rPr>
            </w:pPr>
            <w:r>
              <w:rPr>
                <w:rFonts w:hint="eastAsia" w:ascii="宋体" w:hAnsi="宋体" w:eastAsia="宋体" w:cs="宋体"/>
                <w:color w:val="auto"/>
                <w:sz w:val="21"/>
                <w:szCs w:val="21"/>
                <w:highlight w:val="none"/>
              </w:rPr>
              <w:t>中国银行股份有限公司苏州吴中支行</w:t>
            </w:r>
          </w:p>
        </w:tc>
        <w:tc>
          <w:tcPr>
            <w:tcW w:w="2043" w:type="dxa"/>
          </w:tcPr>
          <w:p>
            <w:pPr>
              <w:pStyle w:val="2"/>
              <w:ind w:left="0" w:leftChars="0" w:firstLine="0" w:firstLineChars="0"/>
              <w:rPr>
                <w:rFonts w:ascii="宋体" w:hAnsi="宋体"/>
                <w:sz w:val="21"/>
                <w:szCs w:val="21"/>
                <w:highlight w:val="none"/>
              </w:rPr>
            </w:pPr>
            <w:r>
              <w:rPr>
                <w:rFonts w:hint="eastAsia" w:ascii="宋体" w:hAnsi="宋体" w:eastAsia="宋体" w:cs="宋体"/>
                <w:color w:val="auto"/>
                <w:sz w:val="21"/>
                <w:szCs w:val="21"/>
                <w:highlight w:val="none"/>
              </w:rPr>
              <w:t>475470328000</w:t>
            </w:r>
          </w:p>
        </w:tc>
        <w:tc>
          <w:tcPr>
            <w:tcW w:w="1819" w:type="dxa"/>
          </w:tcPr>
          <w:p>
            <w:pPr>
              <w:pStyle w:val="2"/>
              <w:ind w:left="0" w:leftChars="0" w:firstLine="0" w:firstLineChars="0"/>
              <w:jc w:val="right"/>
              <w:rPr>
                <w:rFonts w:ascii="宋体" w:hAnsi="宋体"/>
                <w:sz w:val="21"/>
                <w:szCs w:val="21"/>
                <w:highlight w:val="none"/>
              </w:rPr>
            </w:pPr>
            <w:r>
              <w:rPr>
                <w:rFonts w:hint="eastAsia" w:ascii="宋体" w:hAnsi="宋体" w:eastAsia="宋体" w:cs="宋体"/>
                <w:color w:val="auto"/>
                <w:sz w:val="21"/>
                <w:szCs w:val="21"/>
                <w:highlight w:val="none"/>
              </w:rPr>
              <w:t>2,619,8</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.04</w:t>
            </w:r>
          </w:p>
        </w:tc>
        <w:tc>
          <w:tcPr>
            <w:tcW w:w="2513" w:type="dxa"/>
          </w:tcPr>
          <w:p>
            <w:pPr>
              <w:pStyle w:val="2"/>
              <w:ind w:left="0" w:leftChars="0" w:firstLine="0" w:firstLineChars="0"/>
              <w:rPr>
                <w:rFonts w:ascii="宋体" w:hAnsi="宋体"/>
                <w:sz w:val="21"/>
                <w:szCs w:val="21"/>
                <w:highlight w:val="none"/>
              </w:rPr>
            </w:pPr>
            <w:r>
              <w:rPr>
                <w:rFonts w:hint="eastAsia" w:ascii="宋体" w:hAnsi="宋体" w:eastAsia="宋体" w:cs="宋体"/>
                <w:color w:val="auto"/>
                <w:sz w:val="21"/>
                <w:szCs w:val="21"/>
                <w:highlight w:val="none"/>
              </w:rPr>
              <w:t>原料药二期项目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tcPr>
          <w:p>
            <w:pPr>
              <w:pStyle w:val="2"/>
              <w:ind w:left="0" w:leftChars="0" w:firstLine="0" w:firstLineChars="0"/>
              <w:rPr>
                <w:rFonts w:ascii="宋体" w:hAnsi="宋体"/>
                <w:sz w:val="21"/>
                <w:szCs w:val="21"/>
                <w:highlight w:val="none"/>
              </w:rPr>
            </w:pPr>
            <w:r>
              <w:rPr>
                <w:rFonts w:hint="eastAsia" w:ascii="宋体" w:hAnsi="宋体" w:eastAsia="宋体" w:cs="宋体"/>
                <w:color w:val="auto"/>
                <w:sz w:val="21"/>
                <w:szCs w:val="21"/>
                <w:highlight w:val="none"/>
              </w:rPr>
              <w:t>中国农业银行股份有限公司苏州</w:t>
            </w:r>
            <w:r>
              <w:rPr>
                <w:rFonts w:hint="eastAsia" w:ascii="宋体" w:hAnsi="宋体" w:eastAsia="宋体" w:cs="宋体"/>
                <w:color w:val="auto"/>
                <w:sz w:val="21"/>
                <w:szCs w:val="21"/>
                <w:highlight w:val="none"/>
                <w:lang w:val="en-US" w:eastAsia="zh-CN"/>
              </w:rPr>
              <w:t>姑苏</w:t>
            </w:r>
            <w:r>
              <w:rPr>
                <w:rFonts w:hint="eastAsia" w:ascii="宋体" w:hAnsi="宋体" w:eastAsia="宋体" w:cs="宋体"/>
                <w:color w:val="auto"/>
                <w:sz w:val="21"/>
                <w:szCs w:val="21"/>
                <w:highlight w:val="none"/>
              </w:rPr>
              <w:t>支行</w:t>
            </w:r>
          </w:p>
        </w:tc>
        <w:tc>
          <w:tcPr>
            <w:tcW w:w="2043" w:type="dxa"/>
          </w:tcPr>
          <w:p>
            <w:pPr>
              <w:pStyle w:val="2"/>
              <w:ind w:left="0" w:leftChars="0" w:firstLine="0" w:firstLineChars="0"/>
              <w:rPr>
                <w:rFonts w:ascii="宋体" w:hAnsi="宋体"/>
                <w:sz w:val="21"/>
                <w:szCs w:val="21"/>
                <w:highlight w:val="none"/>
              </w:rPr>
            </w:pPr>
            <w:r>
              <w:rPr>
                <w:rFonts w:hint="eastAsia" w:ascii="宋体" w:hAnsi="宋体" w:eastAsia="宋体" w:cs="宋体"/>
                <w:color w:val="auto"/>
                <w:sz w:val="21"/>
                <w:szCs w:val="21"/>
                <w:highlight w:val="none"/>
              </w:rPr>
              <w:t>10553301040017652</w:t>
            </w:r>
          </w:p>
        </w:tc>
        <w:tc>
          <w:tcPr>
            <w:tcW w:w="1819" w:type="dxa"/>
          </w:tcPr>
          <w:p>
            <w:pPr>
              <w:pStyle w:val="2"/>
              <w:ind w:left="0" w:leftChars="0" w:firstLine="0" w:firstLineChars="0"/>
              <w:jc w:val="right"/>
              <w:rPr>
                <w:rFonts w:ascii="宋体" w:hAnsi="宋体"/>
                <w:sz w:val="21"/>
                <w:szCs w:val="21"/>
                <w:highlight w:val="none"/>
              </w:rPr>
            </w:pPr>
            <w:r>
              <w:rPr>
                <w:rFonts w:hint="eastAsia" w:ascii="宋体" w:hAnsi="宋体" w:eastAsia="宋体" w:cs="宋体"/>
                <w:color w:val="auto"/>
                <w:sz w:val="21"/>
                <w:szCs w:val="21"/>
                <w:highlight w:val="none"/>
              </w:rPr>
              <w:t>11,301,541.46</w:t>
            </w:r>
          </w:p>
        </w:tc>
        <w:tc>
          <w:tcPr>
            <w:tcW w:w="2513" w:type="dxa"/>
          </w:tcPr>
          <w:p>
            <w:pPr>
              <w:pStyle w:val="2"/>
              <w:ind w:left="0" w:leftChars="0" w:firstLine="0" w:firstLineChars="0"/>
              <w:rPr>
                <w:rFonts w:ascii="宋体" w:hAnsi="宋体"/>
                <w:sz w:val="21"/>
                <w:szCs w:val="21"/>
                <w:highlight w:val="none"/>
              </w:rPr>
            </w:pPr>
            <w:r>
              <w:rPr>
                <w:rFonts w:hint="eastAsia" w:ascii="宋体" w:hAnsi="宋体" w:eastAsia="宋体" w:cs="宋体"/>
                <w:color w:val="auto"/>
                <w:sz w:val="21"/>
                <w:szCs w:val="21"/>
                <w:highlight w:val="none"/>
              </w:rPr>
              <w:t>抗肿瘤1类新药YS001的研发项目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中国农业银行股份有限公司苏州</w:t>
            </w:r>
            <w:r>
              <w:rPr>
                <w:rFonts w:hint="eastAsia" w:ascii="宋体" w:hAnsi="宋体" w:cs="宋体"/>
                <w:color w:val="auto"/>
                <w:sz w:val="21"/>
                <w:szCs w:val="21"/>
                <w:highlight w:val="none"/>
                <w:lang w:val="en-US" w:eastAsia="zh-CN"/>
              </w:rPr>
              <w:t>姑苏</w:t>
            </w:r>
            <w:r>
              <w:rPr>
                <w:rFonts w:hint="eastAsia" w:ascii="宋体" w:hAnsi="宋体" w:eastAsia="宋体" w:cs="宋体"/>
                <w:color w:val="auto"/>
                <w:sz w:val="21"/>
                <w:szCs w:val="21"/>
                <w:highlight w:val="none"/>
              </w:rPr>
              <w:t>支行</w:t>
            </w:r>
          </w:p>
        </w:tc>
        <w:tc>
          <w:tcPr>
            <w:tcW w:w="2043" w:type="dxa"/>
            <w:vAlign w:val="center"/>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10553301040017678</w:t>
            </w:r>
          </w:p>
        </w:tc>
        <w:tc>
          <w:tcPr>
            <w:tcW w:w="1819" w:type="dxa"/>
            <w:vAlign w:val="top"/>
          </w:tcPr>
          <w:p>
            <w:pPr>
              <w:pStyle w:val="2"/>
              <w:ind w:left="0" w:leftChars="0" w:firstLine="0" w:firstLineChars="0"/>
              <w:jc w:val="right"/>
              <w:rPr>
                <w:rFonts w:hint="eastAsia" w:ascii="宋体" w:hAnsi="宋体" w:eastAsia="仿宋_GB2312" w:cs="Times New Roman"/>
                <w:kern w:val="0"/>
                <w:sz w:val="21"/>
                <w:szCs w:val="21"/>
                <w:highlight w:val="none"/>
                <w:lang w:val="en-US" w:eastAsia="zh-CN" w:bidi="ar-SA"/>
              </w:rPr>
            </w:pPr>
            <w:r>
              <w:rPr>
                <w:rFonts w:hint="eastAsia" w:ascii="宋体" w:hAnsi="宋体" w:eastAsia="宋体" w:cs="宋体"/>
                <w:color w:val="auto"/>
                <w:sz w:val="21"/>
                <w:szCs w:val="21"/>
                <w:highlight w:val="none"/>
              </w:rPr>
              <w:t>9,405,6</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.07</w:t>
            </w:r>
          </w:p>
        </w:tc>
        <w:tc>
          <w:tcPr>
            <w:tcW w:w="2513" w:type="dxa"/>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利奈唑胺与沃诺拉赞的仿制项目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中国农业银行股份有限公司苏州</w:t>
            </w:r>
            <w:r>
              <w:rPr>
                <w:rFonts w:hint="eastAsia" w:ascii="宋体" w:hAnsi="宋体" w:cs="宋体"/>
                <w:color w:val="auto"/>
                <w:sz w:val="21"/>
                <w:szCs w:val="21"/>
                <w:highlight w:val="none"/>
                <w:lang w:val="en-US" w:eastAsia="zh-CN"/>
              </w:rPr>
              <w:t>姑苏</w:t>
            </w:r>
            <w:r>
              <w:rPr>
                <w:rFonts w:hint="eastAsia" w:ascii="宋体" w:hAnsi="宋体" w:eastAsia="宋体" w:cs="宋体"/>
                <w:color w:val="auto"/>
                <w:sz w:val="21"/>
                <w:szCs w:val="21"/>
                <w:highlight w:val="none"/>
              </w:rPr>
              <w:t>支行</w:t>
            </w:r>
          </w:p>
        </w:tc>
        <w:tc>
          <w:tcPr>
            <w:tcW w:w="2043" w:type="dxa"/>
            <w:vAlign w:val="center"/>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10553301040017694</w:t>
            </w:r>
          </w:p>
        </w:tc>
        <w:tc>
          <w:tcPr>
            <w:tcW w:w="1819" w:type="dxa"/>
          </w:tcPr>
          <w:p>
            <w:pPr>
              <w:pStyle w:val="2"/>
              <w:ind w:left="0" w:leftChars="0" w:firstLine="0" w:firstLineChars="0"/>
              <w:jc w:val="right"/>
              <w:rPr>
                <w:rFonts w:ascii="宋体" w:hAnsi="宋体"/>
                <w:sz w:val="21"/>
                <w:szCs w:val="21"/>
                <w:highlight w:val="none"/>
              </w:rPr>
            </w:pPr>
            <w:r>
              <w:rPr>
                <w:rFonts w:hint="eastAsia" w:ascii="宋体" w:hAnsi="宋体" w:eastAsia="宋体" w:cs="宋体"/>
                <w:color w:val="auto"/>
                <w:sz w:val="21"/>
                <w:szCs w:val="21"/>
                <w:highlight w:val="none"/>
              </w:rPr>
              <w:t>7,050,8</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.75</w:t>
            </w:r>
          </w:p>
        </w:tc>
        <w:tc>
          <w:tcPr>
            <w:tcW w:w="2513" w:type="dxa"/>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西洛他唑等上市化学仿制药的一致性评价项目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gridSpan w:val="2"/>
          </w:tcPr>
          <w:p>
            <w:pPr>
              <w:pStyle w:val="2"/>
              <w:rPr>
                <w:rFonts w:ascii="宋体" w:hAnsi="宋体"/>
                <w:sz w:val="21"/>
                <w:szCs w:val="21"/>
                <w:highlight w:val="none"/>
              </w:rPr>
            </w:pPr>
            <w:r>
              <w:rPr>
                <w:rFonts w:hint="eastAsia" w:ascii="宋体" w:hAnsi="宋体" w:eastAsia="宋体" w:cs="宋体"/>
                <w:color w:val="auto"/>
                <w:sz w:val="21"/>
                <w:szCs w:val="21"/>
                <w:highlight w:val="none"/>
              </w:rPr>
              <w:t>合  计</w:t>
            </w:r>
          </w:p>
        </w:tc>
        <w:tc>
          <w:tcPr>
            <w:tcW w:w="1819" w:type="dxa"/>
          </w:tcPr>
          <w:p>
            <w:pPr>
              <w:pStyle w:val="2"/>
              <w:ind w:left="0" w:leftChars="0" w:firstLine="0" w:firstLineChars="0"/>
              <w:jc w:val="right"/>
              <w:rPr>
                <w:rFonts w:ascii="宋体" w:hAnsi="宋体"/>
                <w:sz w:val="21"/>
                <w:szCs w:val="21"/>
                <w:highlight w:val="none"/>
              </w:rPr>
            </w:pPr>
            <w:r>
              <w:rPr>
                <w:rFonts w:hint="eastAsia" w:ascii="宋体" w:hAnsi="宋体" w:eastAsia="宋体" w:cs="宋体"/>
                <w:color w:val="auto"/>
                <w:sz w:val="21"/>
                <w:szCs w:val="21"/>
                <w:highlight w:val="none"/>
              </w:rPr>
              <w:t>30,377,8</w:t>
            </w:r>
            <w:r>
              <w:rPr>
                <w:rFonts w:hint="eastAsia"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.32</w:t>
            </w:r>
          </w:p>
        </w:tc>
        <w:tc>
          <w:tcPr>
            <w:tcW w:w="2513" w:type="dxa"/>
          </w:tcPr>
          <w:p>
            <w:pPr>
              <w:pStyle w:val="2"/>
              <w:rPr>
                <w:rFonts w:ascii="宋体" w:hAnsi="宋体"/>
                <w:sz w:val="21"/>
                <w:szCs w:val="21"/>
                <w:highlight w:val="none"/>
              </w:rPr>
            </w:pPr>
          </w:p>
        </w:tc>
      </w:tr>
    </w:tbl>
    <w:p>
      <w:pPr>
        <w:spacing w:line="360" w:lineRule="auto"/>
        <w:ind w:firstLine="480" w:firstLineChars="200"/>
        <w:rPr>
          <w:rFonts w:ascii="宋体" w:hAnsi="宋体"/>
          <w:sz w:val="24"/>
        </w:rPr>
      </w:pPr>
    </w:p>
    <w:p>
      <w:pPr>
        <w:spacing w:line="360" w:lineRule="auto"/>
        <w:ind w:firstLine="482" w:firstLineChars="200"/>
        <w:rPr>
          <w:rFonts w:ascii="宋体" w:hAnsi="宋体"/>
          <w:b/>
          <w:bCs/>
          <w:sz w:val="24"/>
          <w:highlight w:val="none"/>
        </w:rPr>
      </w:pPr>
      <w:r>
        <w:rPr>
          <w:rFonts w:hint="eastAsia" w:ascii="宋体" w:hAnsi="宋体"/>
          <w:b/>
          <w:bCs/>
          <w:sz w:val="24"/>
          <w:highlight w:val="none"/>
        </w:rPr>
        <w:t>三、募集资金监管协议主要内容</w:t>
      </w:r>
    </w:p>
    <w:p>
      <w:pPr>
        <w:pStyle w:val="4"/>
        <w:spacing w:line="360" w:lineRule="auto"/>
        <w:ind w:firstLine="480" w:firstLineChars="200"/>
        <w:rPr>
          <w:lang w:eastAsia="zh-CN"/>
        </w:rPr>
      </w:pPr>
      <w:r>
        <w:rPr>
          <w:rFonts w:hint="eastAsia"/>
          <w:lang w:eastAsia="zh-CN"/>
        </w:rPr>
        <w:t xml:space="preserve">甲方：江苏吴中医药发展股份有限公司 </w:t>
      </w:r>
      <w:r>
        <w:rPr>
          <w:rFonts w:hint="eastAsia"/>
          <w:lang w:val="en-US" w:eastAsia="zh-CN"/>
        </w:rPr>
        <w:t xml:space="preserve"> </w:t>
      </w:r>
      <w:r>
        <w:rPr>
          <w:rFonts w:hint="eastAsia"/>
          <w:lang w:eastAsia="zh-CN"/>
        </w:rPr>
        <w:t xml:space="preserve">         （以下简称“甲方”）</w:t>
      </w:r>
    </w:p>
    <w:p>
      <w:pPr>
        <w:pStyle w:val="4"/>
        <w:spacing w:line="360" w:lineRule="auto"/>
        <w:ind w:firstLine="480" w:firstLineChars="200"/>
        <w:rPr>
          <w:lang w:eastAsia="zh-CN"/>
        </w:rPr>
      </w:pPr>
      <w:r>
        <w:rPr>
          <w:rFonts w:hint="eastAsia"/>
          <w:lang w:eastAsia="zh-CN"/>
        </w:rPr>
        <w:t>乙方：募集资金专户存储银行</w:t>
      </w:r>
      <w:r>
        <w:rPr>
          <w:rFonts w:hint="eastAsia"/>
          <w:lang w:val="en-US" w:eastAsia="zh-CN"/>
        </w:rPr>
        <w:t xml:space="preserve">                </w:t>
      </w:r>
      <w:r>
        <w:rPr>
          <w:rFonts w:hint="eastAsia"/>
          <w:lang w:eastAsia="zh-CN"/>
        </w:rPr>
        <w:t xml:space="preserve">   （以下简称“乙方”）</w:t>
      </w:r>
    </w:p>
    <w:p>
      <w:pPr>
        <w:pStyle w:val="4"/>
        <w:spacing w:line="360" w:lineRule="auto"/>
        <w:ind w:firstLine="480" w:firstLineChars="200"/>
        <w:rPr>
          <w:lang w:eastAsia="zh-CN"/>
        </w:rPr>
      </w:pPr>
      <w:r>
        <w:rPr>
          <w:rFonts w:hint="eastAsia"/>
          <w:lang w:eastAsia="zh-CN"/>
        </w:rPr>
        <w:t>丙方：中山证券有限</w:t>
      </w:r>
      <w:r>
        <w:rPr>
          <w:rFonts w:hint="eastAsia"/>
          <w:lang w:val="en-US" w:eastAsia="zh-CN"/>
        </w:rPr>
        <w:t>责任</w:t>
      </w:r>
      <w:r>
        <w:rPr>
          <w:rFonts w:hint="eastAsia"/>
          <w:lang w:eastAsia="zh-CN"/>
        </w:rPr>
        <w:t>公司（保荐机构）       （以下简称“丙方”）</w:t>
      </w:r>
    </w:p>
    <w:p>
      <w:pPr>
        <w:pStyle w:val="4"/>
        <w:spacing w:line="360" w:lineRule="auto"/>
        <w:ind w:firstLine="480" w:firstLineChars="200"/>
        <w:rPr>
          <w:highlight w:val="none"/>
          <w:lang w:eastAsia="zh-CN"/>
        </w:rPr>
      </w:pPr>
      <w:r>
        <w:rPr>
          <w:rFonts w:hint="eastAsia"/>
          <w:highlight w:val="none"/>
          <w:lang w:eastAsia="zh-CN"/>
        </w:rPr>
        <w:t>丁方：项目对应的实施主体单位                 （以下简称“丁方”）</w:t>
      </w:r>
    </w:p>
    <w:p>
      <w:pPr>
        <w:pStyle w:val="4"/>
        <w:spacing w:line="360" w:lineRule="auto"/>
        <w:ind w:firstLine="480" w:firstLineChars="200"/>
        <w:rPr>
          <w:highlight w:val="none"/>
          <w:lang w:eastAsia="zh-CN"/>
        </w:rPr>
      </w:pPr>
      <w:r>
        <w:rPr>
          <w:rFonts w:hint="eastAsia"/>
          <w:highlight w:val="none"/>
          <w:lang w:eastAsia="zh-CN"/>
        </w:rPr>
        <w:t>为规范甲方募集资金管理，保护投资者的权益，根据《证券发行上市保荐业务管理办法》《上海证券交易所上市公司自律监管指引第1号——规范运作》《上市公司监管指引第2号—上市公司募集资金管理和使用的监管要求》《上海证券交易所股票发行上市审核规则》等法律、法规及规范性文件的相关规定，甲、乙、丙、丁四方经协商，针对甲方2015年非公开发行股票项目尚未使用完毕的募集资金监管达成如下协议：</w:t>
      </w:r>
    </w:p>
    <w:p>
      <w:pPr>
        <w:pStyle w:val="4"/>
        <w:spacing w:line="360" w:lineRule="auto"/>
        <w:ind w:firstLine="480" w:firstLineChars="200"/>
        <w:rPr>
          <w:highlight w:val="none"/>
          <w:lang w:eastAsia="zh-CN"/>
        </w:rPr>
      </w:pPr>
      <w:r>
        <w:rPr>
          <w:rFonts w:hint="eastAsia"/>
          <w:highlight w:val="none"/>
          <w:lang w:eastAsia="zh-CN"/>
        </w:rPr>
        <w:t>1、甲方已在乙方开设募集资金专项账户（以下简称“专户”），该专户仅用于甲方、丁方募集资金的存储和使用。募集资金不得用作其他用途，乙方按照本协议约定配合提供账户管理服务，丙方负责对甲方、丁方资金用途进行监督。</w:t>
      </w:r>
    </w:p>
    <w:p>
      <w:pPr>
        <w:pStyle w:val="4"/>
        <w:spacing w:line="360" w:lineRule="auto"/>
        <w:ind w:firstLine="480" w:firstLineChars="200"/>
        <w:rPr>
          <w:rFonts w:hint="eastAsia"/>
          <w:highlight w:val="none"/>
          <w:lang w:eastAsia="zh-CN"/>
        </w:rPr>
      </w:pPr>
      <w:r>
        <w:rPr>
          <w:rFonts w:hint="eastAsia"/>
          <w:highlight w:val="none"/>
          <w:lang w:eastAsia="zh-CN"/>
        </w:rPr>
        <w:t>2、甲方、乙方、丁方应当共同遵守《中华人民共和国票据法》《支付结算办法》《人民币银行结算账户管理办法》等法律、法规、规章制度。</w:t>
      </w:r>
    </w:p>
    <w:p>
      <w:pPr>
        <w:pStyle w:val="4"/>
        <w:spacing w:line="360" w:lineRule="auto"/>
        <w:ind w:firstLine="480" w:firstLineChars="200"/>
        <w:rPr>
          <w:rFonts w:hint="eastAsia"/>
          <w:highlight w:val="none"/>
          <w:lang w:eastAsia="zh-CN"/>
        </w:rPr>
      </w:pPr>
      <w:r>
        <w:rPr>
          <w:rFonts w:hint="eastAsia"/>
          <w:highlight w:val="none"/>
          <w:lang w:eastAsia="zh-CN"/>
        </w:rPr>
        <w:t>3、丙方作为甲方的保荐人，应当依据有关规定指定保荐代表人或其他工作人员对甲方、丁方募集资金使用情况进行监督。</w:t>
      </w:r>
    </w:p>
    <w:p>
      <w:pPr>
        <w:pStyle w:val="4"/>
        <w:spacing w:line="360" w:lineRule="auto"/>
        <w:ind w:firstLine="480" w:firstLineChars="200"/>
        <w:rPr>
          <w:rFonts w:hint="eastAsia"/>
          <w:highlight w:val="none"/>
          <w:lang w:eastAsia="zh-CN"/>
        </w:rPr>
      </w:pPr>
      <w:r>
        <w:rPr>
          <w:rFonts w:hint="eastAsia"/>
          <w:highlight w:val="none"/>
          <w:lang w:eastAsia="zh-CN"/>
        </w:rPr>
        <w:t>丙方承诺按照《证券发行上市保荐业务管理办法》《上海证券交易所上市公司自律监管指引第1号——规范运作》《上海证券交易所上市公司自律监管指引第11号——持续督导》等法律法规和规章制度以及甲方制订的募集资金管理制度对甲方、丁方募集资金管理事项履行保荐职责，进行持续督导工作。</w:t>
      </w:r>
    </w:p>
    <w:p>
      <w:pPr>
        <w:pStyle w:val="4"/>
        <w:spacing w:line="360" w:lineRule="auto"/>
        <w:ind w:firstLine="480" w:firstLineChars="200"/>
        <w:rPr>
          <w:rFonts w:hint="eastAsia"/>
          <w:highlight w:val="none"/>
          <w:lang w:eastAsia="zh-CN"/>
        </w:rPr>
      </w:pPr>
      <w:r>
        <w:rPr>
          <w:rFonts w:hint="eastAsia"/>
          <w:highlight w:val="none"/>
          <w:lang w:eastAsia="zh-CN"/>
        </w:rPr>
        <w:t>丙方可以采取现场调查、书面问询等方式行使其监督权。甲方、乙方和丁方应当配合丙方的调查与查询。丙方每半年度对甲方、丁方现场调查时应当同时检查专户存储情况。</w:t>
      </w:r>
    </w:p>
    <w:p>
      <w:pPr>
        <w:pStyle w:val="4"/>
        <w:spacing w:line="360" w:lineRule="auto"/>
        <w:ind w:firstLine="480" w:firstLineChars="200"/>
        <w:rPr>
          <w:rFonts w:hint="eastAsia"/>
          <w:highlight w:val="none"/>
          <w:lang w:eastAsia="zh-CN"/>
        </w:rPr>
      </w:pPr>
      <w:r>
        <w:rPr>
          <w:rFonts w:hint="eastAsia"/>
          <w:highlight w:val="none"/>
          <w:lang w:eastAsia="zh-CN"/>
        </w:rPr>
        <w:t>4、甲方授权丙方指定的保荐代表人单思、张邈可以随时到乙方查询、复印甲方专户的资料；乙方应当及时、准确、完整地向其提供所需的有关专户的资料。</w:t>
      </w:r>
    </w:p>
    <w:p>
      <w:pPr>
        <w:pStyle w:val="4"/>
        <w:spacing w:line="360" w:lineRule="auto"/>
        <w:ind w:firstLine="480" w:firstLineChars="200"/>
        <w:rPr>
          <w:rFonts w:hint="eastAsia"/>
          <w:highlight w:val="none"/>
          <w:lang w:eastAsia="zh-CN"/>
        </w:rPr>
      </w:pPr>
      <w:r>
        <w:rPr>
          <w:rFonts w:hint="eastAsia"/>
          <w:highlight w:val="none"/>
          <w:lang w:eastAsia="zh-CN"/>
        </w:rPr>
        <w:t>保荐代表人向乙方查询丁方专户有关情况时应当出具本人的合法身份证明；丙方指定的其他工作人员向乙方查询丁方专户有关情况时应当出具本人的合法身份证明和加盖公章的单位介绍信。</w:t>
      </w:r>
    </w:p>
    <w:p>
      <w:pPr>
        <w:pStyle w:val="4"/>
        <w:spacing w:line="360" w:lineRule="auto"/>
        <w:ind w:firstLine="480" w:firstLineChars="200"/>
        <w:rPr>
          <w:highlight w:val="none"/>
          <w:lang w:eastAsia="zh-CN"/>
        </w:rPr>
      </w:pPr>
      <w:r>
        <w:rPr>
          <w:rFonts w:hint="eastAsia"/>
          <w:highlight w:val="none"/>
          <w:lang w:eastAsia="zh-CN"/>
        </w:rPr>
        <w:t>5、乙方按月（每月10日前）向甲方出具真实、准确、完整的专户对账单，并抄送给丙方。</w:t>
      </w:r>
    </w:p>
    <w:p>
      <w:pPr>
        <w:pStyle w:val="4"/>
        <w:spacing w:line="360" w:lineRule="auto"/>
        <w:ind w:firstLine="480" w:firstLineChars="200"/>
        <w:rPr>
          <w:highlight w:val="none"/>
          <w:lang w:eastAsia="zh-CN"/>
        </w:rPr>
      </w:pPr>
      <w:r>
        <w:rPr>
          <w:rFonts w:hint="eastAsia"/>
          <w:highlight w:val="none"/>
          <w:lang w:eastAsia="zh-CN"/>
        </w:rPr>
        <w:t>6、甲方与丁方一次或十二个月以内累计从专户支取的金额超过人民币5,000万元且达到发行募集资金总额扣除发行费用后的净额的20%的，甲方、乙方和丁方应当及时以邮件方式通知丙方，同时提供专户的支出清单。</w:t>
      </w:r>
    </w:p>
    <w:p>
      <w:pPr>
        <w:pStyle w:val="4"/>
        <w:spacing w:line="360" w:lineRule="auto"/>
        <w:ind w:firstLine="480" w:firstLineChars="200"/>
        <w:rPr>
          <w:highlight w:val="none"/>
          <w:lang w:eastAsia="zh-CN"/>
        </w:rPr>
      </w:pPr>
      <w:r>
        <w:rPr>
          <w:rFonts w:hint="eastAsia"/>
          <w:highlight w:val="none"/>
          <w:lang w:eastAsia="zh-CN"/>
        </w:rPr>
        <w:t>7、丙方有权根据有关规定更换指定的保荐代表人。丙方更换保荐代表人的，应当将相关证明文件提前1个工作日书面通知乙方，同时按本协议</w:t>
      </w:r>
      <w:bookmarkStart w:id="0" w:name="_GoBack"/>
      <w:bookmarkEnd w:id="0"/>
      <w:r>
        <w:rPr>
          <w:rFonts w:hint="eastAsia"/>
          <w:highlight w:val="none"/>
          <w:lang w:eastAsia="zh-CN"/>
        </w:rPr>
        <w:t>要求向甲方、乙方、丁方书面通知更换后保荐代表人的联系方式。更换保荐代表人不影响本协议的效力。</w:t>
      </w:r>
    </w:p>
    <w:p>
      <w:pPr>
        <w:pStyle w:val="4"/>
        <w:spacing w:line="360" w:lineRule="auto"/>
        <w:ind w:firstLine="480" w:firstLineChars="200"/>
        <w:rPr>
          <w:highlight w:val="none"/>
          <w:lang w:eastAsia="zh-CN"/>
        </w:rPr>
      </w:pPr>
      <w:r>
        <w:rPr>
          <w:rFonts w:hint="eastAsia"/>
          <w:highlight w:val="none"/>
          <w:lang w:eastAsia="zh-CN"/>
        </w:rPr>
        <w:t>8、乙方连续三次未及时向丙方出具对账单或向丙方通知专户大额支取情况，以及存在未配合丙方查询与调查专户情形的，甲方、丁方有权或者丙方可以要求甲方、丁方单方面终止本协议并注销募集资金专户。</w:t>
      </w:r>
    </w:p>
    <w:p>
      <w:pPr>
        <w:pStyle w:val="4"/>
        <w:spacing w:line="360" w:lineRule="auto"/>
        <w:ind w:firstLine="480" w:firstLineChars="200"/>
        <w:rPr>
          <w:rFonts w:hint="default"/>
          <w:highlight w:val="none"/>
          <w:lang w:val="en-US" w:eastAsia="zh-CN"/>
        </w:rPr>
      </w:pPr>
      <w:r>
        <w:rPr>
          <w:rFonts w:hint="eastAsia"/>
          <w:highlight w:val="none"/>
          <w:lang w:eastAsia="zh-CN"/>
        </w:rPr>
        <w:t>9、</w:t>
      </w:r>
      <w:r>
        <w:rPr>
          <w:color w:val="000000"/>
          <w:kern w:val="0"/>
          <w:sz w:val="24"/>
        </w:rPr>
        <w:t>丙方发现甲方、乙方</w:t>
      </w:r>
      <w:r>
        <w:rPr>
          <w:rFonts w:hint="eastAsia"/>
          <w:color w:val="000000"/>
          <w:kern w:val="0"/>
          <w:sz w:val="24"/>
        </w:rPr>
        <w:t>、丁方</w:t>
      </w:r>
      <w:r>
        <w:rPr>
          <w:color w:val="000000"/>
          <w:kern w:val="0"/>
          <w:sz w:val="24"/>
        </w:rPr>
        <w:t>未按约定履行本协议的，应当在知悉有关事实后及时向</w:t>
      </w:r>
      <w:r>
        <w:rPr>
          <w:rFonts w:hint="eastAsia"/>
          <w:color w:val="000000"/>
          <w:kern w:val="0"/>
          <w:sz w:val="24"/>
        </w:rPr>
        <w:t>上海</w:t>
      </w:r>
      <w:r>
        <w:rPr>
          <w:color w:val="000000"/>
          <w:kern w:val="0"/>
          <w:sz w:val="24"/>
        </w:rPr>
        <w:t>证券交易所书面报告</w:t>
      </w:r>
      <w:r>
        <w:rPr>
          <w:rFonts w:hint="eastAsia"/>
          <w:highlight w:val="none"/>
          <w:lang w:eastAsia="zh-CN"/>
        </w:rPr>
        <w:t>。</w:t>
      </w:r>
    </w:p>
    <w:p>
      <w:pPr>
        <w:pStyle w:val="2"/>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10</w:t>
      </w:r>
      <w:r>
        <w:rPr>
          <w:rFonts w:hint="eastAsia" w:asciiTheme="minorEastAsia" w:hAnsiTheme="minorEastAsia" w:eastAsiaTheme="minorEastAsia" w:cstheme="minorEastAsia"/>
          <w:sz w:val="24"/>
          <w:highlight w:val="none"/>
        </w:rPr>
        <w:t>、本协议适用中华人民共和国法律。对由于本协议引起或与本协议有关的任何争议，各方应尽其最大努力通过友好协商解决。协商不成的，则任何一方应提交乙方住所地有管辖权的法院进行诉讼。</w:t>
      </w:r>
    </w:p>
    <w:p>
      <w:pPr>
        <w:pStyle w:val="2"/>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11</w:t>
      </w:r>
      <w:r>
        <w:rPr>
          <w:rFonts w:hint="eastAsia" w:asciiTheme="minorEastAsia" w:hAnsiTheme="minorEastAsia" w:eastAsiaTheme="minorEastAsia" w:cstheme="minorEastAsia"/>
          <w:sz w:val="24"/>
          <w:highlight w:val="none"/>
        </w:rPr>
        <w:t>、本协议自甲、乙、丙、丁四方法定代表人/负责人或其授权代表签署并加盖各自单位公章之日起生效，至专户资金全部支出完毕并依法销户且丙方督导期结束之日起失效。</w:t>
      </w:r>
    </w:p>
    <w:p>
      <w:pPr>
        <w:pStyle w:val="2"/>
        <w:rPr>
          <w:rFonts w:ascii="宋体" w:hAnsi="宋体"/>
          <w:sz w:val="24"/>
        </w:rPr>
      </w:pPr>
    </w:p>
    <w:p>
      <w:pPr>
        <w:pStyle w:val="2"/>
        <w:rPr>
          <w:rFonts w:ascii="宋体" w:hAnsi="宋体"/>
          <w:sz w:val="24"/>
        </w:rPr>
      </w:pPr>
    </w:p>
    <w:p>
      <w:pPr>
        <w:spacing w:line="360" w:lineRule="auto"/>
        <w:ind w:firstLine="480" w:firstLineChars="200"/>
        <w:rPr>
          <w:rFonts w:ascii="宋体" w:hAnsi="宋体"/>
          <w:sz w:val="24"/>
        </w:rPr>
      </w:pPr>
      <w:r>
        <w:rPr>
          <w:rFonts w:hint="eastAsia" w:ascii="宋体" w:hAnsi="宋体"/>
          <w:sz w:val="24"/>
        </w:rPr>
        <w:t>特此公告。</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2023年</w:t>
      </w:r>
      <w:r>
        <w:rPr>
          <w:rFonts w:hint="eastAsia" w:ascii="宋体" w:hAnsi="宋体"/>
          <w:sz w:val="24"/>
          <w:lang w:val="en-US" w:eastAsia="zh-CN"/>
        </w:rPr>
        <w:t>9</w:t>
      </w:r>
      <w:r>
        <w:rPr>
          <w:rFonts w:hint="eastAsia" w:ascii="宋体" w:hAnsi="宋体"/>
          <w:sz w:val="24"/>
          <w:highlight w:val="none"/>
        </w:rPr>
        <w:t>月</w:t>
      </w:r>
      <w:r>
        <w:rPr>
          <w:rFonts w:hint="eastAsia" w:ascii="宋体" w:hAnsi="宋体"/>
          <w:sz w:val="24"/>
          <w:highlight w:val="none"/>
          <w:lang w:val="en-US" w:eastAsia="zh-CN"/>
        </w:rPr>
        <w:t>6</w:t>
      </w:r>
      <w:r>
        <w:rPr>
          <w:rFonts w:hint="eastAsia" w:ascii="宋体" w:hAnsi="宋体"/>
          <w:sz w:val="24"/>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5378B2"/>
    <w:rsid w:val="00003634"/>
    <w:rsid w:val="000052DC"/>
    <w:rsid w:val="0001153F"/>
    <w:rsid w:val="00014AE5"/>
    <w:rsid w:val="00015559"/>
    <w:rsid w:val="0003171D"/>
    <w:rsid w:val="00034EAF"/>
    <w:rsid w:val="000377FA"/>
    <w:rsid w:val="00037B42"/>
    <w:rsid w:val="000514F9"/>
    <w:rsid w:val="00054AB4"/>
    <w:rsid w:val="00055DC4"/>
    <w:rsid w:val="00060AD4"/>
    <w:rsid w:val="0007113B"/>
    <w:rsid w:val="00077985"/>
    <w:rsid w:val="00084BC3"/>
    <w:rsid w:val="00092BCF"/>
    <w:rsid w:val="000941D0"/>
    <w:rsid w:val="000C1EBF"/>
    <w:rsid w:val="000D5160"/>
    <w:rsid w:val="000D59A8"/>
    <w:rsid w:val="000E2525"/>
    <w:rsid w:val="000E5928"/>
    <w:rsid w:val="000E7F53"/>
    <w:rsid w:val="000F1086"/>
    <w:rsid w:val="000F4B47"/>
    <w:rsid w:val="00101299"/>
    <w:rsid w:val="001044FC"/>
    <w:rsid w:val="00115DE0"/>
    <w:rsid w:val="00125BE8"/>
    <w:rsid w:val="00125EB5"/>
    <w:rsid w:val="001302DF"/>
    <w:rsid w:val="00141A30"/>
    <w:rsid w:val="0014235B"/>
    <w:rsid w:val="001449C0"/>
    <w:rsid w:val="00147226"/>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02C0"/>
    <w:rsid w:val="001F698F"/>
    <w:rsid w:val="00201E57"/>
    <w:rsid w:val="00204DB0"/>
    <w:rsid w:val="002101B8"/>
    <w:rsid w:val="002127B8"/>
    <w:rsid w:val="00227A64"/>
    <w:rsid w:val="002339D0"/>
    <w:rsid w:val="002343EA"/>
    <w:rsid w:val="002442A3"/>
    <w:rsid w:val="00246199"/>
    <w:rsid w:val="002473AD"/>
    <w:rsid w:val="00251C73"/>
    <w:rsid w:val="00256018"/>
    <w:rsid w:val="002561CC"/>
    <w:rsid w:val="0025726D"/>
    <w:rsid w:val="0025795B"/>
    <w:rsid w:val="00266464"/>
    <w:rsid w:val="00270486"/>
    <w:rsid w:val="0027220C"/>
    <w:rsid w:val="0027469E"/>
    <w:rsid w:val="0027590B"/>
    <w:rsid w:val="002808AB"/>
    <w:rsid w:val="00284CD2"/>
    <w:rsid w:val="00297F43"/>
    <w:rsid w:val="002A1B60"/>
    <w:rsid w:val="002B5713"/>
    <w:rsid w:val="002B7CCB"/>
    <w:rsid w:val="002C43B8"/>
    <w:rsid w:val="002C45E5"/>
    <w:rsid w:val="002C5021"/>
    <w:rsid w:val="002C71E7"/>
    <w:rsid w:val="002D2369"/>
    <w:rsid w:val="002D4C8C"/>
    <w:rsid w:val="002D65CF"/>
    <w:rsid w:val="002F64AF"/>
    <w:rsid w:val="002F74DC"/>
    <w:rsid w:val="0030503B"/>
    <w:rsid w:val="00307EC7"/>
    <w:rsid w:val="00324EB8"/>
    <w:rsid w:val="003307ED"/>
    <w:rsid w:val="003334F6"/>
    <w:rsid w:val="003402E8"/>
    <w:rsid w:val="00342CB6"/>
    <w:rsid w:val="003442BE"/>
    <w:rsid w:val="00353BA1"/>
    <w:rsid w:val="00360937"/>
    <w:rsid w:val="00363847"/>
    <w:rsid w:val="0036422B"/>
    <w:rsid w:val="003657D5"/>
    <w:rsid w:val="00367CCA"/>
    <w:rsid w:val="003726BC"/>
    <w:rsid w:val="0037324C"/>
    <w:rsid w:val="00373349"/>
    <w:rsid w:val="0038210C"/>
    <w:rsid w:val="003870CC"/>
    <w:rsid w:val="003A1590"/>
    <w:rsid w:val="003A3A47"/>
    <w:rsid w:val="003B1D84"/>
    <w:rsid w:val="003B5345"/>
    <w:rsid w:val="003C607D"/>
    <w:rsid w:val="003D0328"/>
    <w:rsid w:val="003D0C3B"/>
    <w:rsid w:val="003D3FFF"/>
    <w:rsid w:val="003D798A"/>
    <w:rsid w:val="003E1D67"/>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3312"/>
    <w:rsid w:val="00507FDE"/>
    <w:rsid w:val="00517BE0"/>
    <w:rsid w:val="00517C61"/>
    <w:rsid w:val="005216F4"/>
    <w:rsid w:val="005378B2"/>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5F0F45"/>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B0802"/>
    <w:rsid w:val="007C0761"/>
    <w:rsid w:val="007C79A9"/>
    <w:rsid w:val="007C7BAF"/>
    <w:rsid w:val="007E3476"/>
    <w:rsid w:val="00802A0A"/>
    <w:rsid w:val="008051A9"/>
    <w:rsid w:val="008051F9"/>
    <w:rsid w:val="0082478F"/>
    <w:rsid w:val="00824AB0"/>
    <w:rsid w:val="008378DC"/>
    <w:rsid w:val="00837AFB"/>
    <w:rsid w:val="008412C9"/>
    <w:rsid w:val="00884C0B"/>
    <w:rsid w:val="00887DA0"/>
    <w:rsid w:val="00893296"/>
    <w:rsid w:val="008935D4"/>
    <w:rsid w:val="008A49D2"/>
    <w:rsid w:val="008A72B1"/>
    <w:rsid w:val="008B3703"/>
    <w:rsid w:val="008B3DD4"/>
    <w:rsid w:val="008B43ED"/>
    <w:rsid w:val="008B4735"/>
    <w:rsid w:val="008B5B30"/>
    <w:rsid w:val="008B6235"/>
    <w:rsid w:val="008C0E07"/>
    <w:rsid w:val="008E57CC"/>
    <w:rsid w:val="008F5155"/>
    <w:rsid w:val="008F6AB5"/>
    <w:rsid w:val="00912C06"/>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541EA"/>
    <w:rsid w:val="00A72475"/>
    <w:rsid w:val="00A842DF"/>
    <w:rsid w:val="00A950B9"/>
    <w:rsid w:val="00A973BC"/>
    <w:rsid w:val="00AA10D4"/>
    <w:rsid w:val="00AA6572"/>
    <w:rsid w:val="00AA706B"/>
    <w:rsid w:val="00AB0CFB"/>
    <w:rsid w:val="00AB15F8"/>
    <w:rsid w:val="00AB2664"/>
    <w:rsid w:val="00AB53AC"/>
    <w:rsid w:val="00AB6C97"/>
    <w:rsid w:val="00AB723A"/>
    <w:rsid w:val="00AC11D0"/>
    <w:rsid w:val="00AC4735"/>
    <w:rsid w:val="00AC7ABF"/>
    <w:rsid w:val="00AD0003"/>
    <w:rsid w:val="00AD27F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07621"/>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4FB0"/>
    <w:rsid w:val="00C875F5"/>
    <w:rsid w:val="00CA1004"/>
    <w:rsid w:val="00CB2DCE"/>
    <w:rsid w:val="00CC522D"/>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3E50"/>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62058"/>
    <w:rsid w:val="00E63EE5"/>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236F"/>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01EB2D5D"/>
    <w:rsid w:val="06606BFB"/>
    <w:rsid w:val="08850B9A"/>
    <w:rsid w:val="08D72F06"/>
    <w:rsid w:val="090D12BC"/>
    <w:rsid w:val="0AF73FD1"/>
    <w:rsid w:val="0B464611"/>
    <w:rsid w:val="0BE22322"/>
    <w:rsid w:val="13E96481"/>
    <w:rsid w:val="13FC61B5"/>
    <w:rsid w:val="155B515D"/>
    <w:rsid w:val="15E213DA"/>
    <w:rsid w:val="162B3C32"/>
    <w:rsid w:val="16585B40"/>
    <w:rsid w:val="17680005"/>
    <w:rsid w:val="18C2583D"/>
    <w:rsid w:val="192D7481"/>
    <w:rsid w:val="19D13C3F"/>
    <w:rsid w:val="1A613215"/>
    <w:rsid w:val="20840BD4"/>
    <w:rsid w:val="23580F2E"/>
    <w:rsid w:val="29FA111F"/>
    <w:rsid w:val="2A4756BA"/>
    <w:rsid w:val="2B024BEB"/>
    <w:rsid w:val="2DD41E52"/>
    <w:rsid w:val="36AC3612"/>
    <w:rsid w:val="36CB412E"/>
    <w:rsid w:val="3824679E"/>
    <w:rsid w:val="386E6A52"/>
    <w:rsid w:val="388760E5"/>
    <w:rsid w:val="3DD32653"/>
    <w:rsid w:val="3DDD06DF"/>
    <w:rsid w:val="3E7E3AE6"/>
    <w:rsid w:val="415D56F3"/>
    <w:rsid w:val="41F145CF"/>
    <w:rsid w:val="42664196"/>
    <w:rsid w:val="42AF79ED"/>
    <w:rsid w:val="44580936"/>
    <w:rsid w:val="45261842"/>
    <w:rsid w:val="488B752C"/>
    <w:rsid w:val="4A0945BF"/>
    <w:rsid w:val="4BD7551F"/>
    <w:rsid w:val="4CCE79E7"/>
    <w:rsid w:val="4D646E16"/>
    <w:rsid w:val="4F1D07B2"/>
    <w:rsid w:val="50BB0282"/>
    <w:rsid w:val="50BB2978"/>
    <w:rsid w:val="51F931F0"/>
    <w:rsid w:val="529A5BD5"/>
    <w:rsid w:val="52B4767F"/>
    <w:rsid w:val="54ED6E78"/>
    <w:rsid w:val="56F73FDE"/>
    <w:rsid w:val="580E5A83"/>
    <w:rsid w:val="5A64198B"/>
    <w:rsid w:val="5B6234AA"/>
    <w:rsid w:val="5C6C2D78"/>
    <w:rsid w:val="5CDD5A24"/>
    <w:rsid w:val="5D414EAE"/>
    <w:rsid w:val="66EC45F9"/>
    <w:rsid w:val="690F348C"/>
    <w:rsid w:val="6B0657EE"/>
    <w:rsid w:val="6B6A2B79"/>
    <w:rsid w:val="70D97BA0"/>
    <w:rsid w:val="72B43F65"/>
    <w:rsid w:val="76777B67"/>
    <w:rsid w:val="78FB4CF4"/>
    <w:rsid w:val="795A0647"/>
    <w:rsid w:val="798B6ADC"/>
    <w:rsid w:val="7DC4436B"/>
    <w:rsid w:val="7E891110"/>
    <w:rsid w:val="7F6F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napToGrid w:val="0"/>
      <w:spacing w:line="300" w:lineRule="auto"/>
      <w:ind w:firstLine="556"/>
    </w:pPr>
    <w:rPr>
      <w:rFonts w:ascii="仿宋_GB2312" w:eastAsia="仿宋_GB2312"/>
      <w:kern w:val="0"/>
      <w:szCs w:val="20"/>
    </w:rPr>
  </w:style>
  <w:style w:type="paragraph" w:styleId="3">
    <w:name w:val="annotation text"/>
    <w:basedOn w:val="1"/>
    <w:link w:val="17"/>
    <w:semiHidden/>
    <w:unhideWhenUsed/>
    <w:qFormat/>
    <w:uiPriority w:val="99"/>
    <w:pPr>
      <w:jc w:val="left"/>
    </w:pPr>
  </w:style>
  <w:style w:type="paragraph" w:styleId="4">
    <w:name w:val="Body Text"/>
    <w:basedOn w:val="1"/>
    <w:link w:val="13"/>
    <w:qFormat/>
    <w:uiPriority w:val="1"/>
    <w:pPr>
      <w:autoSpaceDE w:val="0"/>
      <w:autoSpaceDN w:val="0"/>
      <w:jc w:val="left"/>
    </w:pPr>
    <w:rPr>
      <w:rFonts w:ascii="宋体" w:hAnsi="宋体" w:cs="宋体"/>
      <w:kern w:val="0"/>
      <w:sz w:val="24"/>
      <w:lang w:eastAsia="en-US"/>
    </w:r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正文文本 Char"/>
    <w:basedOn w:val="11"/>
    <w:link w:val="4"/>
    <w:qFormat/>
    <w:uiPriority w:val="1"/>
    <w:rPr>
      <w:rFonts w:ascii="宋体" w:hAnsi="宋体" w:eastAsia="宋体" w:cs="宋体"/>
      <w:kern w:val="0"/>
      <w:sz w:val="24"/>
      <w:szCs w:val="24"/>
      <w:lang w:eastAsia="en-U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1"/>
    <w:link w:val="7"/>
    <w:qFormat/>
    <w:uiPriority w:val="99"/>
    <w:rPr>
      <w:rFonts w:ascii="Times New Roman" w:hAnsi="Times New Roman" w:eastAsia="宋体" w:cs="Times New Roman"/>
      <w:sz w:val="18"/>
      <w:szCs w:val="18"/>
    </w:rPr>
  </w:style>
  <w:style w:type="character" w:customStyle="1" w:styleId="16">
    <w:name w:val="页脚 Char"/>
    <w:basedOn w:val="11"/>
    <w:link w:val="6"/>
    <w:qFormat/>
    <w:uiPriority w:val="99"/>
    <w:rPr>
      <w:rFonts w:ascii="Times New Roman" w:hAnsi="Times New Roman" w:eastAsia="宋体" w:cs="Times New Roman"/>
      <w:sz w:val="18"/>
      <w:szCs w:val="18"/>
    </w:rPr>
  </w:style>
  <w:style w:type="character" w:customStyle="1" w:styleId="17">
    <w:name w:val="批注文字 Char"/>
    <w:basedOn w:val="11"/>
    <w:link w:val="3"/>
    <w:semiHidden/>
    <w:qFormat/>
    <w:uiPriority w:val="99"/>
    <w:rPr>
      <w:rFonts w:ascii="Times New Roman" w:hAnsi="Times New Roman" w:eastAsia="宋体" w:cs="Times New Roman"/>
      <w:szCs w:val="24"/>
    </w:rPr>
  </w:style>
  <w:style w:type="character" w:customStyle="1" w:styleId="18">
    <w:name w:val="批注主题 Char"/>
    <w:basedOn w:val="17"/>
    <w:link w:val="8"/>
    <w:semiHidden/>
    <w:qFormat/>
    <w:uiPriority w:val="99"/>
    <w:rPr>
      <w:rFonts w:ascii="Times New Roman" w:hAnsi="Times New Roman" w:eastAsia="宋体" w:cs="Times New Roman"/>
      <w:b/>
      <w:bCs/>
      <w:szCs w:val="24"/>
    </w:rPr>
  </w:style>
  <w:style w:type="character" w:customStyle="1" w:styleId="19">
    <w:name w:val="批注框文本 Char"/>
    <w:basedOn w:val="11"/>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2820</Words>
  <Characters>3074</Characters>
  <Lines>19</Lines>
  <Paragraphs>5</Paragraphs>
  <TotalTime>21</TotalTime>
  <ScaleCrop>false</ScaleCrop>
  <LinksUpToDate>false</LinksUpToDate>
  <CharactersWithSpaces>3156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2022-03-04T08:42:00Z</dcterms:created>
  <dc:creator>李锐</dc:creator>
  <cp:lastModifiedBy>王雅杰</cp:lastModifiedBy>
  <cp:lastPrinted>2023-07-26T02:45:00Z</cp:lastPrinted>
  <dcterms:modified xsi:type="dcterms:W3CDTF">2023-09-05T07:08:11Z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5148C88519054354A425C76A0CBACC67</vt:lpwstr>
  </property>
</Properties>
</file>