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hint="default" w:ascii="黑体" w:hAnsi="宋体" w:eastAsia="宋体"/>
          <w:b/>
          <w:bCs/>
          <w:color w:val="FF0000"/>
          <w:sz w:val="32"/>
          <w:lang w:val="en-US" w:eastAsia="zh-CN"/>
        </w:rPr>
      </w:pPr>
      <w:r>
        <w:rPr>
          <w:rFonts w:hint="eastAsia" w:ascii="宋体" w:hAnsi="宋体" w:cs="宋体"/>
          <w:color w:val="000000"/>
          <w:kern w:val="0"/>
          <w:sz w:val="24"/>
        </w:rPr>
        <w:t>证券代码：600200         证券简称：江苏吴中      公告编号：临2023-</w:t>
      </w:r>
      <w:r>
        <w:rPr>
          <w:rFonts w:hint="eastAsia" w:ascii="宋体" w:hAnsi="宋体" w:cs="宋体"/>
          <w:color w:val="000000"/>
          <w:kern w:val="0"/>
          <w:sz w:val="24"/>
          <w:lang w:val="en-US" w:eastAsia="zh-CN"/>
        </w:rPr>
        <w:t>036</w:t>
      </w:r>
    </w:p>
    <w:p>
      <w:pPr>
        <w:spacing w:line="360" w:lineRule="auto"/>
        <w:ind w:right="-153" w:rightChars="-73"/>
        <w:jc w:val="center"/>
        <w:rPr>
          <w:rFonts w:hint="eastAsia"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bookmarkStart w:id="0" w:name="_GoBack"/>
      <w:bookmarkEnd w:id="0"/>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关于未弥补亏损达实收股本总额三分之一的公告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本公司董事会及董事会全体成员保证公告内容不存在虚假记载、误导性陈述或者重大遗漏，并对其内容的真实、准确和完整承担法律责任。</w:t>
      </w:r>
    </w:p>
    <w:p>
      <w:pPr>
        <w:pStyle w:val="9"/>
        <w:spacing w:line="360" w:lineRule="auto"/>
      </w:pPr>
    </w:p>
    <w:p>
      <w:pPr>
        <w:spacing w:line="360" w:lineRule="auto"/>
        <w:ind w:firstLine="540"/>
        <w:rPr>
          <w:rFonts w:ascii="宋体" w:hAnsi="宋体"/>
          <w:sz w:val="24"/>
        </w:rPr>
      </w:pPr>
      <w:r>
        <w:rPr>
          <w:rFonts w:hint="eastAsia" w:ascii="宋体" w:hAnsi="宋体"/>
          <w:sz w:val="24"/>
        </w:rPr>
        <w:t>根据中兴财光华会计师事务所（特殊普通合伙）（以下简称“中兴财事务所”）出具的《江苏吴中医药发展股份有限公司2022年度审计报告》（中兴财光华审会字[2023]第318092号），江苏吴中医药发展股份有限公司（以下简称“公司”）2022年12月31日合并报表未弥补亏损金额超过实收股本总额的三分之一，具体情况如下：</w:t>
      </w:r>
    </w:p>
    <w:p>
      <w:pPr>
        <w:spacing w:line="360" w:lineRule="auto"/>
        <w:ind w:firstLine="540"/>
        <w:rPr>
          <w:rFonts w:ascii="宋体" w:hAnsi="宋体"/>
          <w:b/>
          <w:sz w:val="24"/>
        </w:rPr>
      </w:pPr>
      <w:r>
        <w:rPr>
          <w:rFonts w:hint="eastAsia" w:ascii="宋体" w:hAnsi="宋体"/>
          <w:b/>
          <w:sz w:val="24"/>
        </w:rPr>
        <w:t>一、情况概述</w:t>
      </w:r>
    </w:p>
    <w:p>
      <w:pPr>
        <w:spacing w:line="360" w:lineRule="auto"/>
        <w:ind w:firstLine="540"/>
        <w:rPr>
          <w:rFonts w:ascii="宋体" w:hAnsi="宋体"/>
          <w:sz w:val="24"/>
        </w:rPr>
      </w:pPr>
      <w:r>
        <w:rPr>
          <w:rFonts w:hint="eastAsia" w:ascii="宋体" w:hAnsi="宋体"/>
          <w:sz w:val="24"/>
        </w:rPr>
        <w:t>根据中兴财事务所出具的审计报告，截至2022年12月31日，</w:t>
      </w:r>
      <w:r>
        <w:rPr>
          <w:rFonts w:ascii="宋体" w:hAnsi="宋体"/>
          <w:sz w:val="24"/>
        </w:rPr>
        <w:t>公司经审计的合并财务报表未分配利润为</w:t>
      </w:r>
      <w:r>
        <w:rPr>
          <w:rFonts w:hint="eastAsia" w:ascii="宋体" w:hAnsi="宋体"/>
          <w:sz w:val="24"/>
        </w:rPr>
        <w:t>-</w:t>
      </w:r>
      <w:r>
        <w:rPr>
          <w:rFonts w:ascii="宋体" w:hAnsi="宋体"/>
          <w:sz w:val="24"/>
        </w:rPr>
        <w:t>41,654.14万元，</w:t>
      </w:r>
      <w:r>
        <w:rPr>
          <w:rFonts w:hint="eastAsia" w:ascii="宋体" w:hAnsi="宋体"/>
          <w:sz w:val="24"/>
        </w:rPr>
        <w:t>实收股本为7</w:t>
      </w:r>
      <w:r>
        <w:rPr>
          <w:rFonts w:ascii="宋体" w:hAnsi="宋体"/>
          <w:sz w:val="24"/>
        </w:rPr>
        <w:t>1,238.88</w:t>
      </w:r>
      <w:r>
        <w:rPr>
          <w:rFonts w:hint="eastAsia" w:ascii="宋体" w:hAnsi="宋体"/>
          <w:sz w:val="24"/>
        </w:rPr>
        <w:t>万元，公司未弥补亏损金额超过实收股本总额的三分之一。根据《公司法》《公司章程》等相关规定，公司未弥补亏损达实收股本总额三分之一时，需提交公司股东大会审议。</w:t>
      </w:r>
    </w:p>
    <w:p>
      <w:pPr>
        <w:spacing w:line="360" w:lineRule="auto"/>
        <w:ind w:firstLine="540"/>
        <w:rPr>
          <w:rFonts w:ascii="宋体" w:hAnsi="宋体"/>
          <w:b/>
          <w:sz w:val="24"/>
        </w:rPr>
      </w:pPr>
      <w:r>
        <w:rPr>
          <w:rFonts w:hint="eastAsia" w:ascii="宋体" w:hAnsi="宋体"/>
          <w:b/>
          <w:sz w:val="24"/>
        </w:rPr>
        <w:t>二、未弥补亏损的主要原因</w:t>
      </w:r>
    </w:p>
    <w:p>
      <w:pPr>
        <w:pStyle w:val="2"/>
        <w:spacing w:line="360" w:lineRule="auto"/>
        <w:ind w:firstLine="480"/>
        <w:rPr>
          <w:rFonts w:ascii="宋体" w:hAnsi="宋体"/>
          <w:sz w:val="24"/>
        </w:rPr>
      </w:pPr>
      <w:r>
        <w:rPr>
          <w:rFonts w:hint="eastAsia" w:ascii="宋体" w:hAnsi="宋体"/>
          <w:sz w:val="24"/>
        </w:rPr>
        <w:t>2020年、2021年、2022年，公司归属于母公司股东的净利润分别为</w:t>
      </w:r>
      <w:r>
        <w:rPr>
          <w:rFonts w:ascii="宋体" w:hAnsi="宋体"/>
          <w:sz w:val="24"/>
        </w:rPr>
        <w:t>-50</w:t>
      </w:r>
      <w:r>
        <w:rPr>
          <w:rFonts w:hint="eastAsia" w:ascii="宋体" w:hAnsi="宋体"/>
          <w:sz w:val="24"/>
        </w:rPr>
        <w:t>,</w:t>
      </w:r>
      <w:r>
        <w:rPr>
          <w:rFonts w:ascii="宋体" w:hAnsi="宋体"/>
          <w:sz w:val="24"/>
        </w:rPr>
        <w:t>641.07万元、2</w:t>
      </w:r>
      <w:r>
        <w:rPr>
          <w:rFonts w:hint="eastAsia" w:ascii="宋体" w:hAnsi="宋体"/>
          <w:sz w:val="24"/>
        </w:rPr>
        <w:t>,</w:t>
      </w:r>
      <w:r>
        <w:rPr>
          <w:rFonts w:ascii="宋体" w:hAnsi="宋体"/>
          <w:sz w:val="24"/>
        </w:rPr>
        <w:t>271.63万元</w:t>
      </w:r>
      <w:r>
        <w:rPr>
          <w:rFonts w:hint="eastAsia" w:ascii="宋体" w:hAnsi="宋体"/>
          <w:sz w:val="24"/>
        </w:rPr>
        <w:t>、</w:t>
      </w:r>
      <w:r>
        <w:rPr>
          <w:rFonts w:ascii="宋体" w:hAnsi="宋体"/>
          <w:sz w:val="24"/>
        </w:rPr>
        <w:t>-7</w:t>
      </w:r>
      <w:r>
        <w:rPr>
          <w:rFonts w:hint="eastAsia" w:ascii="宋体" w:hAnsi="宋体"/>
          <w:sz w:val="24"/>
        </w:rPr>
        <w:t>,</w:t>
      </w:r>
      <w:r>
        <w:rPr>
          <w:rFonts w:ascii="宋体" w:hAnsi="宋体"/>
          <w:sz w:val="24"/>
        </w:rPr>
        <w:t>619.73万元</w:t>
      </w:r>
      <w:r>
        <w:rPr>
          <w:rFonts w:hint="eastAsia" w:ascii="宋体" w:hAnsi="宋体"/>
          <w:sz w:val="24"/>
        </w:rPr>
        <w:t>，导致公司</w:t>
      </w:r>
      <w:r>
        <w:rPr>
          <w:rFonts w:ascii="宋体" w:hAnsi="宋体"/>
          <w:sz w:val="24"/>
        </w:rPr>
        <w:t>合并财务报表未分配利润为</w:t>
      </w:r>
      <w:r>
        <w:rPr>
          <w:rFonts w:hint="eastAsia" w:ascii="宋体" w:hAnsi="宋体"/>
          <w:sz w:val="24"/>
        </w:rPr>
        <w:t>-</w:t>
      </w:r>
      <w:r>
        <w:rPr>
          <w:rFonts w:ascii="宋体" w:hAnsi="宋体"/>
          <w:sz w:val="24"/>
        </w:rPr>
        <w:t>41,654.14万元</w:t>
      </w:r>
      <w:r>
        <w:rPr>
          <w:rFonts w:hint="eastAsia" w:ascii="宋体" w:hAnsi="宋体"/>
          <w:sz w:val="24"/>
        </w:rPr>
        <w:t>，超过实收股本总额的三分之一。未弥补亏损超过实收股本总额三分之一的主要原因：</w:t>
      </w:r>
    </w:p>
    <w:p>
      <w:pPr>
        <w:pStyle w:val="2"/>
        <w:spacing w:line="360" w:lineRule="auto"/>
        <w:ind w:firstLine="480"/>
        <w:rPr>
          <w:rFonts w:ascii="宋体" w:hAnsi="宋体"/>
          <w:sz w:val="24"/>
        </w:rPr>
      </w:pPr>
      <w:r>
        <w:rPr>
          <w:rFonts w:hint="eastAsia" w:ascii="宋体" w:hAnsi="宋体"/>
          <w:sz w:val="24"/>
        </w:rPr>
        <w:t>1、化工板块的资产处置</w:t>
      </w:r>
    </w:p>
    <w:p>
      <w:pPr>
        <w:pStyle w:val="2"/>
        <w:spacing w:line="360" w:lineRule="auto"/>
        <w:ind w:firstLine="480"/>
        <w:rPr>
          <w:rFonts w:ascii="宋体" w:hAnsi="宋体"/>
          <w:sz w:val="24"/>
        </w:rPr>
      </w:pPr>
      <w:r>
        <w:rPr>
          <w:rFonts w:hint="eastAsia" w:ascii="宋体" w:hAnsi="宋体"/>
          <w:sz w:val="24"/>
        </w:rPr>
        <w:t>公司全资子公司响水恒利达科技化工有限公司（以下简称“响水恒利达”）受“响水3•21爆炸事故”影响，2020年响水恒利达决定退出响水生态化工园区并进行资产处置，</w:t>
      </w:r>
      <w:r>
        <w:rPr>
          <w:rFonts w:ascii="宋体" w:hAnsi="宋体"/>
          <w:sz w:val="24"/>
        </w:rPr>
        <w:t>导致公司累计计提</w:t>
      </w:r>
      <w:r>
        <w:rPr>
          <w:rFonts w:hint="eastAsia" w:ascii="宋体" w:hAnsi="宋体"/>
          <w:sz w:val="24"/>
        </w:rPr>
        <w:t>商誉减值准备3</w:t>
      </w:r>
      <w:r>
        <w:rPr>
          <w:rFonts w:ascii="宋体" w:hAnsi="宋体"/>
          <w:sz w:val="24"/>
        </w:rPr>
        <w:t>7</w:t>
      </w:r>
      <w:r>
        <w:rPr>
          <w:rFonts w:hint="eastAsia" w:ascii="宋体" w:hAnsi="宋体"/>
          <w:sz w:val="24"/>
        </w:rPr>
        <w:t>,</w:t>
      </w:r>
      <w:r>
        <w:rPr>
          <w:rFonts w:ascii="宋体" w:hAnsi="宋体"/>
          <w:sz w:val="24"/>
        </w:rPr>
        <w:t>977.43万元</w:t>
      </w:r>
      <w:r>
        <w:rPr>
          <w:rFonts w:hint="eastAsia" w:ascii="宋体" w:hAnsi="宋体"/>
          <w:sz w:val="24"/>
        </w:rPr>
        <w:t>，并计提了大额的资产减值准备2</w:t>
      </w:r>
      <w:r>
        <w:rPr>
          <w:rFonts w:ascii="宋体" w:hAnsi="宋体"/>
          <w:sz w:val="24"/>
        </w:rPr>
        <w:t>9</w:t>
      </w:r>
      <w:r>
        <w:rPr>
          <w:rFonts w:hint="eastAsia" w:ascii="宋体" w:hAnsi="宋体"/>
          <w:sz w:val="24"/>
        </w:rPr>
        <w:t>,</w:t>
      </w:r>
      <w:r>
        <w:rPr>
          <w:rFonts w:ascii="宋体" w:hAnsi="宋体"/>
          <w:sz w:val="24"/>
        </w:rPr>
        <w:t>575.80</w:t>
      </w:r>
      <w:r>
        <w:rPr>
          <w:rFonts w:hint="eastAsia" w:ascii="宋体" w:hAnsi="宋体"/>
          <w:sz w:val="24"/>
        </w:rPr>
        <w:t>万元，从而导致公司未弥补亏损大幅增加。</w:t>
      </w:r>
    </w:p>
    <w:p>
      <w:pPr>
        <w:pStyle w:val="2"/>
        <w:spacing w:line="360" w:lineRule="auto"/>
        <w:ind w:firstLine="480"/>
        <w:rPr>
          <w:rFonts w:ascii="宋体" w:hAnsi="宋体"/>
          <w:sz w:val="24"/>
        </w:rPr>
      </w:pPr>
      <w:r>
        <w:rPr>
          <w:rFonts w:hint="eastAsia" w:ascii="宋体" w:hAnsi="宋体"/>
          <w:sz w:val="24"/>
        </w:rPr>
        <w:t>2、产业转型与业务拓展</w:t>
      </w:r>
    </w:p>
    <w:p>
      <w:pPr>
        <w:pStyle w:val="2"/>
        <w:spacing w:line="360" w:lineRule="auto"/>
        <w:ind w:firstLine="480"/>
        <w:rPr>
          <w:rFonts w:ascii="宋体" w:hAnsi="宋体"/>
          <w:sz w:val="24"/>
        </w:rPr>
      </w:pPr>
      <w:r>
        <w:rPr>
          <w:rFonts w:hint="eastAsia" w:ascii="宋体" w:hAnsi="宋体"/>
          <w:sz w:val="24"/>
        </w:rPr>
        <w:t>公司在决定退出化工板块后进行了发展战略转型，重点聚焦医药大健康产业布局，一方面进一步巩固提升医药产业的核心地位；另一方面把医美生物科技产业等作为新兴大健康子行业重点培育。公司医美生科板块的快速发展增加了包括研发支出等各类费用；同时，受市场环境等方面的影响，公司医药板块为拓展市场，增加了营销费用的投入。</w:t>
      </w:r>
    </w:p>
    <w:p>
      <w:pPr>
        <w:pStyle w:val="2"/>
        <w:spacing w:line="360" w:lineRule="auto"/>
        <w:ind w:firstLine="482"/>
        <w:rPr>
          <w:rFonts w:ascii="宋体" w:hAnsi="宋体"/>
          <w:b/>
          <w:sz w:val="24"/>
        </w:rPr>
      </w:pPr>
      <w:r>
        <w:rPr>
          <w:rFonts w:hint="eastAsia" w:ascii="宋体" w:hAnsi="宋体"/>
          <w:b/>
          <w:sz w:val="24"/>
        </w:rPr>
        <w:t>三、应对措施</w:t>
      </w:r>
    </w:p>
    <w:p>
      <w:pPr>
        <w:pStyle w:val="2"/>
        <w:spacing w:line="360" w:lineRule="auto"/>
        <w:ind w:firstLine="480"/>
        <w:rPr>
          <w:rFonts w:ascii="宋体" w:hAnsi="宋体"/>
          <w:sz w:val="24"/>
        </w:rPr>
      </w:pPr>
      <w:r>
        <w:rPr>
          <w:rFonts w:hint="eastAsia" w:ascii="宋体" w:hAnsi="宋体"/>
          <w:sz w:val="24"/>
        </w:rPr>
        <w:t>公司将坚持医药大健康发展战略，深耕医药核心产业，加快布局拓展医美生科板块，积极改善公司的经营情况，提升整体的盈利水平，弥补前期亏损。具体措施如下：</w:t>
      </w:r>
    </w:p>
    <w:p>
      <w:pPr>
        <w:pStyle w:val="2"/>
        <w:spacing w:line="360" w:lineRule="auto"/>
        <w:ind w:firstLine="480"/>
        <w:rPr>
          <w:rFonts w:ascii="宋体" w:hAnsi="宋体"/>
          <w:sz w:val="24"/>
        </w:rPr>
      </w:pPr>
      <w:r>
        <w:rPr>
          <w:rFonts w:hint="eastAsia" w:ascii="宋体" w:hAnsi="宋体"/>
          <w:sz w:val="24"/>
        </w:rPr>
        <w:t>首先，对于传统的医药制造和医药商业方面，通过全方位的巩固提升谋求快速的复合增长：充分利用公司组建的苏州市先进技术研究院为业务发展持续导入符合市场需求的主流产品，重点聚焦高端仿制药、首仿药、专科用药，稳步推进创新药研发，为公司业务提供高水平的技术支撑；以“苏州市医药制造业的标杆”为目标，谋划新的产能布局，打造既能全方位保障公司自身产业需求，又能承接高水平的产品受托加工和MAH业务，并在高端仿制和创新药领域逐步发展CDMO核心能力；建立覆盖全国的高质量营销网络，实施包括合伙人和佣金合作制在内的“互利双赢”的新型营销激励政策和机制。</w:t>
      </w:r>
    </w:p>
    <w:p>
      <w:pPr>
        <w:pStyle w:val="2"/>
        <w:spacing w:line="360" w:lineRule="auto"/>
        <w:ind w:firstLine="480"/>
        <w:rPr>
          <w:rFonts w:ascii="宋体" w:hAnsi="宋体"/>
          <w:sz w:val="24"/>
        </w:rPr>
      </w:pPr>
      <w:r>
        <w:rPr>
          <w:rFonts w:hint="eastAsia" w:ascii="宋体" w:hAnsi="宋体"/>
          <w:sz w:val="24"/>
        </w:rPr>
        <w:t>其次，在医美生物科技方面，以产品竞争力为导向，聚焦高端注射类产品，不断丰富产品管线。在研发方面，依托生物药的研发和产业化经验，围绕以重组胶原蛋白为核心的高端生物科技材料持续投入。在营销方面，侧重医生教育和培训，为产品的终端应用保驾护航。</w:t>
      </w:r>
    </w:p>
    <w:p>
      <w:pPr>
        <w:spacing w:line="360" w:lineRule="auto"/>
        <w:ind w:firstLine="480" w:firstLineChars="200"/>
        <w:rPr>
          <w:rFonts w:ascii="宋体" w:hAnsi="宋体"/>
          <w:sz w:val="24"/>
        </w:rPr>
      </w:pPr>
      <w:r>
        <w:rPr>
          <w:rFonts w:ascii="宋体" w:hAnsi="宋体"/>
          <w:sz w:val="24"/>
        </w:rPr>
        <w:t>特此公告</w:t>
      </w:r>
      <w:r>
        <w:rPr>
          <w:rFonts w:hint="eastAsia" w:ascii="宋体" w:hAnsi="宋体"/>
          <w:sz w:val="24"/>
        </w:rPr>
        <w:t>。</w:t>
      </w:r>
    </w:p>
    <w:p>
      <w:pPr>
        <w:spacing w:line="360" w:lineRule="auto"/>
        <w:ind w:firstLine="480" w:firstLineChars="200"/>
        <w:rPr>
          <w:rFonts w:ascii="宋体" w:hAnsi="宋体"/>
          <w:sz w:val="24"/>
        </w:rPr>
      </w:pPr>
    </w:p>
    <w:p>
      <w:pPr>
        <w:spacing w:line="360" w:lineRule="auto"/>
        <w:ind w:firstLine="4320" w:firstLineChars="1800"/>
        <w:jc w:val="right"/>
        <w:rPr>
          <w:rFonts w:ascii="宋体" w:hAnsi="宋体"/>
          <w:sz w:val="24"/>
        </w:rPr>
      </w:pPr>
      <w:r>
        <w:rPr>
          <w:rFonts w:hint="eastAsia" w:ascii="宋体" w:hAnsi="宋体"/>
          <w:sz w:val="24"/>
        </w:rPr>
        <w:t>江苏吴中医药发展股份有限公司</w:t>
      </w:r>
    </w:p>
    <w:p>
      <w:pPr>
        <w:spacing w:line="360" w:lineRule="auto"/>
        <w:ind w:right="1200" w:firstLine="4320" w:firstLineChars="1800"/>
        <w:jc w:val="right"/>
        <w:rPr>
          <w:rFonts w:ascii="宋体" w:hAnsi="宋体"/>
          <w:sz w:val="24"/>
        </w:rPr>
      </w:pPr>
      <w:r>
        <w:rPr>
          <w:rFonts w:hint="eastAsia" w:ascii="宋体" w:hAnsi="宋体"/>
          <w:sz w:val="24"/>
        </w:rPr>
        <w:t xml:space="preserve">董事会      </w:t>
      </w:r>
    </w:p>
    <w:p>
      <w:pPr>
        <w:spacing w:line="360" w:lineRule="auto"/>
        <w:ind w:right="480" w:firstLine="5220" w:firstLineChars="2175"/>
        <w:jc w:val="center"/>
        <w:rPr>
          <w:rFonts w:ascii="宋体" w:hAnsi="宋体"/>
          <w:sz w:val="24"/>
        </w:rPr>
      </w:pPr>
      <w:r>
        <w:rPr>
          <w:rFonts w:hint="eastAsia" w:ascii="宋体" w:hAnsi="宋体"/>
          <w:sz w:val="24"/>
        </w:rPr>
        <w:t xml:space="preserve">    2023年4月27日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156443"/>
    <w:rsid w:val="00005361"/>
    <w:rsid w:val="00007E50"/>
    <w:rsid w:val="00051C16"/>
    <w:rsid w:val="00104A00"/>
    <w:rsid w:val="00147A54"/>
    <w:rsid w:val="00156443"/>
    <w:rsid w:val="001B04D6"/>
    <w:rsid w:val="00247A58"/>
    <w:rsid w:val="00311443"/>
    <w:rsid w:val="00350188"/>
    <w:rsid w:val="00377824"/>
    <w:rsid w:val="00384E26"/>
    <w:rsid w:val="003D11EB"/>
    <w:rsid w:val="003D6EFC"/>
    <w:rsid w:val="00411C89"/>
    <w:rsid w:val="00443F3B"/>
    <w:rsid w:val="00487336"/>
    <w:rsid w:val="0053613D"/>
    <w:rsid w:val="00581BEA"/>
    <w:rsid w:val="005E7065"/>
    <w:rsid w:val="0060200B"/>
    <w:rsid w:val="007B236A"/>
    <w:rsid w:val="007C2F3A"/>
    <w:rsid w:val="007C4946"/>
    <w:rsid w:val="008429BC"/>
    <w:rsid w:val="00892F0F"/>
    <w:rsid w:val="008C3F1F"/>
    <w:rsid w:val="0091247F"/>
    <w:rsid w:val="009170FB"/>
    <w:rsid w:val="00941E5A"/>
    <w:rsid w:val="00985AB7"/>
    <w:rsid w:val="009A1E2B"/>
    <w:rsid w:val="009D492F"/>
    <w:rsid w:val="009E7D79"/>
    <w:rsid w:val="00A224A8"/>
    <w:rsid w:val="00A706A8"/>
    <w:rsid w:val="00AC4668"/>
    <w:rsid w:val="00AF77ED"/>
    <w:rsid w:val="00B34229"/>
    <w:rsid w:val="00B43657"/>
    <w:rsid w:val="00B64CBF"/>
    <w:rsid w:val="00C03A9F"/>
    <w:rsid w:val="00C5289B"/>
    <w:rsid w:val="00C5389E"/>
    <w:rsid w:val="00C84EC7"/>
    <w:rsid w:val="00D632DD"/>
    <w:rsid w:val="00DB3254"/>
    <w:rsid w:val="00E03371"/>
    <w:rsid w:val="00EC569A"/>
    <w:rsid w:val="00FC2107"/>
    <w:rsid w:val="00FE0E64"/>
    <w:rsid w:val="17A70F72"/>
    <w:rsid w:val="2DF64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1284</Words>
  <Characters>1407</Characters>
  <Lines>10</Lines>
  <Paragraphs>2</Paragraphs>
  <TotalTime>2</TotalTime>
  <ScaleCrop>false</ScaleCrop>
  <LinksUpToDate>false</LinksUpToDate>
  <CharactersWithSpaces>1432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2023-04-26T06:16:00Z</dcterms:created>
  <dc:creator>李锐</dc:creator>
  <cp:lastModifiedBy>王雅杰</cp:lastModifiedBy>
  <dcterms:modified xsi:type="dcterms:W3CDTF">2023-04-26T06:56:06Z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084F9ACC7CB04526B9111EA6C6D15E3E</vt:lpwstr>
  </property>
</Properties>
</file>