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w:t>
      </w:r>
      <w:r>
        <w:rPr>
          <w:rFonts w:hint="eastAsia" w:ascii="宋体" w:hAnsi="宋体" w:cs="宋体"/>
          <w:color w:val="000000"/>
          <w:kern w:val="0"/>
          <w:sz w:val="24"/>
          <w:highlight w:val="none"/>
        </w:rPr>
        <w:t>编号：临2023-</w:t>
      </w:r>
      <w:r>
        <w:rPr>
          <w:rFonts w:hint="eastAsia" w:ascii="宋体" w:hAnsi="宋体" w:cs="宋体"/>
          <w:color w:val="000000"/>
          <w:kern w:val="0"/>
          <w:sz w:val="24"/>
          <w:highlight w:val="none"/>
          <w:lang w:val="en-US" w:eastAsia="zh-CN"/>
        </w:rPr>
        <w:t>010</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关于控股股东部分股份解除质押及再质押的公告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spacing w:line="420" w:lineRule="exact"/>
        <w:rPr>
          <w:rFonts w:ascii="宋体" w:cs="宋体"/>
          <w:color w:val="000000"/>
          <w:kern w:val="0"/>
          <w:sz w:val="24"/>
        </w:rPr>
      </w:pPr>
    </w:p>
    <w:p>
      <w:pPr>
        <w:autoSpaceDE w:val="0"/>
        <w:autoSpaceDN w:val="0"/>
        <w:adjustRightInd w:val="0"/>
        <w:spacing w:line="360" w:lineRule="auto"/>
        <w:ind w:firstLine="482" w:firstLineChars="200"/>
        <w:rPr>
          <w:rFonts w:ascii="宋体" w:hAnsi="宋体"/>
          <w:b/>
          <w:sz w:val="24"/>
          <w:highlight w:val="none"/>
        </w:rPr>
      </w:pPr>
      <w:r>
        <w:rPr>
          <w:rFonts w:hint="eastAsia" w:ascii="宋体" w:hAnsi="宋体"/>
          <w:b/>
          <w:sz w:val="24"/>
          <w:highlight w:val="none"/>
        </w:rPr>
        <w:t>重要内容提示：</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ascii="宋体" w:hAnsi="宋体"/>
          <w:sz w:val="24"/>
          <w:highlight w:val="none"/>
        </w:rPr>
      </w:pPr>
      <w:r>
        <w:rPr>
          <w:rFonts w:hint="eastAsia" w:ascii="宋体" w:hAnsi="宋体"/>
          <w:sz w:val="24"/>
          <w:highlight w:val="none"/>
        </w:rPr>
        <w:t>本次部分股份解除质押及再质押后，控股股东累计质押股份数量</w:t>
      </w:r>
      <w:r>
        <w:rPr>
          <w:rFonts w:hint="eastAsia" w:ascii="宋体" w:hAnsi="宋体"/>
          <w:sz w:val="24"/>
          <w:highlight w:val="none"/>
          <w:lang w:val="en-US" w:eastAsia="zh-CN"/>
        </w:rPr>
        <w:t>81,400,000</w:t>
      </w:r>
      <w:r>
        <w:rPr>
          <w:rFonts w:hint="eastAsia" w:ascii="宋体" w:hAnsi="宋体"/>
          <w:sz w:val="24"/>
          <w:highlight w:val="none"/>
        </w:rPr>
        <w:t>股，占其持有公司股份总数的</w:t>
      </w:r>
      <w:r>
        <w:rPr>
          <w:rFonts w:hint="eastAsia" w:ascii="宋体" w:hAnsi="宋体"/>
          <w:sz w:val="24"/>
          <w:highlight w:val="none"/>
          <w:lang w:val="en-US" w:eastAsia="zh-CN"/>
        </w:rPr>
        <w:t>66.29</w:t>
      </w:r>
      <w:r>
        <w:rPr>
          <w:rFonts w:hint="eastAsia" w:ascii="宋体" w:hAnsi="宋体"/>
          <w:sz w:val="24"/>
          <w:highlight w:val="none"/>
        </w:rPr>
        <w:t>%，占公司总股本的</w:t>
      </w:r>
      <w:r>
        <w:rPr>
          <w:rFonts w:hint="eastAsia" w:ascii="宋体" w:hAnsi="宋体"/>
          <w:sz w:val="24"/>
          <w:highlight w:val="none"/>
          <w:lang w:val="en-US" w:eastAsia="zh-CN"/>
        </w:rPr>
        <w:t>11.43</w:t>
      </w:r>
      <w:r>
        <w:rPr>
          <w:rFonts w:hint="eastAsia" w:ascii="宋体" w:hAnsi="宋体"/>
          <w:sz w:val="24"/>
          <w:highlight w:val="none"/>
        </w:rPr>
        <w:t>%。</w:t>
      </w:r>
    </w:p>
    <w:p>
      <w:pPr>
        <w:spacing w:line="420" w:lineRule="exact"/>
        <w:rPr>
          <w:rFonts w:ascii="宋体" w:cs="宋体"/>
          <w:kern w:val="0"/>
          <w:sz w:val="24"/>
          <w:highlight w:val="none"/>
        </w:rPr>
      </w:pPr>
    </w:p>
    <w:p>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公司于2023年</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15</w:t>
      </w:r>
      <w:bookmarkStart w:id="0" w:name="_GoBack"/>
      <w:bookmarkEnd w:id="0"/>
      <w:r>
        <w:rPr>
          <w:rFonts w:hint="eastAsia" w:asciiTheme="minorEastAsia" w:hAnsiTheme="minorEastAsia" w:eastAsiaTheme="minorEastAsia"/>
          <w:sz w:val="24"/>
          <w:highlight w:val="none"/>
        </w:rPr>
        <w:t>日收到控股股东苏州吴中投资控股有限公司关于部分股份解除质押及再质押的通知，具体情况如下：</w:t>
      </w:r>
    </w:p>
    <w:p>
      <w:pPr>
        <w:spacing w:line="360" w:lineRule="auto"/>
        <w:ind w:firstLine="482" w:firstLineChars="200"/>
        <w:rPr>
          <w:rFonts w:ascii="宋体" w:cs="宋体"/>
          <w:b/>
          <w:kern w:val="0"/>
          <w:sz w:val="24"/>
          <w:highlight w:val="none"/>
        </w:rPr>
      </w:pPr>
      <w:r>
        <w:rPr>
          <w:rFonts w:hint="eastAsia" w:ascii="宋体" w:cs="宋体"/>
          <w:b/>
          <w:kern w:val="0"/>
          <w:sz w:val="24"/>
          <w:highlight w:val="none"/>
        </w:rPr>
        <w:t>一、本次部分股份解除质押的情况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2023年</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14</w:t>
      </w:r>
      <w:r>
        <w:rPr>
          <w:rFonts w:hint="eastAsia" w:asciiTheme="minorEastAsia" w:hAnsiTheme="minorEastAsia" w:eastAsiaTheme="minorEastAsia"/>
          <w:sz w:val="24"/>
          <w:highlight w:val="none"/>
        </w:rPr>
        <w:t>日，控股股东将质押给</w:t>
      </w:r>
      <w:r>
        <w:rPr>
          <w:rFonts w:hint="eastAsia" w:asciiTheme="minorEastAsia" w:hAnsiTheme="minorEastAsia" w:eastAsiaTheme="minorEastAsia"/>
          <w:sz w:val="24"/>
          <w:highlight w:val="none"/>
          <w:lang w:val="en-US" w:eastAsia="zh-CN"/>
        </w:rPr>
        <w:t>浙商银行股份有限公司苏州分行</w:t>
      </w:r>
      <w:r>
        <w:rPr>
          <w:rFonts w:hint="eastAsia" w:asciiTheme="minorEastAsia" w:hAnsiTheme="minorEastAsia" w:eastAsiaTheme="minorEastAsia"/>
          <w:sz w:val="24"/>
          <w:highlight w:val="none"/>
        </w:rPr>
        <w:t>的共计</w:t>
      </w:r>
      <w:r>
        <w:rPr>
          <w:rFonts w:hint="eastAsia" w:asciiTheme="minorEastAsia" w:hAnsiTheme="minorEastAsia" w:eastAsiaTheme="minorEastAsia"/>
          <w:sz w:val="24"/>
          <w:highlight w:val="none"/>
          <w:lang w:val="en-US" w:eastAsia="zh-CN"/>
        </w:rPr>
        <w:t>11,500,000</w:t>
      </w:r>
      <w:r>
        <w:rPr>
          <w:rFonts w:hint="eastAsia" w:asciiTheme="minorEastAsia" w:hAnsiTheme="minorEastAsia" w:eastAsiaTheme="minorEastAsia"/>
          <w:sz w:val="24"/>
          <w:highlight w:val="none"/>
        </w:rPr>
        <w:t>股股份办理完成了质押解除手续。本次股份解除质押具体情况如下：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股东名称</w:t>
            </w:r>
          </w:p>
        </w:tc>
        <w:tc>
          <w:tcPr>
            <w:tcW w:w="3732" w:type="dxa"/>
            <w:vAlign w:val="center"/>
          </w:tcPr>
          <w:p>
            <w:pPr>
              <w:adjustRightInd w:val="0"/>
              <w:snapToGrid w:val="0"/>
              <w:spacing w:line="46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w:t>
            </w:r>
            <w:r>
              <w:rPr>
                <w:rFonts w:asciiTheme="minorEastAsia" w:hAnsiTheme="minorEastAsia" w:eastAsiaTheme="minorEastAsia"/>
                <w:szCs w:val="21"/>
                <w:highlight w:val="none"/>
              </w:rPr>
              <w:t>解质股份</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股</w:t>
            </w:r>
            <w:r>
              <w:rPr>
                <w:rFonts w:hint="eastAsia" w:asciiTheme="minorEastAsia" w:hAnsiTheme="minorEastAsia" w:eastAsiaTheme="minorEastAsia"/>
                <w:szCs w:val="21"/>
                <w:highlight w:val="none"/>
                <w:lang w:eastAsia="zh-CN"/>
              </w:rPr>
              <w:t>）</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解质时间</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2023年2月14日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股</w:t>
            </w:r>
            <w:r>
              <w:rPr>
                <w:rFonts w:hint="eastAsia" w:asciiTheme="minorEastAsia" w:hAnsiTheme="minorEastAsia" w:eastAsiaTheme="minorEastAsia"/>
                <w:szCs w:val="21"/>
                <w:highlight w:val="none"/>
                <w:lang w:eastAsia="zh-CN"/>
              </w:rPr>
              <w:t>）</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122,795,762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股</w:t>
            </w:r>
            <w:r>
              <w:rPr>
                <w:rFonts w:hint="eastAsia" w:asciiTheme="minorEastAsia" w:hAnsiTheme="minorEastAsia" w:eastAsiaTheme="minorEastAsia"/>
                <w:szCs w:val="21"/>
                <w:highlight w:val="none"/>
                <w:lang w:eastAsia="zh-CN"/>
              </w:rPr>
              <w:t>）</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78,400,000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股份数量占公司总股本比例</w:t>
            </w:r>
          </w:p>
        </w:tc>
        <w:tc>
          <w:tcPr>
            <w:tcW w:w="3732" w:type="dxa"/>
            <w:vAlign w:val="center"/>
          </w:tcPr>
          <w:p>
            <w:pPr>
              <w:adjustRightInd w:val="0"/>
              <w:snapToGrid w:val="0"/>
              <w:spacing w:line="460" w:lineRule="exact"/>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11.01%</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本次解除质押的股份</w:t>
      </w:r>
      <w:r>
        <w:rPr>
          <w:rFonts w:hint="eastAsia" w:asciiTheme="minorEastAsia" w:hAnsiTheme="minorEastAsia" w:eastAsiaTheme="minorEastAsia"/>
          <w:sz w:val="24"/>
          <w:highlight w:val="none"/>
          <w:lang w:val="en-US" w:eastAsia="zh-CN"/>
        </w:rPr>
        <w:t>其中3,000,000股股份</w:t>
      </w:r>
      <w:r>
        <w:rPr>
          <w:rFonts w:hint="eastAsia" w:asciiTheme="minorEastAsia" w:hAnsiTheme="minorEastAsia" w:eastAsiaTheme="minorEastAsia"/>
          <w:sz w:val="24"/>
          <w:highlight w:val="none"/>
        </w:rPr>
        <w:t>用于后续质押，具体情况见“二、股份质押基本情况”。</w:t>
      </w:r>
    </w:p>
    <w:p>
      <w:pPr>
        <w:spacing w:line="420" w:lineRule="exact"/>
        <w:ind w:firstLine="480" w:firstLineChars="200"/>
        <w:rPr>
          <w:rFonts w:asciiTheme="minorEastAsia" w:hAnsiTheme="minorEastAsia" w:eastAsiaTheme="minorEastAsia"/>
          <w:sz w:val="24"/>
          <w:highlight w:val="none"/>
        </w:rPr>
      </w:pPr>
    </w:p>
    <w:p>
      <w:pPr>
        <w:spacing w:after="240" w:line="42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二、股份质押基本情况</w:t>
      </w:r>
    </w:p>
    <w:p>
      <w:pPr>
        <w:spacing w:after="240"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1、本次股份质押基本情况</w:t>
      </w:r>
    </w:p>
    <w:tbl>
      <w:tblPr>
        <w:tblStyle w:val="5"/>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85"/>
        <w:gridCol w:w="1290"/>
        <w:gridCol w:w="705"/>
        <w:gridCol w:w="735"/>
        <w:gridCol w:w="960"/>
        <w:gridCol w:w="960"/>
        <w:gridCol w:w="1290"/>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控股股东</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本次质押股数(股)</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是否为限售股</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是否补充质押</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起始日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w:t>
            </w:r>
          </w:p>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到期日</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是</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3,000,000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否</w:t>
            </w:r>
          </w:p>
        </w:tc>
        <w:tc>
          <w:tcPr>
            <w:tcW w:w="960" w:type="dxa"/>
            <w:tcBorders>
              <w:top w:val="single" w:color="auto" w:sz="4" w:space="0"/>
              <w:left w:val="single" w:color="auto" w:sz="4" w:space="0"/>
              <w:bottom w:val="single" w:color="auto" w:sz="4" w:space="0"/>
              <w:right w:val="single" w:color="auto" w:sz="4" w:space="0"/>
            </w:tcBorders>
            <w:vAlign w:val="center"/>
          </w:tcPr>
          <w:p>
            <w:pPr>
              <w:jc w:val="left"/>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2023年2月9日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2028年2月28日</w:t>
            </w:r>
          </w:p>
        </w:tc>
        <w:tc>
          <w:tcPr>
            <w:tcW w:w="1290" w:type="dxa"/>
            <w:tcBorders>
              <w:top w:val="single" w:color="auto" w:sz="4" w:space="0"/>
              <w:left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浙商银行股份有限公司苏州分行</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2.44%</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0.42%</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3,000,000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290" w:type="dxa"/>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2.44%</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0.42%</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2、本次质押股份不存在被用作重大资产重组业绩补偿等事项的担保或其他保障用途等情况。</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3、股东累计质押股份情况</w:t>
      </w:r>
    </w:p>
    <w:p>
      <w:pPr>
        <w:adjustRightInd w:val="0"/>
        <w:snapToGrid w:val="0"/>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截至公告披露日，控股股东累计质押股份情况如下：</w:t>
      </w:r>
    </w:p>
    <w:tbl>
      <w:tblPr>
        <w:tblStyle w:val="5"/>
        <w:tblW w:w="6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5"/>
        <w:gridCol w:w="1276"/>
        <w:gridCol w:w="1305"/>
        <w:gridCol w:w="900"/>
        <w:gridCol w:w="870"/>
        <w:gridCol w:w="909"/>
        <w:gridCol w:w="906"/>
        <w:gridCol w:w="849"/>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811"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79"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78,400,000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81,400,000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66.29%</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11.43%</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78,400,000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81,400,000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66.29%</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11.43%</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0</w:t>
            </w:r>
          </w:p>
        </w:tc>
      </w:tr>
    </w:tbl>
    <w:p>
      <w:pPr>
        <w:spacing w:line="420" w:lineRule="exact"/>
        <w:ind w:firstLine="480" w:firstLineChars="200"/>
        <w:rPr>
          <w:rFonts w:asciiTheme="minorEastAsia" w:hAnsiTheme="minorEastAsia" w:eastAsiaTheme="minorEastAsia"/>
          <w:sz w:val="24"/>
          <w:highlight w:val="none"/>
        </w:rPr>
      </w:pPr>
    </w:p>
    <w:p>
      <w:pPr>
        <w:spacing w:line="420" w:lineRule="exact"/>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三、控股股东股份质押情况</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1、控股股东未来半年内到期的质押股份数量为</w:t>
      </w:r>
      <w:r>
        <w:rPr>
          <w:rFonts w:hint="eastAsia" w:asciiTheme="minorEastAsia" w:hAnsiTheme="minorEastAsia" w:eastAsiaTheme="minorEastAsia"/>
          <w:sz w:val="24"/>
          <w:highlight w:val="none"/>
          <w:lang w:val="en-US" w:eastAsia="zh-CN"/>
        </w:rPr>
        <w:t>39,000,000</w:t>
      </w:r>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31.76</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5.48</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15,996</w:t>
      </w:r>
      <w:r>
        <w:rPr>
          <w:rFonts w:hint="eastAsia" w:asciiTheme="minorEastAsia" w:hAnsiTheme="minorEastAsia" w:eastAsiaTheme="minorEastAsia"/>
          <w:sz w:val="24"/>
          <w:highlight w:val="none"/>
        </w:rPr>
        <w:t>万元；</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控股股东未来一年内到期的质押股份数量为</w:t>
      </w:r>
      <w:r>
        <w:rPr>
          <w:rFonts w:hint="eastAsia" w:asciiTheme="minorEastAsia" w:hAnsiTheme="minorEastAsia" w:eastAsiaTheme="minorEastAsia"/>
          <w:sz w:val="24"/>
          <w:highlight w:val="none"/>
          <w:lang w:val="en-US" w:eastAsia="zh-CN"/>
        </w:rPr>
        <w:t>48,800,000</w:t>
      </w:r>
      <w:r>
        <w:rPr>
          <w:rFonts w:hint="eastAsia" w:asciiTheme="minorEastAsia" w:hAnsiTheme="minorEastAsia" w:eastAsiaTheme="minorEastAsia"/>
          <w:sz w:val="24"/>
          <w:highlight w:val="none"/>
        </w:rPr>
        <w:t>股，占其所持股份比例</w:t>
      </w:r>
      <w:r>
        <w:rPr>
          <w:rFonts w:hint="eastAsia" w:asciiTheme="minorEastAsia" w:hAnsiTheme="minorEastAsia" w:eastAsiaTheme="minorEastAsia"/>
          <w:sz w:val="24"/>
          <w:highlight w:val="none"/>
          <w:lang w:val="en-US" w:eastAsia="zh-CN"/>
        </w:rPr>
        <w:t>39.74%</w:t>
      </w:r>
      <w:r>
        <w:rPr>
          <w:rFonts w:hint="eastAsia" w:asciiTheme="minorEastAsia" w:hAnsiTheme="minorEastAsia" w:eastAsiaTheme="minorEastAsia"/>
          <w:sz w:val="24"/>
          <w:highlight w:val="none"/>
        </w:rPr>
        <w:t>，占公司总股本比例为</w:t>
      </w:r>
      <w:r>
        <w:rPr>
          <w:rFonts w:hint="eastAsia" w:asciiTheme="minorEastAsia" w:hAnsiTheme="minorEastAsia" w:eastAsiaTheme="minorEastAsia"/>
          <w:sz w:val="24"/>
          <w:highlight w:val="none"/>
          <w:lang w:val="en-US" w:eastAsia="zh-CN"/>
        </w:rPr>
        <w:t>6.85</w:t>
      </w:r>
      <w:r>
        <w:rPr>
          <w:rFonts w:hint="eastAsia" w:asciiTheme="minorEastAsia" w:hAnsiTheme="minorEastAsia" w:eastAsiaTheme="minorEastAsia"/>
          <w:sz w:val="24"/>
          <w:highlight w:val="none"/>
        </w:rPr>
        <w:t>%，对应融资余额为</w:t>
      </w:r>
      <w:r>
        <w:rPr>
          <w:rFonts w:hint="eastAsia" w:asciiTheme="minorEastAsia" w:hAnsiTheme="minorEastAsia" w:eastAsiaTheme="minorEastAsia"/>
          <w:sz w:val="24"/>
          <w:highlight w:val="none"/>
          <w:lang w:val="en-US" w:eastAsia="zh-CN"/>
        </w:rPr>
        <w:t>19,996</w:t>
      </w:r>
      <w:r>
        <w:rPr>
          <w:rFonts w:hint="eastAsia" w:asciiTheme="minorEastAsia" w:hAnsiTheme="minorEastAsia" w:eastAsiaTheme="minorEastAsia"/>
          <w:sz w:val="24"/>
          <w:highlight w:val="none"/>
        </w:rPr>
        <w:t>万元。</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控股股东具备相应的资金偿还能力，还款资金来源包括经营性现金流、投资收益等。</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2、控股股东不存在通过非经营性资金占用、违规担保、关联交易等侵害上市公司利益的情况。</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3、控股股东质押事项对上市公司的影响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（1）本次质押事项不会对公司生产经营、主营业务、融资授信及融资成本、持续经营能力产生影响。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（3）公司控股股东不存在业绩补偿义务。</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特此公告。</w:t>
      </w:r>
    </w:p>
    <w:p>
      <w:pPr>
        <w:spacing w:line="420" w:lineRule="exact"/>
        <w:ind w:firstLine="480" w:firstLineChars="200"/>
        <w:rPr>
          <w:rFonts w:asciiTheme="minorEastAsia" w:hAnsiTheme="minorEastAsia" w:eastAsiaTheme="minorEastAsia"/>
          <w:sz w:val="24"/>
          <w:highlight w:val="none"/>
        </w:rPr>
      </w:pPr>
    </w:p>
    <w:p>
      <w:pPr>
        <w:spacing w:line="420" w:lineRule="exact"/>
        <w:ind w:firstLine="480" w:firstLineChars="200"/>
        <w:rPr>
          <w:rFonts w:asciiTheme="minorEastAsia" w:hAnsiTheme="minorEastAsia" w:eastAsiaTheme="minorEastAsia"/>
          <w:sz w:val="24"/>
          <w:highlight w:val="none"/>
        </w:rPr>
      </w:pPr>
    </w:p>
    <w:p>
      <w:pPr>
        <w:pStyle w:val="4"/>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cs="Arial"/>
          <w:highlight w:val="none"/>
        </w:rPr>
      </w:pPr>
      <w:r>
        <w:rPr>
          <w:rFonts w:hint="eastAsia" w:cs="Arial"/>
          <w:highlight w:val="none"/>
        </w:rPr>
        <w:t xml:space="preserve">董事会      </w:t>
      </w:r>
    </w:p>
    <w:p>
      <w:pPr>
        <w:pStyle w:val="4"/>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2023年</w:t>
      </w:r>
      <w:r>
        <w:rPr>
          <w:rFonts w:hint="eastAsia" w:cs="Arial"/>
          <w:highlight w:val="none"/>
          <w:lang w:val="en-US" w:eastAsia="zh-CN"/>
        </w:rPr>
        <w:t>2</w:t>
      </w:r>
      <w:r>
        <w:rPr>
          <w:rFonts w:hint="eastAsia" w:cs="Arial"/>
          <w:highlight w:val="none"/>
        </w:rPr>
        <w:t>月</w:t>
      </w:r>
      <w:r>
        <w:rPr>
          <w:rFonts w:hint="eastAsia" w:cs="Arial"/>
          <w:highlight w:val="none"/>
          <w:lang w:val="en-US" w:eastAsia="zh-CN"/>
        </w:rPr>
        <w:t>16</w:t>
      </w:r>
      <w:r>
        <w:rPr>
          <w:rFonts w:hint="eastAsia" w:cs="Arial"/>
          <w:highlight w:val="none"/>
        </w:rPr>
        <w:t>日</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7ACB"/>
    <w:rsid w:val="005B4F18"/>
    <w:rsid w:val="005C3668"/>
    <w:rsid w:val="005D4ACB"/>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5DF4D8A"/>
    <w:rsid w:val="06FE4E39"/>
    <w:rsid w:val="07153E89"/>
    <w:rsid w:val="0A2772DF"/>
    <w:rsid w:val="0B7A075E"/>
    <w:rsid w:val="0CC14BA5"/>
    <w:rsid w:val="0D002EE5"/>
    <w:rsid w:val="0DC363ED"/>
    <w:rsid w:val="0E7E2314"/>
    <w:rsid w:val="13712447"/>
    <w:rsid w:val="143C4803"/>
    <w:rsid w:val="145853B5"/>
    <w:rsid w:val="14661880"/>
    <w:rsid w:val="156F177E"/>
    <w:rsid w:val="16465E0D"/>
    <w:rsid w:val="189F1A11"/>
    <w:rsid w:val="190D49C0"/>
    <w:rsid w:val="198E403D"/>
    <w:rsid w:val="1CDF6673"/>
    <w:rsid w:val="1F013CF9"/>
    <w:rsid w:val="1FF561AE"/>
    <w:rsid w:val="21042B4C"/>
    <w:rsid w:val="21395743"/>
    <w:rsid w:val="23082BE6"/>
    <w:rsid w:val="240A6253"/>
    <w:rsid w:val="255A4E0A"/>
    <w:rsid w:val="25E30D7E"/>
    <w:rsid w:val="27CE1A9E"/>
    <w:rsid w:val="27FB279B"/>
    <w:rsid w:val="2A0B4F4C"/>
    <w:rsid w:val="2B900159"/>
    <w:rsid w:val="2E3F3416"/>
    <w:rsid w:val="2F171C9D"/>
    <w:rsid w:val="34802092"/>
    <w:rsid w:val="35845BB2"/>
    <w:rsid w:val="36140CE4"/>
    <w:rsid w:val="384F42A3"/>
    <w:rsid w:val="38C764E2"/>
    <w:rsid w:val="396401D4"/>
    <w:rsid w:val="39C173D5"/>
    <w:rsid w:val="3A4F2C33"/>
    <w:rsid w:val="3C1E5FF6"/>
    <w:rsid w:val="3C805325"/>
    <w:rsid w:val="3D453E79"/>
    <w:rsid w:val="3D5F13DF"/>
    <w:rsid w:val="3F2C52F0"/>
    <w:rsid w:val="3F854A01"/>
    <w:rsid w:val="40D95004"/>
    <w:rsid w:val="41823372"/>
    <w:rsid w:val="427A45C5"/>
    <w:rsid w:val="45E5269D"/>
    <w:rsid w:val="47C167F2"/>
    <w:rsid w:val="496D426B"/>
    <w:rsid w:val="499248EA"/>
    <w:rsid w:val="49F25388"/>
    <w:rsid w:val="50CE127F"/>
    <w:rsid w:val="53034162"/>
    <w:rsid w:val="535449BE"/>
    <w:rsid w:val="54332825"/>
    <w:rsid w:val="57940E7C"/>
    <w:rsid w:val="59611843"/>
    <w:rsid w:val="597D5D22"/>
    <w:rsid w:val="5A074538"/>
    <w:rsid w:val="5A971D60"/>
    <w:rsid w:val="5AEF5DC2"/>
    <w:rsid w:val="5AFD2D16"/>
    <w:rsid w:val="5B00386F"/>
    <w:rsid w:val="5C3A19C0"/>
    <w:rsid w:val="5DA13381"/>
    <w:rsid w:val="5F677827"/>
    <w:rsid w:val="60AB6843"/>
    <w:rsid w:val="61D17D64"/>
    <w:rsid w:val="638E55A1"/>
    <w:rsid w:val="63D74F7B"/>
    <w:rsid w:val="649B069F"/>
    <w:rsid w:val="65C27F27"/>
    <w:rsid w:val="6639016F"/>
    <w:rsid w:val="68C1269E"/>
    <w:rsid w:val="694A2693"/>
    <w:rsid w:val="696279DD"/>
    <w:rsid w:val="697C4273"/>
    <w:rsid w:val="69B33D95"/>
    <w:rsid w:val="6A4E492F"/>
    <w:rsid w:val="6BDB3A77"/>
    <w:rsid w:val="6DCA78FF"/>
    <w:rsid w:val="6F2614AD"/>
    <w:rsid w:val="73EA2AA9"/>
    <w:rsid w:val="751F6782"/>
    <w:rsid w:val="7A4F18B8"/>
    <w:rsid w:val="7B7417F9"/>
    <w:rsid w:val="7C1C2081"/>
    <w:rsid w:val="7C376AA7"/>
    <w:rsid w:val="7CF95B0B"/>
    <w:rsid w:val="7DA74756"/>
    <w:rsid w:val="7E1E5808"/>
    <w:rsid w:val="7E4408C3"/>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1473</Words>
  <Characters>1781</Characters>
  <Lines>11</Lines>
  <Paragraphs>3</Paragraphs>
  <TotalTime>38</TotalTime>
  <ScaleCrop>false</ScaleCrop>
  <LinksUpToDate>false</LinksUpToDate>
  <CharactersWithSpaces>1802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2023-02-15T07:31:18Z</cp:lastPrinted>
  <dcterms:modified xsi:type="dcterms:W3CDTF">2023-02-15T07:32:34Z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566372C9E47A49EDBA95543962F0A8EF</vt:lpwstr>
  </property>
</Properties>
</file>