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lang w:val="en-US" w:eastAsia="zh-CN"/>
        </w:rPr>
        <w:t>057</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江苏吴中医药发展股份有限公司关于非公开发行</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募集资金2023年上半年存放与实际使用情况的专项报告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pStyle w:val="8"/>
        <w:spacing w:line="360" w:lineRule="auto"/>
        <w:rPr>
          <w:rFonts w:asciiTheme="minorEastAsia" w:hAnsiTheme="minorEastAsia" w:eastAsiaTheme="minorEastAsia" w:cstheme="minorEastAsia"/>
        </w:rPr>
      </w:pP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上市公司监管指引第2号——上市公司募集资金管理和使用的监管要求（2022年修订）》和《上海证券交易所上市公司自律监管指引第1号——规范运作（2022年）》有关规定，现将本公司2023年上半年募集资金存放与使用情况说明如下</w:t>
      </w:r>
      <w:r>
        <w:rPr>
          <w:rFonts w:hint="eastAsia" w:asciiTheme="minorEastAsia" w:hAnsiTheme="minorEastAsia" w:eastAsiaTheme="minorEastAsia" w:cstheme="minorEastAsia"/>
          <w:color w:val="000000"/>
          <w:sz w:val="24"/>
        </w:rPr>
        <w:t>：</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keepNext/>
        <w:keepLines/>
        <w:spacing w:line="360" w:lineRule="auto"/>
        <w:ind w:firstLine="482" w:firstLineChars="200"/>
        <w:outlineLvl w:val="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一、募集资金基本情况</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 实际募集资金金额、资金到账时间</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中国证券监督管理委员会《关于核准江苏吴中实业股份有限公司非公开发行股票的批复》(证监许可[2015]2084号)核准，本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 募集金额使用情况和结余情况</w:t>
      </w:r>
    </w:p>
    <w:p>
      <w:pPr>
        <w:widowControl/>
        <w:spacing w:line="360" w:lineRule="auto"/>
        <w:ind w:firstLine="480" w:firstLineChars="200"/>
        <w:rPr>
          <w:rFonts w:asciiTheme="minorEastAsia" w:hAnsiTheme="minorEastAsia" w:eastAsiaTheme="minorEastAsia" w:cstheme="minorEastAsia"/>
          <w:color w:val="000000"/>
          <w:kern w:val="0"/>
          <w:sz w:val="24"/>
          <w:highlight w:val="yellow"/>
        </w:rPr>
      </w:pPr>
      <w:r>
        <w:rPr>
          <w:rFonts w:hint="eastAsia" w:asciiTheme="minorEastAsia" w:hAnsiTheme="minorEastAsia" w:eastAsiaTheme="minorEastAsia" w:cstheme="minorEastAsia"/>
          <w:sz w:val="24"/>
        </w:rPr>
        <w:t>2015年度公司使用募集资金155,016,482.59元，2016年度公司使用募集资金95,989,632.36元，2017年度公司使用募集资金57,198,274.13元，2018年度公司使用募集资金34,233,833.35元，2019年度使用募集资金48,861,522.03元，2020年度使用募集资金21,956,213.55元，2021年度使用募集资金</w:t>
      </w:r>
      <w:r>
        <w:rPr>
          <w:rFonts w:asciiTheme="minorEastAsia" w:hAnsiTheme="minorEastAsia" w:eastAsiaTheme="minorEastAsia" w:cstheme="minorEastAsia"/>
          <w:kern w:val="0"/>
          <w:sz w:val="24"/>
        </w:rPr>
        <w:t>72,409,807.54</w:t>
      </w:r>
      <w:r>
        <w:rPr>
          <w:rFonts w:hint="eastAsia" w:asciiTheme="minorEastAsia" w:hAnsiTheme="minorEastAsia" w:eastAsiaTheme="minorEastAsia" w:cstheme="minorEastAsia"/>
          <w:color w:val="000000"/>
          <w:kern w:val="0"/>
          <w:sz w:val="24"/>
        </w:rPr>
        <w:t>元</w:t>
      </w:r>
      <w:r>
        <w:rPr>
          <w:rFonts w:hint="eastAsia" w:asciiTheme="minorEastAsia" w:hAnsiTheme="minorEastAsia" w:eastAsiaTheme="minorEastAsia" w:cstheme="minorEastAsia"/>
          <w:sz w:val="24"/>
        </w:rPr>
        <w:t>，2022年度公司使用募集资金</w:t>
      </w:r>
      <w:r>
        <w:rPr>
          <w:rFonts w:hint="eastAsia" w:asciiTheme="minorEastAsia" w:hAnsiTheme="minorEastAsia" w:eastAsiaTheme="minorEastAsia" w:cstheme="minorEastAsia"/>
          <w:kern w:val="0"/>
          <w:sz w:val="24"/>
        </w:rPr>
        <w:t>3,909,800.79</w:t>
      </w:r>
      <w:r>
        <w:rPr>
          <w:rFonts w:hint="eastAsia" w:asciiTheme="minorEastAsia" w:hAnsiTheme="minorEastAsia" w:eastAsiaTheme="minorEastAsia" w:cstheme="minorEastAsia"/>
          <w:sz w:val="24"/>
        </w:rPr>
        <w:t>元，</w:t>
      </w:r>
      <w:r>
        <w:rPr>
          <w:rFonts w:hint="eastAsia" w:ascii="宋体" w:hAnsi="宋体" w:cs="宋体"/>
          <w:sz w:val="24"/>
        </w:rPr>
        <w:t>2023年1-6月公司使用募集资金</w:t>
      </w:r>
      <w:r>
        <w:rPr>
          <w:rFonts w:hint="eastAsia" w:asciiTheme="minorEastAsia" w:hAnsiTheme="minorEastAsia" w:eastAsiaTheme="minorEastAsia" w:cstheme="minorEastAsia"/>
          <w:kern w:val="0"/>
          <w:sz w:val="24"/>
        </w:rPr>
        <w:t>2,</w:t>
      </w:r>
      <w:r>
        <w:rPr>
          <w:rFonts w:asciiTheme="minorEastAsia" w:hAnsiTheme="minorEastAsia" w:eastAsiaTheme="minorEastAsia" w:cstheme="minorEastAsia"/>
          <w:kern w:val="0"/>
          <w:sz w:val="24"/>
        </w:rPr>
        <w:t>518,198.02</w:t>
      </w:r>
      <w:r>
        <w:rPr>
          <w:rFonts w:hint="eastAsia" w:asciiTheme="minorEastAsia" w:hAnsiTheme="minorEastAsia" w:eastAsiaTheme="minorEastAsia" w:cstheme="minorEastAsia"/>
          <w:kern w:val="0"/>
          <w:sz w:val="24"/>
        </w:rPr>
        <w:t>元</w:t>
      </w:r>
      <w:r>
        <w:rPr>
          <w:rFonts w:hint="eastAsia" w:ascii="宋体" w:hAnsi="宋体" w:cs="宋体"/>
          <w:sz w:val="24"/>
        </w:rPr>
        <w:t>，截至2023年6月30日，</w:t>
      </w:r>
      <w:r>
        <w:rPr>
          <w:rFonts w:hint="eastAsia" w:asciiTheme="minorEastAsia" w:hAnsiTheme="minorEastAsia" w:eastAsiaTheme="minorEastAsia" w:cstheme="minorEastAsia"/>
          <w:sz w:val="24"/>
        </w:rPr>
        <w:t>公司累计使用募集资金</w:t>
      </w:r>
      <w:r>
        <w:rPr>
          <w:rFonts w:hint="eastAsia" w:asciiTheme="minorEastAsia" w:hAnsiTheme="minorEastAsia" w:eastAsiaTheme="minorEastAsia" w:cstheme="minorEastAsia"/>
          <w:kern w:val="0"/>
          <w:sz w:val="24"/>
        </w:rPr>
        <w:t>4</w:t>
      </w:r>
      <w:r>
        <w:rPr>
          <w:rFonts w:asciiTheme="minorEastAsia" w:hAnsiTheme="minorEastAsia" w:eastAsiaTheme="minorEastAsia" w:cstheme="minorEastAsia"/>
          <w:kern w:val="0"/>
          <w:sz w:val="24"/>
        </w:rPr>
        <w:t>92,093,764.36</w:t>
      </w:r>
      <w:r>
        <w:rPr>
          <w:rFonts w:hint="eastAsia" w:asciiTheme="minorEastAsia" w:hAnsiTheme="minorEastAsia" w:eastAsiaTheme="minorEastAsia" w:cstheme="minorEastAsia"/>
          <w:sz w:val="24"/>
        </w:rPr>
        <w:t>元，未使用募集资金余额为</w:t>
      </w:r>
      <w:r>
        <w:rPr>
          <w:rFonts w:hint="eastAsia" w:asciiTheme="minorEastAsia" w:hAnsiTheme="minorEastAsia" w:eastAsiaTheme="minorEastAsia" w:cstheme="minorEastAsia"/>
          <w:kern w:val="0"/>
          <w:sz w:val="24"/>
        </w:rPr>
        <w:t>3</w:t>
      </w:r>
      <w:r>
        <w:rPr>
          <w:rFonts w:asciiTheme="minorEastAsia" w:hAnsiTheme="minorEastAsia" w:eastAsiaTheme="minorEastAsia" w:cstheme="minorEastAsia"/>
          <w:kern w:val="0"/>
          <w:sz w:val="24"/>
        </w:rPr>
        <w:t>0,377,863.32</w:t>
      </w:r>
      <w:r>
        <w:rPr>
          <w:rFonts w:hint="eastAsia" w:asciiTheme="minorEastAsia" w:hAnsiTheme="minorEastAsia" w:eastAsiaTheme="minorEastAsia" w:cstheme="minorEastAsia"/>
          <w:sz w:val="24"/>
        </w:rPr>
        <w:t>元（含利息收入和扣减手续费）。</w:t>
      </w:r>
    </w:p>
    <w:p>
      <w:pPr>
        <w:spacing w:line="360" w:lineRule="auto"/>
        <w:ind w:firstLine="482" w:firstLineChars="200"/>
        <w:rPr>
          <w:rFonts w:asciiTheme="minorEastAsia" w:hAnsiTheme="minorEastAsia" w:eastAsiaTheme="minorEastAsia" w:cstheme="minorEastAsia"/>
          <w:b/>
          <w:bCs/>
          <w:kern w:val="44"/>
          <w:sz w:val="24"/>
        </w:rPr>
      </w:pPr>
    </w:p>
    <w:p>
      <w:pPr>
        <w:spacing w:line="360" w:lineRule="auto"/>
        <w:ind w:firstLine="482" w:firstLineChars="20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二、募集资金管理情况</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(一) 募集资金的管理情况 </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bookmarkStart w:id="0" w:name="OLE_LINK1"/>
      <w:bookmarkStart w:id="1" w:name="OLE_LINK2"/>
      <w:r>
        <w:rPr>
          <w:rFonts w:hint="eastAsia" w:asciiTheme="minorEastAsia" w:hAnsiTheme="minorEastAsia" w:eastAsiaTheme="minorEastAsia" w:cstheme="minorEastAsia"/>
          <w:kern w:val="0"/>
          <w:sz w:val="24"/>
        </w:rPr>
        <w:t>为规范募集资金的管理和使用，提高资金使用效率和效益，保护投资者利益，本公司根据《公司法》《证券法》《上市公司监管指引第2号——上市公司募集资金管理和使用的监管要求》《上海证券交易所股票上市规则》等有关法律、法规和规范性文件的规定，结合公司实际情况，公司制定了《江苏吴中实业股份有限公司募集资金管理办法》(以下简称《管理办法》)，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公司第八届董事会第十一次会议、第八届监事会第十一次会议及2016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物抗癌新药重组人血管内皮抑素注射液研发项目”中部分未使用资金约12,055万元进行变更，变更后的募集资金投向为抗肿瘤1类新药YS001的研发、西洛他唑等上市化学仿制药的一致性评价、利奈唑胺与沃诺拉赞的仿制(具体见公司于2019年8月23日及9月11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2021年4月26日，经本公司第十届董事会第一次会议、第十届监事会第一次会议及2020年年度股东大会审议通过的《江苏吴中医药发展股份有限公司关于变更部分募集资金用途并永久补充流动资金的议案》，同意公司终止非公开发行的募集资金投资项目“西洛他唑等上市化学仿制药的一致性评价项目”中的西洛他唑片、利奈唑胺葡萄糖注射液、注射用艾司奥美拉唑钠3个子研发项目，以及“利奈唑胺与沃诺拉赞的仿制项目”中的利奈唑胺片剂的仿制、沃诺拉赞片剂的仿制2个子研发项目，并将剩余的募集资金用于永久补充流动资金。(具体见公司于2021年4月26日及5月19日在《中国证券报》、《上海证券报》及上海证券交易所网站上披露的相关公告)。</w:t>
      </w:r>
    </w:p>
    <w:bookmarkEnd w:id="0"/>
    <w:bookmarkEnd w:id="1"/>
    <w:p>
      <w:pPr>
        <w:keepNext/>
        <w:keepLines/>
        <w:spacing w:line="360" w:lineRule="auto"/>
        <w:ind w:firstLine="472" w:firstLineChars="196"/>
        <w:outlineLvl w:val="1"/>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(二) 募集资金的专户存储情况 </w:t>
      </w:r>
    </w:p>
    <w:p>
      <w:pPr>
        <w:spacing w:line="360" w:lineRule="auto"/>
        <w:ind w:firstLine="480" w:firstLineChars="200"/>
        <w:rPr>
          <w:rFonts w:cs="宋体" w:asciiTheme="minorEastAsia" w:hAnsiTheme="minorEastAsia"/>
          <w:kern w:val="0"/>
          <w:sz w:val="24"/>
        </w:rPr>
      </w:pPr>
      <w:r>
        <w:rPr>
          <w:rFonts w:hint="eastAsia" w:asciiTheme="minorEastAsia" w:hAnsiTheme="minorEastAsia" w:eastAsiaTheme="minorEastAsia" w:cstheme="minorEastAsia"/>
          <w:kern w:val="0"/>
          <w:sz w:val="24"/>
        </w:rPr>
        <w:t>截至2023年6月30日，公司募集资金专户存储情况（含利息收入和扣减手续费）如下表所示：</w:t>
      </w:r>
    </w:p>
    <w:tbl>
      <w:tblPr>
        <w:tblStyle w:val="4"/>
        <w:tblW w:w="8843" w:type="dxa"/>
        <w:tblInd w:w="0"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fixed"/>
        <w:tblCellMar>
          <w:top w:w="0" w:type="dxa"/>
          <w:left w:w="108" w:type="dxa"/>
          <w:bottom w:w="0" w:type="dxa"/>
          <w:right w:w="108" w:type="dxa"/>
        </w:tblCellMar>
      </w:tblPr>
      <w:tblGrid>
        <w:gridCol w:w="1384"/>
        <w:gridCol w:w="1418"/>
        <w:gridCol w:w="1134"/>
        <w:gridCol w:w="1984"/>
        <w:gridCol w:w="1701"/>
        <w:gridCol w:w="1222"/>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账户名称</w:t>
            </w:r>
          </w:p>
        </w:tc>
        <w:tc>
          <w:tcPr>
            <w:tcW w:w="1418" w:type="dxa"/>
            <w:shd w:val="clear" w:color="auto" w:fill="auto"/>
            <w:vAlign w:val="center"/>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开户银行</w:t>
            </w:r>
          </w:p>
        </w:tc>
        <w:tc>
          <w:tcPr>
            <w:tcW w:w="1134" w:type="dxa"/>
            <w:shd w:val="clear" w:color="auto" w:fill="auto"/>
            <w:vAlign w:val="center"/>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账户类别</w:t>
            </w:r>
          </w:p>
        </w:tc>
        <w:tc>
          <w:tcPr>
            <w:tcW w:w="1984" w:type="dxa"/>
            <w:shd w:val="clear" w:color="auto" w:fill="auto"/>
            <w:vAlign w:val="center"/>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银行账号</w:t>
            </w:r>
          </w:p>
        </w:tc>
        <w:tc>
          <w:tcPr>
            <w:tcW w:w="1701" w:type="dxa"/>
            <w:shd w:val="clear" w:color="auto" w:fill="auto"/>
            <w:vAlign w:val="center"/>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存储余额</w:t>
            </w:r>
          </w:p>
        </w:tc>
        <w:tc>
          <w:tcPr>
            <w:tcW w:w="1222" w:type="dxa"/>
            <w:shd w:val="clear" w:color="auto" w:fill="auto"/>
            <w:vAlign w:val="center"/>
          </w:tcPr>
          <w:p>
            <w:pPr>
              <w:ind w:left="84" w:leftChars="40"/>
              <w:jc w:val="left"/>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江苏吴中医药发展股份有限公司</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中国农业银行股份有限公司苏州南门支行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10553301040012703</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已注销[注5]</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划款账户</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810"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江苏吴中医药集团有限公司苏州中凯生物制药厂</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中国农业银行股份有限公司苏州南门支行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p>
            <w:pPr>
              <w:rPr>
                <w:rFonts w:hint="eastAsia" w:ascii="宋体" w:hAnsi="宋体" w:eastAsia="宋体" w:cs="宋体"/>
                <w:color w:val="auto"/>
                <w:sz w:val="18"/>
                <w:szCs w:val="18"/>
                <w:highlight w:val="none"/>
              </w:rPr>
            </w:pP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10553301040012760</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已注销[注8]</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国家一类生物抗癌新药重组人血管内皮抑素注射液研发项目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江苏吴中医药集团有限公司苏州制药厂</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475470328000[注1]</w:t>
            </w:r>
          </w:p>
        </w:tc>
        <w:tc>
          <w:tcPr>
            <w:tcW w:w="1701" w:type="dxa"/>
            <w:shd w:val="clear" w:color="auto" w:fill="auto"/>
            <w:vAlign w:val="center"/>
          </w:tcPr>
          <w:p>
            <w:pPr>
              <w:widowControl/>
              <w:rPr>
                <w:rFonts w:hint="eastAsia" w:ascii="宋体" w:hAnsi="宋体" w:eastAsia="宋体" w:cs="宋体"/>
                <w:color w:val="auto"/>
                <w:kern w:val="0"/>
                <w:sz w:val="18"/>
                <w:szCs w:val="18"/>
                <w:highlight w:val="none"/>
              </w:rPr>
            </w:pPr>
          </w:p>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2,619,860.04 </w:t>
            </w:r>
          </w:p>
          <w:p>
            <w:pPr>
              <w:jc w:val="center"/>
              <w:rPr>
                <w:rFonts w:hint="eastAsia" w:ascii="宋体" w:hAnsi="宋体" w:eastAsia="宋体" w:cs="宋体"/>
                <w:color w:val="auto"/>
                <w:sz w:val="18"/>
                <w:szCs w:val="18"/>
                <w:highlight w:val="none"/>
              </w:rPr>
            </w:pP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原料药二期项目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江苏吴中医药集团有限公司苏州制药厂</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487167582565</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已注销[注6]</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原料药（河东）、制剂（河西）调整改建项目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江苏吴中医药销售有限公司</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530067627287</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已注销[注6]</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药品自动化立体仓库项目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江苏吴中医药医药集团公司</w:t>
            </w:r>
          </w:p>
        </w:tc>
        <w:tc>
          <w:tcPr>
            <w:tcW w:w="1418" w:type="dxa"/>
            <w:shd w:val="clear" w:color="auto" w:fill="auto"/>
            <w:vAlign w:val="center"/>
          </w:tcPr>
          <w:p>
            <w:pPr>
              <w:spacing w:line="3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招商银行股份有限公司苏州吴中支行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512902474610829</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已注销[注7]</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医药营销网络建设项目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w:t>
            </w:r>
          </w:p>
        </w:tc>
        <w:tc>
          <w:tcPr>
            <w:tcW w:w="1418" w:type="dxa"/>
            <w:shd w:val="clear" w:color="auto" w:fill="auto"/>
            <w:vAlign w:val="center"/>
          </w:tcPr>
          <w:p>
            <w:pPr>
              <w:spacing w:line="3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中国工商银行股份有限公司苏州吴中支行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1102026219000744978</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已注销[注9]</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医药研发中心项目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w:t>
            </w:r>
          </w:p>
        </w:tc>
        <w:tc>
          <w:tcPr>
            <w:tcW w:w="1418" w:type="dxa"/>
            <w:shd w:val="clear" w:color="auto" w:fill="auto"/>
            <w:vAlign w:val="center"/>
          </w:tcPr>
          <w:p>
            <w:pPr>
              <w:spacing w:line="3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交通银行股份有限公司苏州吴中支行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325325400018800007690</w:t>
            </w:r>
          </w:p>
        </w:tc>
        <w:tc>
          <w:tcPr>
            <w:tcW w:w="1701"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已注销[注5]</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补充医药业务营运资金</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324" w:hRule="atLeast"/>
        </w:trPr>
        <w:tc>
          <w:tcPr>
            <w:tcW w:w="1384" w:type="dxa"/>
            <w:vAlign w:val="center"/>
          </w:tcPr>
          <w:p>
            <w:pPr>
              <w:ind w:left="84" w:leftChars="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苏州泽润新药研发有限公司</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中国农业银行股份有限公司苏州南门支行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10553301040017652[注2]</w:t>
            </w:r>
          </w:p>
        </w:tc>
        <w:tc>
          <w:tcPr>
            <w:tcW w:w="170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11,301,541.46 </w:t>
            </w: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抗肿瘤 1 类 新药YS001 的研发项目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13" w:hRule="atLeast"/>
        </w:trPr>
        <w:tc>
          <w:tcPr>
            <w:tcW w:w="1384" w:type="dxa"/>
            <w:vAlign w:val="center"/>
          </w:tcPr>
          <w:p>
            <w:pPr>
              <w:ind w:left="84" w:leftChars="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江苏吴中医药集团有限公司苏州制药厂</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中国农业银行股份有限公司苏州南门支行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p>
            <w:pPr>
              <w:rPr>
                <w:rFonts w:hint="eastAsia" w:ascii="宋体" w:hAnsi="宋体" w:eastAsia="宋体" w:cs="宋体"/>
                <w:color w:val="auto"/>
                <w:sz w:val="18"/>
                <w:szCs w:val="18"/>
                <w:highlight w:val="none"/>
              </w:rPr>
            </w:pP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10553301040017694[注4]</w:t>
            </w:r>
          </w:p>
        </w:tc>
        <w:tc>
          <w:tcPr>
            <w:tcW w:w="1701" w:type="dxa"/>
            <w:shd w:val="clear" w:color="auto" w:fill="auto"/>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w:t>
            </w:r>
          </w:p>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7,050,846.75 </w:t>
            </w:r>
          </w:p>
          <w:p>
            <w:pPr>
              <w:ind w:left="84" w:leftChars="40"/>
              <w:jc w:val="center"/>
              <w:rPr>
                <w:rFonts w:hint="eastAsia" w:ascii="宋体" w:hAnsi="宋体" w:eastAsia="宋体" w:cs="宋体"/>
                <w:color w:val="auto"/>
                <w:sz w:val="18"/>
                <w:szCs w:val="18"/>
                <w:highlight w:val="none"/>
              </w:rPr>
            </w:pP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西洛他唑等 上市化学仿 制药的一致 性评价项目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53" w:hRule="atLeast"/>
        </w:trPr>
        <w:tc>
          <w:tcPr>
            <w:tcW w:w="1384" w:type="dxa"/>
            <w:vAlign w:val="center"/>
          </w:tcPr>
          <w:p>
            <w:pPr>
              <w:ind w:left="84" w:leftChars="4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江苏吴中医药集团有限公司苏州制药厂</w:t>
            </w:r>
          </w:p>
        </w:tc>
        <w:tc>
          <w:tcPr>
            <w:tcW w:w="1418"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中国农业银行股份有限公司苏州南门支行</w:t>
            </w:r>
          </w:p>
        </w:tc>
        <w:tc>
          <w:tcPr>
            <w:tcW w:w="1134"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募集资金专户</w:t>
            </w:r>
          </w:p>
        </w:tc>
        <w:tc>
          <w:tcPr>
            <w:tcW w:w="1984" w:type="dxa"/>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10553301040017678[注3]</w:t>
            </w:r>
          </w:p>
        </w:tc>
        <w:tc>
          <w:tcPr>
            <w:tcW w:w="1701" w:type="dxa"/>
            <w:shd w:val="clear" w:color="auto" w:fill="auto"/>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w:t>
            </w:r>
          </w:p>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9,405,615.07 </w:t>
            </w:r>
          </w:p>
          <w:p>
            <w:pPr>
              <w:widowControl/>
              <w:jc w:val="center"/>
              <w:rPr>
                <w:rFonts w:hint="eastAsia" w:ascii="宋体" w:hAnsi="宋体" w:eastAsia="宋体" w:cs="宋体"/>
                <w:color w:val="auto"/>
                <w:kern w:val="0"/>
                <w:sz w:val="18"/>
                <w:szCs w:val="18"/>
                <w:highlight w:val="none"/>
              </w:rPr>
            </w:pPr>
          </w:p>
        </w:tc>
        <w:tc>
          <w:tcPr>
            <w:tcW w:w="1222" w:type="dxa"/>
            <w:shd w:val="clear" w:color="auto" w:fill="auto"/>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利奈唑胺与 沃诺拉赞的 仿制项目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tcPr>
          <w:p>
            <w:pPr>
              <w:ind w:left="84" w:leftChars="40"/>
              <w:jc w:val="left"/>
              <w:rPr>
                <w:rFonts w:hint="eastAsia" w:ascii="宋体" w:hAnsi="宋体" w:eastAsia="宋体" w:cs="宋体"/>
                <w:color w:val="auto"/>
                <w:sz w:val="18"/>
                <w:szCs w:val="18"/>
                <w:highlight w:val="none"/>
              </w:rPr>
            </w:pPr>
          </w:p>
        </w:tc>
        <w:tc>
          <w:tcPr>
            <w:tcW w:w="1418" w:type="dxa"/>
            <w:shd w:val="clear" w:color="auto" w:fill="auto"/>
            <w:vAlign w:val="center"/>
          </w:tcPr>
          <w:p>
            <w:pPr>
              <w:ind w:left="84" w:leftChars="4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  计</w:t>
            </w:r>
          </w:p>
        </w:tc>
        <w:tc>
          <w:tcPr>
            <w:tcW w:w="1134" w:type="dxa"/>
            <w:shd w:val="clear" w:color="auto" w:fill="auto"/>
            <w:vAlign w:val="center"/>
          </w:tcPr>
          <w:p>
            <w:pPr>
              <w:ind w:left="84" w:leftChars="40"/>
              <w:jc w:val="left"/>
              <w:rPr>
                <w:rFonts w:hint="eastAsia" w:ascii="宋体" w:hAnsi="宋体" w:eastAsia="宋体" w:cs="宋体"/>
                <w:color w:val="auto"/>
                <w:sz w:val="18"/>
                <w:szCs w:val="18"/>
                <w:highlight w:val="none"/>
              </w:rPr>
            </w:pPr>
          </w:p>
        </w:tc>
        <w:tc>
          <w:tcPr>
            <w:tcW w:w="1984" w:type="dxa"/>
            <w:shd w:val="clear" w:color="auto" w:fill="auto"/>
            <w:vAlign w:val="center"/>
          </w:tcPr>
          <w:p>
            <w:pPr>
              <w:ind w:left="84" w:leftChars="40"/>
              <w:jc w:val="left"/>
              <w:rPr>
                <w:rFonts w:hint="eastAsia" w:ascii="宋体" w:hAnsi="宋体" w:eastAsia="宋体" w:cs="宋体"/>
                <w:color w:val="auto"/>
                <w:sz w:val="18"/>
                <w:szCs w:val="18"/>
                <w:highlight w:val="none"/>
              </w:rPr>
            </w:pPr>
          </w:p>
        </w:tc>
        <w:tc>
          <w:tcPr>
            <w:tcW w:w="1701" w:type="dxa"/>
            <w:shd w:val="clear" w:color="auto" w:fill="auto"/>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30,377,863.32 </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w:t>
            </w:r>
          </w:p>
        </w:tc>
        <w:tc>
          <w:tcPr>
            <w:tcW w:w="1222" w:type="dxa"/>
            <w:shd w:val="clear" w:color="auto" w:fill="auto"/>
            <w:vAlign w:val="center"/>
          </w:tcPr>
          <w:p>
            <w:pPr>
              <w:ind w:left="84" w:leftChars="40"/>
              <w:jc w:val="left"/>
              <w:rPr>
                <w:rFonts w:hint="eastAsia" w:ascii="宋体" w:hAnsi="宋体" w:eastAsia="宋体" w:cs="宋体"/>
                <w:color w:val="auto"/>
                <w:sz w:val="18"/>
                <w:szCs w:val="18"/>
                <w:highlight w:val="none"/>
              </w:rPr>
            </w:pPr>
          </w:p>
        </w:tc>
      </w:tr>
    </w:tbl>
    <w:p>
      <w:pPr>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[注]：</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1：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2：2019年9月4日，苏州泽润新药研发有限公司在中国农业银行股份有限公司苏州南门支行开设募集资金专项账户，账号为10553301040017652，专户中的募集资金以活期存款的形式存在,该专户仅用于苏州泽润新药研发有限公司抗肿瘤 1 类 新药 YS001 的研发项目募集资金的存储和使用。</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3：2019年9月5日，江苏吴中医药集团有限公司苏州制药厂在中国农业银行股份有限公司苏州南门支行开设1个募集资金专项账户，账号为10553301040017678，仅用于利奈唑胺与沃诺拉赞的仿制项目募集资金的存储和使用，均以活期存款的形式存在。</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4：2019年9月6号，江苏吴中医药集团有限公司苏州制药厂在中国农业银行股份有限公司苏州南门支行开设1个募集资金专项账户，账号为10553301040017694，仅用于西洛他唑等上市化学仿制药的一致性评价项目募集资金的存储和使用，均以活期存款的形式存在。</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注5：截至2016年7月22日，公司已注销中国农业银行苏州南门支行募集资金专户(账号10553301040012703)及交通银行股份有限公司苏州吴中支行募集资金专户(账号325325400018800007690)。</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注6：截至2017年12月8日，公司已注销中国银行股份有限公司苏州吴中支行开立的募集资金专用账户(账号:487167582565)及在中国银行股份有限公司苏州吴中支行开立的募集资金专用账户(账号:530067627287)。</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注7：截至2018年7月18日，公司已注销招商银行股份有限公司苏州吴中支行开立的募集资金专用账户（账号：512902474610829）[该专户注销时无余额]。</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8：截至2019年10月17日，公司已注销中国农业银行苏州南门支行募集资金专户(账号10553301040012760)。该专户注销时余额分项转入中国农业银行苏州南门支行募集资金专户（账号一10553301040017652，账号二10553301040017694，账号三10553301040017678 ）</w:t>
      </w:r>
    </w:p>
    <w:p>
      <w:pPr>
        <w:autoSpaceDE w:val="0"/>
        <w:autoSpaceDN w:val="0"/>
        <w:adjustRightInd w:val="0"/>
        <w:spacing w:line="460" w:lineRule="exact"/>
        <w:ind w:firstLine="360" w:firstLineChars="200"/>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注9：截至2020年11月16日，公司已注销中国工商银行吴中支行开立的募集资金专用帐户（1102026219000744978）[该专户注销时无余额]</w:t>
      </w:r>
    </w:p>
    <w:p>
      <w:pPr>
        <w:spacing w:line="360" w:lineRule="auto"/>
        <w:ind w:right="-153" w:rightChars="-73" w:firstLine="480" w:firstLineChars="200"/>
        <w:jc w:val="left"/>
        <w:rPr>
          <w:rFonts w:ascii="宋体" w:hAnsi="宋体" w:cs="宋体"/>
          <w:color w:val="auto"/>
          <w:kern w:val="0"/>
          <w:sz w:val="24"/>
          <w:highlight w:val="none"/>
        </w:rPr>
      </w:pPr>
    </w:p>
    <w:p>
      <w:pPr>
        <w:keepNext/>
        <w:keepLines/>
        <w:spacing w:line="360" w:lineRule="auto"/>
        <w:ind w:firstLine="482" w:firstLineChars="200"/>
        <w:outlineLvl w:val="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44"/>
          <w:sz w:val="24"/>
          <w:highlight w:val="none"/>
        </w:rPr>
        <w:t>三、本报告期募集资金的实际使用情况</w:t>
      </w:r>
    </w:p>
    <w:p>
      <w:pPr>
        <w:tabs>
          <w:tab w:val="left" w:pos="462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2023年上半年《募集资金使用情况对照表》详见本报告附件1。</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 募集资金投资项目先期投入及置换情况。</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bookmarkStart w:id="2" w:name="_Hlk63263262"/>
      <w:r>
        <w:rPr>
          <w:rFonts w:hint="eastAsia" w:asciiTheme="minorEastAsia" w:hAnsiTheme="minorEastAsia" w:eastAsiaTheme="minorEastAsia" w:cstheme="minorEastAsia"/>
          <w:color w:val="auto"/>
          <w:kern w:val="0"/>
          <w:sz w:val="24"/>
          <w:highlight w:val="none"/>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鉴证报告》。公司于2015年10月29日召开的第八届董事会第四次会议及第八届监事会第四次会议审议通过了《关于以募集资金置换预先投入募投项目的自筹资金的议案》，同意公司以自筹资金预先投入募集资金投资项目的金额为47,964,197.53元。</w:t>
      </w:r>
      <w:bookmarkEnd w:id="2"/>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 用闲置募集资金暂时补充流动资金情况。</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公司不存在用闲置募集资金暂时补充流动资金情况。</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 对闲置募集资金进行现金管理，投资相关产品情况。</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2016年8月25日，公司召开的第八届董事会第九次会议及第八届监事会第九次会议，审议通过了《江苏吴中实业股份有限公司关于使用闲置募集资金进行现金管理的议案》，同意公司使用不超过人民币16,000万元的闲置募集资金进行现金管理。</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2018年8月20日召开的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2020年4月28日，公司召开第九届董事会第九次会议（通讯表决）和第九届监事会第九次会议（通讯表决），审议通过了《江苏吴中实业股份有限公司关于使用部分闲置非公开发行募集资金进行现金管理的议案》，同意公司使用总额不超过人民币4,000万元的闲置非公开募集资金进行现金管理，在上述额度及决议有效期内，资金可以循环滚动使用。</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2021年3月15日，公司召开第九届董事会2021年第二次临时会议（通讯表决）和第九届监事会2021年第一次临时会议（通讯表决），审议通过了《江苏吴中医药发展股份有限公司关于使用部分闲置非公开发行募集资金进行现金管理的议案》，同意公司使用总额不超过人民币4,000万元的闲置非公开发行募集资金进行现金管理事宜，在上述额度内，资金可以在12个月内滚动使用。</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截至202</w:t>
      </w:r>
      <w:r>
        <w:rPr>
          <w:rFonts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rPr>
        <w:t>年6月3</w:t>
      </w:r>
      <w:r>
        <w:rPr>
          <w:rFonts w:asciiTheme="minorEastAsia" w:hAnsiTheme="minorEastAsia" w:eastAsiaTheme="minorEastAsia" w:cstheme="minorEastAsia"/>
          <w:color w:val="auto"/>
          <w:kern w:val="0"/>
          <w:sz w:val="24"/>
          <w:highlight w:val="none"/>
        </w:rPr>
        <w:t>0</w:t>
      </w:r>
      <w:r>
        <w:rPr>
          <w:rFonts w:hint="eastAsia" w:asciiTheme="minorEastAsia" w:hAnsiTheme="minorEastAsia" w:eastAsiaTheme="minorEastAsia" w:cstheme="minorEastAsia"/>
          <w:color w:val="auto"/>
          <w:kern w:val="0"/>
          <w:sz w:val="24"/>
          <w:highlight w:val="none"/>
        </w:rPr>
        <w:t>日，理财产品余额为0万元，公司本报告期内使用闲置募集资金购买理财产品获得收益0万元。</w:t>
      </w:r>
    </w:p>
    <w:p>
      <w:pPr>
        <w:tabs>
          <w:tab w:val="left" w:pos="4620"/>
        </w:tabs>
        <w:spacing w:line="360" w:lineRule="auto"/>
        <w:ind w:firstLine="480" w:firstLineChars="200"/>
        <w:rPr>
          <w:rFonts w:asciiTheme="minorEastAsia" w:hAnsiTheme="minorEastAsia" w:eastAsiaTheme="minorEastAsia" w:cstheme="minorEastAsia"/>
          <w:color w:val="auto"/>
          <w:kern w:val="0"/>
          <w:sz w:val="24"/>
          <w:highlight w:val="none"/>
        </w:rPr>
      </w:pPr>
    </w:p>
    <w:p>
      <w:pPr>
        <w:keepNext/>
        <w:keepLines/>
        <w:spacing w:line="360" w:lineRule="auto"/>
        <w:ind w:firstLine="482" w:firstLineChars="200"/>
        <w:outlineLvl w:val="0"/>
        <w:rPr>
          <w:rFonts w:asciiTheme="minorEastAsia" w:hAnsiTheme="minorEastAsia" w:eastAsiaTheme="minorEastAsia" w:cstheme="minorEastAsia"/>
          <w:b/>
          <w:bCs/>
          <w:color w:val="auto"/>
          <w:kern w:val="44"/>
          <w:sz w:val="24"/>
          <w:highlight w:val="none"/>
        </w:rPr>
      </w:pPr>
      <w:r>
        <w:rPr>
          <w:rFonts w:hint="eastAsia" w:asciiTheme="minorEastAsia" w:hAnsiTheme="minorEastAsia" w:eastAsiaTheme="minorEastAsia" w:cstheme="minorEastAsia"/>
          <w:b/>
          <w:bCs/>
          <w:color w:val="auto"/>
          <w:kern w:val="44"/>
          <w:sz w:val="24"/>
          <w:highlight w:val="none"/>
        </w:rPr>
        <w:t>四、变更募集资金投资项目的资金使用情况</w:t>
      </w:r>
    </w:p>
    <w:p>
      <w:pPr>
        <w:keepNext/>
        <w:keepLines/>
        <w:spacing w:line="360" w:lineRule="auto"/>
        <w:ind w:firstLine="482" w:firstLineChars="200"/>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(一) 变更募集资金投资项目情况</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2023年上半年《变更募集资金投资项目情况表》详见本报告附件2。</w:t>
      </w:r>
    </w:p>
    <w:p>
      <w:pPr>
        <w:keepNext/>
        <w:keepLines/>
        <w:spacing w:line="360" w:lineRule="auto"/>
        <w:ind w:firstLine="482" w:firstLineChars="200"/>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 (二) 变更募集资金投资项目无法单独核算效益的情况说明</w:t>
      </w:r>
    </w:p>
    <w:p>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抗肿瘤1类新药YS001的研发</w:t>
      </w:r>
    </w:p>
    <w:p>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rPr>
        <w:t>本项目为研发项目，项目完成后不会直接产生经济效益。如果项目成功上市，将会产生经济效益。</w:t>
      </w:r>
    </w:p>
    <w:p>
      <w:pPr>
        <w:keepNext/>
        <w:keepLines/>
        <w:spacing w:line="360" w:lineRule="auto"/>
        <w:ind w:firstLine="482" w:firstLineChars="200"/>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 募集资金投资项目对外转让或置换情况说明</w:t>
      </w:r>
    </w:p>
    <w:p>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募集资金投资项目无对外转让或置换情况。</w:t>
      </w:r>
    </w:p>
    <w:p>
      <w:pPr>
        <w:keepNext/>
        <w:keepLines/>
        <w:spacing w:line="360" w:lineRule="auto"/>
        <w:ind w:firstLine="482" w:firstLineChars="200"/>
        <w:outlineLvl w:val="0"/>
        <w:rPr>
          <w:rFonts w:asciiTheme="minorEastAsia" w:hAnsiTheme="minorEastAsia" w:eastAsiaTheme="minorEastAsia" w:cstheme="minorEastAsia"/>
          <w:b/>
          <w:bCs/>
          <w:color w:val="auto"/>
          <w:kern w:val="44"/>
          <w:sz w:val="24"/>
          <w:highlight w:val="none"/>
        </w:rPr>
      </w:pPr>
    </w:p>
    <w:p>
      <w:pPr>
        <w:keepNext/>
        <w:keepLines/>
        <w:spacing w:line="360" w:lineRule="auto"/>
        <w:ind w:firstLine="482" w:firstLineChars="200"/>
        <w:outlineLvl w:val="0"/>
        <w:rPr>
          <w:rFonts w:asciiTheme="minorEastAsia" w:hAnsiTheme="minorEastAsia" w:eastAsiaTheme="minorEastAsia" w:cstheme="minorEastAsia"/>
          <w:b/>
          <w:bCs/>
          <w:color w:val="auto"/>
          <w:kern w:val="44"/>
          <w:sz w:val="24"/>
          <w:highlight w:val="none"/>
        </w:rPr>
      </w:pPr>
      <w:r>
        <w:rPr>
          <w:rFonts w:hint="eastAsia" w:asciiTheme="minorEastAsia" w:hAnsiTheme="minorEastAsia" w:eastAsiaTheme="minorEastAsia" w:cstheme="minorEastAsia"/>
          <w:b/>
          <w:bCs/>
          <w:color w:val="auto"/>
          <w:kern w:val="44"/>
          <w:sz w:val="24"/>
          <w:highlight w:val="none"/>
        </w:rPr>
        <w:t>五、募集资金使用及披露中存在的问题</w:t>
      </w:r>
    </w:p>
    <w:p>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本公司已经披露的募集资金相关信息不存在不及时、真实、准确、完整披露的情况；已使用的募集资金均投向所承诺的募集资金投资项目，不存在违规使用募集资金的重大情形。</w:t>
      </w:r>
    </w:p>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asciiTheme="minorEastAsia" w:hAnsiTheme="minorEastAsia" w:eastAsiaTheme="minorEastAsia" w:cstheme="minorEastAsia"/>
          <w:color w:val="auto"/>
          <w:sz w:val="24"/>
          <w:highlight w:val="none"/>
        </w:rPr>
      </w:pPr>
      <w:bookmarkStart w:id="3" w:name="_GoBack"/>
      <w:bookmarkEnd w:id="3"/>
      <w:r>
        <w:rPr>
          <w:rFonts w:hint="eastAsia" w:asciiTheme="minorEastAsia" w:hAnsiTheme="minorEastAsia" w:eastAsiaTheme="minorEastAsia" w:cstheme="minorEastAsia"/>
          <w:color w:val="auto"/>
          <w:sz w:val="24"/>
          <w:highlight w:val="none"/>
        </w:rPr>
        <w:t>特此公告。</w:t>
      </w:r>
    </w:p>
    <w:p>
      <w:pPr>
        <w:spacing w:line="360" w:lineRule="auto"/>
        <w:ind w:firstLine="4320" w:firstLineChars="1800"/>
        <w:jc w:val="right"/>
        <w:rPr>
          <w:rFonts w:ascii="宋体" w:hAnsi="宋体"/>
          <w:color w:val="auto"/>
          <w:sz w:val="24"/>
          <w:highlight w:val="none"/>
        </w:rPr>
      </w:pPr>
    </w:p>
    <w:p>
      <w:pPr>
        <w:spacing w:line="360" w:lineRule="auto"/>
        <w:ind w:firstLine="4320" w:firstLineChars="1800"/>
        <w:jc w:val="right"/>
        <w:rPr>
          <w:rFonts w:ascii="宋体" w:hAnsi="宋体"/>
          <w:color w:val="auto"/>
          <w:sz w:val="24"/>
          <w:highlight w:val="none"/>
        </w:rPr>
      </w:pPr>
      <w:r>
        <w:rPr>
          <w:rFonts w:hint="eastAsia" w:ascii="宋体" w:hAnsi="宋体"/>
          <w:color w:val="auto"/>
          <w:sz w:val="24"/>
          <w:highlight w:val="none"/>
        </w:rPr>
        <w:t>江苏吴中医药发展股份有限公司</w:t>
      </w:r>
    </w:p>
    <w:p>
      <w:pPr>
        <w:spacing w:line="360" w:lineRule="auto"/>
        <w:ind w:right="1200" w:firstLine="4320" w:firstLineChars="1800"/>
        <w:jc w:val="right"/>
        <w:rPr>
          <w:rFonts w:ascii="宋体" w:hAnsi="宋体"/>
          <w:color w:val="auto"/>
          <w:sz w:val="24"/>
          <w:highlight w:val="none"/>
        </w:rPr>
      </w:pPr>
      <w:r>
        <w:rPr>
          <w:rFonts w:hint="eastAsia" w:ascii="宋体" w:hAnsi="宋体"/>
          <w:color w:val="auto"/>
          <w:sz w:val="24"/>
          <w:highlight w:val="none"/>
        </w:rPr>
        <w:t xml:space="preserve">董事会      </w:t>
      </w:r>
    </w:p>
    <w:p>
      <w:pPr>
        <w:spacing w:line="360" w:lineRule="auto"/>
        <w:ind w:right="480" w:firstLine="5220" w:firstLineChars="2175"/>
        <w:jc w:val="center"/>
        <w:rPr>
          <w:rFonts w:ascii="宋体" w:hAnsi="宋体"/>
          <w:color w:val="auto"/>
          <w:sz w:val="24"/>
          <w:highlight w:val="none"/>
        </w:rPr>
      </w:pPr>
      <w:r>
        <w:rPr>
          <w:rFonts w:hint="eastAsia" w:ascii="宋体" w:hAnsi="宋体"/>
          <w:color w:val="auto"/>
          <w:sz w:val="24"/>
          <w:highlight w:val="none"/>
        </w:rPr>
        <w:t xml:space="preserve">    202</w:t>
      </w:r>
      <w:r>
        <w:rPr>
          <w:rFonts w:ascii="宋体" w:hAnsi="宋体"/>
          <w:color w:val="auto"/>
          <w:sz w:val="24"/>
          <w:highlight w:val="none"/>
        </w:rPr>
        <w:t>3</w:t>
      </w:r>
      <w:r>
        <w:rPr>
          <w:rFonts w:hint="eastAsia" w:ascii="宋体" w:hAnsi="宋体"/>
          <w:color w:val="auto"/>
          <w:sz w:val="24"/>
          <w:highlight w:val="none"/>
        </w:rPr>
        <w:t>年8月29日</w:t>
      </w:r>
    </w:p>
    <w:p>
      <w:pPr>
        <w:spacing w:line="360" w:lineRule="auto"/>
        <w:rPr>
          <w:color w:val="auto"/>
          <w:highlight w:val="none"/>
        </w:rPr>
        <w:sectPr>
          <w:pgSz w:w="11906" w:h="16838"/>
          <w:pgMar w:top="1440" w:right="1800" w:bottom="1440" w:left="1800" w:header="851" w:footer="992" w:gutter="0"/>
          <w:cols w:space="425" w:num="1"/>
          <w:docGrid w:type="lines" w:linePitch="312" w:charSpace="0"/>
        </w:sectPr>
      </w:pPr>
    </w:p>
    <w:p>
      <w:pPr>
        <w:ind w:right="420"/>
        <w:rPr>
          <w:rFonts w:ascii="宋体" w:hAnsi="宋体" w:cs="宋体"/>
          <w:color w:val="auto"/>
          <w:kern w:val="0"/>
          <w:szCs w:val="21"/>
          <w:highlight w:val="none"/>
        </w:rPr>
      </w:pPr>
      <w:r>
        <w:rPr>
          <w:rFonts w:hint="eastAsia" w:ascii="宋体" w:hAnsi="宋体" w:cs="宋体"/>
          <w:color w:val="auto"/>
          <w:kern w:val="0"/>
          <w:szCs w:val="21"/>
          <w:highlight w:val="none"/>
        </w:rPr>
        <w:t>附件1</w:t>
      </w:r>
    </w:p>
    <w:p>
      <w:pPr>
        <w:ind w:right="420"/>
        <w:jc w:val="center"/>
        <w:rPr>
          <w:rFonts w:ascii="黑体" w:hAnsi="宋体" w:eastAsia="黑体" w:cs="宋体"/>
          <w:b/>
          <w:bCs/>
          <w:color w:val="auto"/>
          <w:kern w:val="0"/>
          <w:sz w:val="28"/>
          <w:szCs w:val="28"/>
          <w:highlight w:val="none"/>
        </w:rPr>
      </w:pPr>
      <w:r>
        <w:rPr>
          <w:rFonts w:hint="eastAsia" w:ascii="黑体" w:hAnsi="宋体" w:eastAsia="黑体" w:cs="宋体"/>
          <w:b/>
          <w:bCs/>
          <w:color w:val="auto"/>
          <w:kern w:val="0"/>
          <w:sz w:val="28"/>
          <w:szCs w:val="28"/>
          <w:highlight w:val="none"/>
        </w:rPr>
        <w:t>募集资金使用情况对照表</w:t>
      </w:r>
    </w:p>
    <w:p>
      <w:pPr>
        <w:ind w:right="420"/>
        <w:jc w:val="center"/>
        <w:rPr>
          <w:rFonts w:ascii="宋体" w:hAnsi="宋体" w:cs="宋体"/>
          <w:color w:val="auto"/>
          <w:kern w:val="0"/>
          <w:szCs w:val="21"/>
          <w:highlight w:val="none"/>
        </w:rPr>
      </w:pPr>
      <w:r>
        <w:rPr>
          <w:rFonts w:hint="eastAsia" w:ascii="宋体" w:hAnsi="宋体" w:cs="宋体"/>
          <w:color w:val="auto"/>
          <w:kern w:val="0"/>
          <w:szCs w:val="21"/>
          <w:highlight w:val="none"/>
        </w:rPr>
        <w:t>2023年上半年</w:t>
      </w:r>
    </w:p>
    <w:p>
      <w:pPr>
        <w:ind w:left="-2" w:leftChars="-1" w:right="-982"/>
        <w:rPr>
          <w:rFonts w:ascii="宋体" w:hAnsi="宋体"/>
          <w:color w:val="auto"/>
          <w:szCs w:val="21"/>
          <w:highlight w:val="none"/>
        </w:rPr>
      </w:pPr>
      <w:r>
        <w:rPr>
          <w:rFonts w:hint="eastAsia" w:ascii="宋体" w:hAnsi="宋体" w:cs="宋体"/>
          <w:color w:val="auto"/>
          <w:kern w:val="0"/>
          <w:szCs w:val="21"/>
          <w:highlight w:val="none"/>
        </w:rPr>
        <w:t>编制单位：江苏吴中医药发展股份有限公司</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单位：人民币万元</w:t>
      </w:r>
      <w:r>
        <w:rPr>
          <w:rFonts w:hint="eastAsia" w:ascii="宋体" w:hAnsi="宋体" w:cs="宋体"/>
          <w:color w:val="auto"/>
          <w:kern w:val="0"/>
          <w:szCs w:val="21"/>
          <w:highlight w:val="none"/>
        </w:rPr>
        <w:tab/>
      </w:r>
    </w:p>
    <w:tbl>
      <w:tblPr>
        <w:tblStyle w:val="4"/>
        <w:tblW w:w="14492" w:type="dxa"/>
        <w:tblInd w:w="-318"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autofit"/>
        <w:tblCellMar>
          <w:top w:w="0" w:type="dxa"/>
          <w:left w:w="108" w:type="dxa"/>
          <w:bottom w:w="0" w:type="dxa"/>
          <w:right w:w="108" w:type="dxa"/>
        </w:tblCellMar>
      </w:tblPr>
      <w:tblGrid>
        <w:gridCol w:w="2161"/>
        <w:gridCol w:w="847"/>
        <w:gridCol w:w="1026"/>
        <w:gridCol w:w="1026"/>
        <w:gridCol w:w="1026"/>
        <w:gridCol w:w="936"/>
        <w:gridCol w:w="1103"/>
        <w:gridCol w:w="1493"/>
        <w:gridCol w:w="1249"/>
        <w:gridCol w:w="969"/>
        <w:gridCol w:w="972"/>
        <w:gridCol w:w="828"/>
        <w:gridCol w:w="856"/>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募集资金总额</w:t>
            </w:r>
          </w:p>
        </w:tc>
        <w:tc>
          <w:tcPr>
            <w:tcW w:w="2988" w:type="dxa"/>
            <w:gridSpan w:val="3"/>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50,237.73</w:t>
            </w:r>
          </w:p>
        </w:tc>
        <w:tc>
          <w:tcPr>
            <w:tcW w:w="3845" w:type="dxa"/>
            <w:gridSpan w:val="3"/>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本年度投入募集资金总额</w:t>
            </w:r>
          </w:p>
        </w:tc>
        <w:tc>
          <w:tcPr>
            <w:tcW w:w="3625" w:type="dxa"/>
            <w:gridSpan w:val="4"/>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        251.82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变更用途的募集资金总额</w:t>
            </w:r>
          </w:p>
        </w:tc>
        <w:tc>
          <w:tcPr>
            <w:tcW w:w="2988" w:type="dxa"/>
            <w:gridSpan w:val="3"/>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14,983.82</w:t>
            </w:r>
          </w:p>
        </w:tc>
        <w:tc>
          <w:tcPr>
            <w:tcW w:w="3845" w:type="dxa"/>
            <w:gridSpan w:val="3"/>
            <w:vMerge w:val="restart"/>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已累计投入募集资金总额</w:t>
            </w:r>
          </w:p>
        </w:tc>
        <w:tc>
          <w:tcPr>
            <w:tcW w:w="3625" w:type="dxa"/>
            <w:gridSpan w:val="4"/>
            <w:vMerge w:val="restart"/>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49,209.38    </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（注10）</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变更用途的募集资金总额比例</w:t>
            </w:r>
          </w:p>
        </w:tc>
        <w:tc>
          <w:tcPr>
            <w:tcW w:w="2988" w:type="dxa"/>
            <w:gridSpan w:val="3"/>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29.83%</w:t>
            </w:r>
          </w:p>
        </w:tc>
        <w:tc>
          <w:tcPr>
            <w:tcW w:w="3845" w:type="dxa"/>
            <w:gridSpan w:val="3"/>
            <w:vMerge w:val="continue"/>
            <w:vAlign w:val="center"/>
          </w:tcPr>
          <w:p>
            <w:pPr>
              <w:widowControl/>
              <w:jc w:val="left"/>
              <w:rPr>
                <w:rFonts w:hint="eastAsia" w:ascii="宋体" w:hAnsi="宋体" w:eastAsia="宋体" w:cs="宋体"/>
                <w:color w:val="auto"/>
                <w:kern w:val="0"/>
                <w:sz w:val="18"/>
                <w:szCs w:val="18"/>
                <w:highlight w:val="none"/>
              </w:rPr>
            </w:pPr>
          </w:p>
        </w:tc>
        <w:tc>
          <w:tcPr>
            <w:tcW w:w="3625" w:type="dxa"/>
            <w:gridSpan w:val="4"/>
            <w:vMerge w:val="continue"/>
            <w:vAlign w:val="center"/>
          </w:tcPr>
          <w:p>
            <w:pPr>
              <w:widowControl/>
              <w:jc w:val="left"/>
              <w:rPr>
                <w:rFonts w:hint="eastAsia" w:ascii="宋体" w:hAnsi="宋体" w:eastAsia="宋体" w:cs="宋体"/>
                <w:color w:val="auto"/>
                <w:kern w:val="0"/>
                <w:sz w:val="18"/>
                <w:szCs w:val="18"/>
                <w:highlight w:val="none"/>
              </w:rPr>
            </w:pP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承诺投资项目</w:t>
            </w:r>
          </w:p>
        </w:tc>
        <w:tc>
          <w:tcPr>
            <w:tcW w:w="847" w:type="dxa"/>
            <w:shd w:val="clear" w:color="auto" w:fill="auto"/>
            <w:vAlign w:val="center"/>
          </w:tcPr>
          <w:p>
            <w:pP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已变更项目(含部分变更)</w:t>
            </w:r>
          </w:p>
        </w:tc>
        <w:tc>
          <w:tcPr>
            <w:tcW w:w="1026" w:type="dxa"/>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募集资金承诺投资总额</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调整后投资总额</w:t>
            </w:r>
          </w:p>
        </w:tc>
        <w:tc>
          <w:tcPr>
            <w:tcW w:w="1026" w:type="dxa"/>
            <w:shd w:val="clear" w:color="auto" w:fill="auto"/>
            <w:vAlign w:val="center"/>
          </w:tcPr>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截至期末承诺投入金额</w:t>
            </w:r>
          </w:p>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本年度</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投入金额</w:t>
            </w:r>
          </w:p>
        </w:tc>
        <w:tc>
          <w:tcPr>
            <w:tcW w:w="1103" w:type="dxa"/>
            <w:shd w:val="clear" w:color="auto" w:fill="auto"/>
            <w:vAlign w:val="center"/>
          </w:tcPr>
          <w:p>
            <w:pPr>
              <w:widowControl/>
              <w:ind w:left="-162" w:leftChars="-77"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截至期末</w:t>
            </w:r>
          </w:p>
          <w:p>
            <w:pPr>
              <w:widowControl/>
              <w:ind w:left="-162" w:leftChars="-77"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累计投入金额</w:t>
            </w:r>
          </w:p>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493" w:type="dxa"/>
            <w:vAlign w:val="center"/>
          </w:tcPr>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截至期末累计投入金额与承诺投入金额的差额</w:t>
            </w:r>
          </w:p>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(3)＝(2)-(1)</w:t>
            </w:r>
          </w:p>
        </w:tc>
        <w:tc>
          <w:tcPr>
            <w:tcW w:w="1249" w:type="dxa"/>
            <w:shd w:val="clear" w:color="auto" w:fill="auto"/>
            <w:vAlign w:val="center"/>
          </w:tcPr>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截至期末投入进度(%)</w:t>
            </w:r>
          </w:p>
          <w:p>
            <w:pPr>
              <w:widowControl/>
              <w:ind w:left="-107" w:leftChars="-51" w:right="-107" w:righ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(4)＝(2)/(1)</w:t>
            </w:r>
          </w:p>
        </w:tc>
        <w:tc>
          <w:tcPr>
            <w:tcW w:w="969"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项目达到预定可使用状态日期</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本年度实现的效益</w:t>
            </w:r>
          </w:p>
        </w:tc>
        <w:tc>
          <w:tcPr>
            <w:tcW w:w="828"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是否达到预计效益</w:t>
            </w:r>
          </w:p>
        </w:tc>
        <w:tc>
          <w:tcPr>
            <w:tcW w:w="856" w:type="dxa"/>
            <w:shd w:val="clear" w:color="auto" w:fill="auto"/>
            <w:vAlign w:val="center"/>
          </w:tcPr>
          <w:p>
            <w:pPr>
              <w:widowControl/>
              <w:ind w:left="-107" w:leftChars="-51" w:right="-107" w:rightChars="-51"/>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项目可行性是否发生重大变化</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国家一类生物抗癌新药重组人血管内皮抑素注射液研发项目</w:t>
            </w:r>
          </w:p>
        </w:tc>
        <w:tc>
          <w:tcPr>
            <w:tcW w:w="847" w:type="dxa"/>
            <w:shd w:val="clear" w:color="auto" w:fill="auto"/>
            <w:vAlign w:val="center"/>
          </w:tcPr>
          <w:p>
            <w:pPr>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15,610.00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3,493.63</w:t>
            </w:r>
          </w:p>
        </w:tc>
        <w:tc>
          <w:tcPr>
            <w:tcW w:w="1026"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4,515.88</w:t>
            </w:r>
          </w:p>
        </w:tc>
        <w:tc>
          <w:tcPr>
            <w:tcW w:w="1493" w:type="dxa"/>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2019.12</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（注6）</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ind w:firstLine="180" w:firstLineChars="100"/>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（注7）</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原料药（河东）、制剂（河西）调整改建项目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否</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4,600.00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4,600.00</w:t>
            </w:r>
          </w:p>
        </w:tc>
        <w:tc>
          <w:tcPr>
            <w:tcW w:w="1026"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4,649.68</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2017.07</w:t>
            </w:r>
          </w:p>
        </w:tc>
        <w:tc>
          <w:tcPr>
            <w:tcW w:w="972" w:type="dxa"/>
            <w:shd w:val="clear" w:color="auto" w:fill="auto"/>
            <w:vAlign w:val="center"/>
          </w:tcPr>
          <w:p>
            <w:pPr>
              <w:widowControl/>
              <w:ind w:right="90"/>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36.05</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（注3）</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（注4）</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原料药二期项目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2,867.45</w:t>
            </w:r>
          </w:p>
        </w:tc>
        <w:tc>
          <w:tcPr>
            <w:tcW w:w="1026"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2,627.71</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2023.09</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（注8）</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药品自动化立体仓库项目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3,679.68</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812.23</w:t>
            </w:r>
          </w:p>
        </w:tc>
        <w:tc>
          <w:tcPr>
            <w:tcW w:w="1026"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874.70</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2016.11</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（注1）</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734.80</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(注5)</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ind w:firstLine="180" w:firstLineChars="100"/>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（注2）</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医药营销网络建设项目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否</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6,900.00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6,900.00</w:t>
            </w:r>
          </w:p>
        </w:tc>
        <w:tc>
          <w:tcPr>
            <w:tcW w:w="1026" w:type="dxa"/>
            <w:shd w:val="clear" w:color="auto" w:fill="auto"/>
            <w:vAlign w:val="center"/>
          </w:tcPr>
          <w:p>
            <w:pPr>
              <w:widowControl/>
              <w:ind w:left="-107" w:leftChars="-51"/>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6,981.05</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2017.10</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医药研发中心项目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否</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10,600.00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10,600.00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11,100.62</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2019.12</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补充医药业务营运资金</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否</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10,000.00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8,848.05</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8,890.70</w:t>
            </w: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抗肿瘤 1 类新药 YS001的研发项目 </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3,500.00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78.15 </w:t>
            </w:r>
          </w:p>
          <w:p>
            <w:pPr>
              <w:widowControl/>
              <w:jc w:val="right"/>
              <w:rPr>
                <w:rFonts w:hint="eastAsia" w:ascii="宋体" w:hAnsi="宋体" w:eastAsia="宋体" w:cs="宋体"/>
                <w:color w:val="auto"/>
                <w:kern w:val="0"/>
                <w:sz w:val="18"/>
                <w:szCs w:val="18"/>
                <w:highlight w:val="none"/>
              </w:rPr>
            </w:pP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2,431.91 </w:t>
            </w:r>
          </w:p>
          <w:p>
            <w:pPr>
              <w:widowControl/>
              <w:jc w:val="right"/>
              <w:rPr>
                <w:rFonts w:hint="eastAsia" w:ascii="宋体" w:hAnsi="宋体" w:eastAsia="宋体" w:cs="宋体"/>
                <w:color w:val="auto"/>
                <w:kern w:val="0"/>
                <w:sz w:val="18"/>
                <w:szCs w:val="18"/>
                <w:highlight w:val="none"/>
              </w:rPr>
            </w:pP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2025.12</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西洛他唑等上市化学仿制药的一致性评价项目</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1,534.00</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130.27 </w:t>
            </w:r>
          </w:p>
          <w:p>
            <w:pPr>
              <w:widowControl/>
              <w:jc w:val="right"/>
              <w:rPr>
                <w:rFonts w:hint="eastAsia" w:ascii="宋体" w:hAnsi="宋体" w:eastAsia="宋体" w:cs="宋体"/>
                <w:color w:val="auto"/>
                <w:kern w:val="0"/>
                <w:sz w:val="18"/>
                <w:szCs w:val="18"/>
                <w:highlight w:val="none"/>
              </w:rPr>
            </w:pP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911.63 </w:t>
            </w:r>
          </w:p>
          <w:p>
            <w:pPr>
              <w:widowControl/>
              <w:jc w:val="right"/>
              <w:rPr>
                <w:rFonts w:hint="eastAsia" w:ascii="宋体" w:hAnsi="宋体" w:eastAsia="宋体" w:cs="宋体"/>
                <w:color w:val="auto"/>
                <w:kern w:val="0"/>
                <w:sz w:val="18"/>
                <w:szCs w:val="18"/>
                <w:highlight w:val="none"/>
              </w:rPr>
            </w:pP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2023.12</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 xml:space="preserve">利奈唑胺与沃诺拉赞的仿制项目 </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是</w:t>
            </w: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1,480.37</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43.40 </w:t>
            </w:r>
          </w:p>
          <w:p>
            <w:pPr>
              <w:widowControl/>
              <w:jc w:val="right"/>
              <w:rPr>
                <w:rFonts w:hint="eastAsia" w:ascii="宋体" w:hAnsi="宋体" w:eastAsia="宋体" w:cs="宋体"/>
                <w:color w:val="auto"/>
                <w:kern w:val="0"/>
                <w:sz w:val="18"/>
                <w:szCs w:val="18"/>
                <w:highlight w:val="none"/>
              </w:rPr>
            </w:pP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623.51 </w:t>
            </w:r>
          </w:p>
          <w:p>
            <w:pPr>
              <w:widowControl/>
              <w:jc w:val="right"/>
              <w:rPr>
                <w:rFonts w:hint="eastAsia" w:ascii="宋体" w:hAnsi="宋体" w:eastAsia="宋体" w:cs="宋体"/>
                <w:color w:val="auto"/>
                <w:kern w:val="0"/>
                <w:sz w:val="18"/>
                <w:szCs w:val="18"/>
                <w:highlight w:val="none"/>
              </w:rPr>
            </w:pP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2026.09</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永久补充流动资金</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p>
        </w:tc>
        <w:tc>
          <w:tcPr>
            <w:tcW w:w="1026"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5,602.00</w:t>
            </w:r>
          </w:p>
        </w:tc>
        <w:tc>
          <w:tcPr>
            <w:tcW w:w="1026" w:type="dxa"/>
            <w:shd w:val="clear" w:color="auto" w:fill="auto"/>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不适用</w:t>
            </w: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5,602.00</w:t>
            </w:r>
          </w:p>
        </w:tc>
        <w:tc>
          <w:tcPr>
            <w:tcW w:w="1493" w:type="dxa"/>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不适用</w:t>
            </w:r>
          </w:p>
        </w:tc>
        <w:tc>
          <w:tcPr>
            <w:tcW w:w="1249" w:type="dxa"/>
            <w:shd w:val="clear" w:color="auto" w:fill="auto"/>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不适用</w:t>
            </w:r>
          </w:p>
        </w:tc>
        <w:tc>
          <w:tcPr>
            <w:tcW w:w="969" w:type="dxa"/>
            <w:shd w:val="clear" w:color="auto" w:fill="auto"/>
            <w:vAlign w:val="center"/>
          </w:tcPr>
          <w:p>
            <w:pPr>
              <w:widowControl/>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合计</w:t>
            </w:r>
          </w:p>
        </w:tc>
        <w:tc>
          <w:tcPr>
            <w:tcW w:w="847"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51,389.68</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50,237.73</w:t>
            </w:r>
          </w:p>
        </w:tc>
        <w:tc>
          <w:tcPr>
            <w:tcW w:w="1026" w:type="dxa"/>
            <w:shd w:val="clear" w:color="auto" w:fill="auto"/>
            <w:vAlign w:val="center"/>
          </w:tcPr>
          <w:p>
            <w:pPr>
              <w:widowControl/>
              <w:jc w:val="right"/>
              <w:rPr>
                <w:rFonts w:hint="eastAsia" w:ascii="宋体" w:hAnsi="宋体" w:eastAsia="宋体" w:cs="宋体"/>
                <w:color w:val="auto"/>
                <w:kern w:val="0"/>
                <w:sz w:val="18"/>
                <w:szCs w:val="18"/>
                <w:highlight w:val="none"/>
              </w:rPr>
            </w:pPr>
          </w:p>
        </w:tc>
        <w:tc>
          <w:tcPr>
            <w:tcW w:w="936"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251.82 </w:t>
            </w:r>
          </w:p>
        </w:tc>
        <w:tc>
          <w:tcPr>
            <w:tcW w:w="1103"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p>
          <w:p>
            <w:pPr>
              <w:widowControl/>
              <w:jc w:val="right"/>
              <w:rPr>
                <w:rFonts w:hint="eastAsia" w:ascii="宋体" w:hAnsi="宋体" w:eastAsia="宋体" w:cs="宋体"/>
                <w:color w:val="auto"/>
                <w:kern w:val="0"/>
                <w:sz w:val="18"/>
                <w:szCs w:val="18"/>
                <w:highlight w:val="none"/>
              </w:rPr>
            </w:pP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49,209.38</w:t>
            </w:r>
          </w:p>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p>
          <w:p>
            <w:pPr>
              <w:widowControl/>
              <w:ind w:left="-107" w:leftChars="-51" w:right="-107" w:rightChars="-51"/>
              <w:jc w:val="right"/>
              <w:rPr>
                <w:rFonts w:hint="eastAsia" w:ascii="宋体" w:hAnsi="宋体" w:eastAsia="宋体" w:cs="宋体"/>
                <w:color w:val="auto"/>
                <w:kern w:val="0"/>
                <w:sz w:val="18"/>
                <w:szCs w:val="18"/>
                <w:highlight w:val="none"/>
              </w:rPr>
            </w:pPr>
          </w:p>
        </w:tc>
        <w:tc>
          <w:tcPr>
            <w:tcW w:w="1493" w:type="dxa"/>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249"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969"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972" w:type="dxa"/>
            <w:shd w:val="clear" w:color="auto" w:fill="auto"/>
            <w:vAlign w:val="center"/>
          </w:tcPr>
          <w:p>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28"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56" w:type="dxa"/>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未达到计划进度原因(分具体募投项目)</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注1：药品自动化立体仓库项目未达到计划进度，原因为由于项目可行性发生变化，公司不再进行仓库二期投入。</w:t>
            </w:r>
          </w:p>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注8：公司原料药二期项目分两期实施，一期为扩建工业用房，二期为在厂房内建设多个生产车间。目前工业用房完成建设并取得不动产证。</w:t>
            </w:r>
            <w:r>
              <w:rPr>
                <w:rFonts w:hint="eastAsia" w:ascii="宋体" w:hAnsi="宋体" w:eastAsia="宋体" w:cs="宋体"/>
                <w:color w:val="auto"/>
                <w:sz w:val="18"/>
                <w:szCs w:val="18"/>
                <w:highlight w:val="none"/>
              </w:rPr>
              <w:t>2023</w:t>
            </w:r>
            <w:r>
              <w:rPr>
                <w:rFonts w:hint="eastAsia" w:ascii="宋体" w:hAnsi="宋体" w:eastAsia="宋体" w:cs="宋体"/>
                <w:color w:val="auto"/>
                <w:kern w:val="0"/>
                <w:sz w:val="18"/>
                <w:szCs w:val="18"/>
                <w:highlight w:val="none"/>
              </w:rPr>
              <w:t>年3月</w:t>
            </w:r>
            <w:r>
              <w:rPr>
                <w:rFonts w:hint="eastAsia" w:ascii="宋体" w:hAnsi="宋体" w:eastAsia="宋体" w:cs="宋体"/>
                <w:color w:val="auto"/>
                <w:sz w:val="18"/>
                <w:szCs w:val="18"/>
                <w:highlight w:val="none"/>
              </w:rPr>
              <w:t>14</w:t>
            </w:r>
            <w:r>
              <w:rPr>
                <w:rFonts w:hint="eastAsia" w:ascii="宋体" w:hAnsi="宋体" w:eastAsia="宋体" w:cs="宋体"/>
                <w:color w:val="auto"/>
                <w:kern w:val="0"/>
                <w:sz w:val="18"/>
                <w:szCs w:val="18"/>
                <w:highlight w:val="none"/>
              </w:rPr>
              <w:t>日</w:t>
            </w:r>
            <w:r>
              <w:rPr>
                <w:rFonts w:hint="eastAsia" w:ascii="宋体" w:hAnsi="宋体" w:eastAsia="宋体" w:cs="宋体"/>
                <w:color w:val="auto"/>
                <w:sz w:val="18"/>
                <w:szCs w:val="18"/>
                <w:highlight w:val="none"/>
              </w:rPr>
              <w:t>3</w:t>
            </w:r>
            <w:r>
              <w:rPr>
                <w:rFonts w:hint="eastAsia" w:ascii="宋体" w:hAnsi="宋体" w:eastAsia="宋体" w:cs="宋体"/>
                <w:color w:val="auto"/>
                <w:kern w:val="0"/>
                <w:sz w:val="18"/>
                <w:szCs w:val="18"/>
                <w:highlight w:val="none"/>
              </w:rPr>
              <w:t>月</w:t>
            </w:r>
            <w:r>
              <w:rPr>
                <w:rFonts w:hint="eastAsia" w:ascii="宋体" w:hAnsi="宋体" w:eastAsia="宋体" w:cs="宋体"/>
                <w:color w:val="auto"/>
                <w:sz w:val="18"/>
                <w:szCs w:val="18"/>
                <w:highlight w:val="none"/>
              </w:rPr>
              <w:t>15</w:t>
            </w:r>
            <w:r>
              <w:rPr>
                <w:rFonts w:hint="eastAsia" w:ascii="宋体" w:hAnsi="宋体" w:eastAsia="宋体" w:cs="宋体"/>
                <w:color w:val="auto"/>
                <w:kern w:val="0"/>
                <w:sz w:val="18"/>
                <w:szCs w:val="18"/>
                <w:highlight w:val="none"/>
              </w:rPr>
              <w:t>日已召开专家评审会。2023年4月17日收到环评批复。</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项目可行性发生重大变化的情况说明</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注2:药品自动化立体仓库项目发生变化。</w:t>
            </w:r>
          </w:p>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公司在《江苏吴中实业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上海证券报》及上海证券交易所网站上披露的相关公告）。</w:t>
            </w:r>
          </w:p>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注7：国家一类生物抗癌新药重组人血管内皮抑素注射液研发项目发生变化</w:t>
            </w:r>
          </w:p>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综合上述因素，为降低投资风险，提高募集资金使用效率，充分保证公司及全体股东的利益，公司拟对原募投项目“国家一类生物抗癌新药重组人血管内皮抑素注射液研发项目”进行变更。</w:t>
            </w:r>
          </w:p>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注9：“西洛他唑等上市化学仿制药的一致性评价项目”中的西洛他唑片、利奈唑胺葡萄糖注射液、注射用艾司奥美拉唑钠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 永久补充流动资金，用于公司日常经营活动，本次变更用途的募集资金金额占公司募集资金净额的 11.15%。 （具体公告详见公司于2021年4月28日在《中国证券报》、《上海证券报》及上海证券交易所网站上披露的相关公告。）</w:t>
            </w:r>
          </w:p>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募集资金投资项目先期投入及置换情况</w:t>
            </w:r>
          </w:p>
        </w:tc>
        <w:tc>
          <w:tcPr>
            <w:tcW w:w="8406" w:type="dxa"/>
            <w:gridSpan w:val="8"/>
            <w:vAlign w:val="center"/>
          </w:tcPr>
          <w:p>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出具信会师报字[2015]第115404号《关于江苏吴中实业股份有限公司以自筹资金预先投入募集资金投资项目专项鉴证报告。</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用闲置募集资金暂时补充流动资金情况</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对闲置募集资金进行现金管理，投资相关产品情况</w:t>
            </w:r>
          </w:p>
        </w:tc>
        <w:tc>
          <w:tcPr>
            <w:tcW w:w="8406" w:type="dxa"/>
            <w:gridSpan w:val="8"/>
            <w:vAlign w:val="center"/>
          </w:tcPr>
          <w:p>
            <w:pPr>
              <w:tabs>
                <w:tab w:val="left" w:pos="4620"/>
              </w:tabs>
              <w:spacing w:line="36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见本专项报告三(三) 对闲置募集资金进行现金管理，投资相关产品情况。</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用超募资金永久补充流动资金或归还银行贷款情况</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项目资金结余的金额及形成原因</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募集资金其他使用情况</w:t>
            </w:r>
          </w:p>
        </w:tc>
        <w:tc>
          <w:tcPr>
            <w:tcW w:w="8406" w:type="dxa"/>
            <w:gridSpan w:val="8"/>
            <w:vAlign w:val="center"/>
          </w:tcPr>
          <w:p>
            <w:pPr>
              <w:widowControl/>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不适用</w:t>
            </w:r>
          </w:p>
        </w:tc>
      </w:tr>
    </w:tbl>
    <w:p>
      <w:pPr>
        <w:spacing w:line="460" w:lineRule="exact"/>
        <w:ind w:right="420"/>
        <w:rPr>
          <w:rFonts w:ascii="宋体" w:hAnsi="宋体" w:cs="宋体"/>
          <w:color w:val="auto"/>
          <w:kern w:val="0"/>
          <w:szCs w:val="21"/>
          <w:highlight w:val="none"/>
        </w:rPr>
      </w:pPr>
      <w:r>
        <w:rPr>
          <w:rFonts w:hint="eastAsia" w:ascii="宋体" w:hAnsi="宋体" w:cs="宋体"/>
          <w:color w:val="auto"/>
          <w:kern w:val="0"/>
          <w:szCs w:val="21"/>
          <w:highlight w:val="none"/>
        </w:rPr>
        <w:t>注3：原料药（河东）、制剂（河西）调整改建项目本年度实现的效益，依照江苏省医药设计院研究有限公司于2014年12月江苏吴中医药集团有限公司苏州制药厂出具的《原料药（河东）、制剂（河西）调整改建项目可行性研究报告》中对建设项目财务分析的相关方式进行效益计算，其中：销售收入按该募投项目相关产品销售收入；相关税金及附加按国家规定比例扣减；相关成本按实际发生数扣减；相关费用参照可行性报告按销售收入比例估算。</w:t>
      </w:r>
    </w:p>
    <w:p>
      <w:pPr>
        <w:spacing w:line="460" w:lineRule="exact"/>
        <w:ind w:right="420"/>
        <w:rPr>
          <w:rFonts w:ascii="宋体" w:hAnsi="宋体" w:cs="宋体"/>
          <w:color w:val="auto"/>
          <w:kern w:val="0"/>
          <w:szCs w:val="21"/>
          <w:highlight w:val="none"/>
        </w:rPr>
      </w:pPr>
      <w:r>
        <w:rPr>
          <w:rFonts w:hint="eastAsia" w:ascii="宋体" w:hAnsi="宋体" w:cs="宋体"/>
          <w:color w:val="auto"/>
          <w:kern w:val="0"/>
          <w:szCs w:val="21"/>
          <w:highlight w:val="none"/>
        </w:rPr>
        <w:t>注4：受市场影响,主产品匹多莫德产量及售价大幅下降，导致原料药（河东）、制剂（河西）调整改建项目效益不及预期。</w:t>
      </w:r>
    </w:p>
    <w:p>
      <w:pPr>
        <w:spacing w:line="460" w:lineRule="exact"/>
        <w:ind w:right="420"/>
        <w:rPr>
          <w:rFonts w:ascii="宋体" w:hAnsi="宋体" w:cs="宋体"/>
          <w:color w:val="auto"/>
          <w:kern w:val="0"/>
          <w:szCs w:val="21"/>
          <w:highlight w:val="none"/>
        </w:rPr>
      </w:pPr>
      <w:r>
        <w:rPr>
          <w:rFonts w:hint="eastAsia" w:ascii="宋体" w:hAnsi="宋体" w:cs="宋体"/>
          <w:color w:val="auto"/>
          <w:kern w:val="0"/>
          <w:szCs w:val="21"/>
          <w:highlight w:val="none"/>
        </w:rPr>
        <w:t>注5：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pPr>
        <w:spacing w:line="460" w:lineRule="exact"/>
        <w:ind w:right="420"/>
        <w:rPr>
          <w:rFonts w:ascii="宋体" w:hAnsi="宋体" w:cs="宋体"/>
          <w:color w:val="auto"/>
          <w:kern w:val="0"/>
          <w:szCs w:val="21"/>
          <w:highlight w:val="none"/>
        </w:rPr>
      </w:pPr>
      <w:r>
        <w:rPr>
          <w:rFonts w:hint="eastAsia" w:ascii="宋体" w:hAnsi="宋体" w:cs="宋体"/>
          <w:color w:val="auto"/>
          <w:kern w:val="0"/>
          <w:szCs w:val="21"/>
          <w:highlight w:val="none"/>
        </w:rPr>
        <w:t>注10：已累计投入募集资金总额包含募集资金现金管理所获收益后再投入金额。</w:t>
      </w:r>
    </w:p>
    <w:p>
      <w:pPr>
        <w:spacing w:line="460" w:lineRule="exact"/>
        <w:ind w:right="420"/>
        <w:rPr>
          <w:rFonts w:ascii="宋体" w:hAnsi="宋体" w:cs="宋体"/>
          <w:color w:val="auto"/>
          <w:kern w:val="0"/>
          <w:szCs w:val="21"/>
          <w:highlight w:val="none"/>
        </w:rPr>
      </w:pPr>
    </w:p>
    <w:p>
      <w:pPr>
        <w:spacing w:line="460" w:lineRule="exact"/>
        <w:ind w:right="420"/>
        <w:rPr>
          <w:rFonts w:ascii="宋体" w:hAnsi="宋体" w:cs="宋体"/>
          <w:color w:val="auto"/>
          <w:kern w:val="0"/>
          <w:szCs w:val="21"/>
          <w:highlight w:val="none"/>
        </w:rPr>
      </w:pPr>
    </w:p>
    <w:p>
      <w:pPr>
        <w:spacing w:line="460" w:lineRule="exact"/>
        <w:ind w:right="420"/>
        <w:rPr>
          <w:rFonts w:ascii="黑体" w:hAnsi="宋体" w:eastAsia="黑体" w:cs="宋体"/>
          <w:b/>
          <w:bCs/>
          <w:color w:val="auto"/>
          <w:kern w:val="0"/>
          <w:sz w:val="28"/>
          <w:szCs w:val="28"/>
          <w:highlight w:val="none"/>
        </w:rPr>
      </w:pPr>
      <w:r>
        <w:rPr>
          <w:rFonts w:ascii="宋体" w:hAnsi="宋体" w:cs="宋体"/>
          <w:color w:val="auto"/>
          <w:kern w:val="0"/>
          <w:szCs w:val="21"/>
          <w:highlight w:val="none"/>
        </w:rPr>
        <w:br w:type="page"/>
      </w:r>
      <w:r>
        <w:rPr>
          <w:rFonts w:hint="eastAsia" w:ascii="宋体" w:hAnsi="宋体" w:cs="宋体"/>
          <w:color w:val="auto"/>
          <w:kern w:val="0"/>
          <w:szCs w:val="21"/>
          <w:highlight w:val="none"/>
        </w:rPr>
        <w:t xml:space="preserve">附件2                                          </w:t>
      </w:r>
      <w:r>
        <w:rPr>
          <w:rFonts w:hint="eastAsia" w:ascii="黑体" w:hAnsi="宋体" w:eastAsia="黑体" w:cs="宋体"/>
          <w:b/>
          <w:bCs/>
          <w:color w:val="auto"/>
          <w:kern w:val="0"/>
          <w:sz w:val="28"/>
          <w:szCs w:val="28"/>
          <w:highlight w:val="none"/>
        </w:rPr>
        <w:t xml:space="preserve"> </w:t>
      </w:r>
    </w:p>
    <w:p>
      <w:pPr>
        <w:spacing w:line="460" w:lineRule="exact"/>
        <w:ind w:right="420"/>
        <w:jc w:val="center"/>
        <w:rPr>
          <w:rFonts w:ascii="黑体" w:hAnsi="宋体" w:eastAsia="黑体" w:cs="宋体"/>
          <w:b/>
          <w:bCs/>
          <w:color w:val="auto"/>
          <w:kern w:val="0"/>
          <w:sz w:val="28"/>
          <w:szCs w:val="28"/>
          <w:highlight w:val="none"/>
        </w:rPr>
      </w:pPr>
      <w:r>
        <w:rPr>
          <w:rFonts w:hint="eastAsia" w:ascii="黑体" w:hAnsi="宋体" w:eastAsia="黑体" w:cs="宋体"/>
          <w:b/>
          <w:bCs/>
          <w:color w:val="auto"/>
          <w:kern w:val="0"/>
          <w:sz w:val="28"/>
          <w:szCs w:val="28"/>
          <w:highlight w:val="none"/>
        </w:rPr>
        <w:t>变更募集资金投资项目情况表</w:t>
      </w:r>
    </w:p>
    <w:p>
      <w:pPr>
        <w:spacing w:line="460" w:lineRule="exact"/>
        <w:ind w:right="420"/>
        <w:jc w:val="center"/>
        <w:rPr>
          <w:rFonts w:ascii="宋体" w:hAnsi="宋体" w:cs="宋体"/>
          <w:color w:val="auto"/>
          <w:kern w:val="0"/>
          <w:szCs w:val="21"/>
          <w:highlight w:val="none"/>
        </w:rPr>
      </w:pPr>
      <w:r>
        <w:rPr>
          <w:rFonts w:hint="eastAsia" w:ascii="宋体" w:hAnsi="宋体" w:cs="宋体"/>
          <w:color w:val="auto"/>
          <w:kern w:val="0"/>
          <w:szCs w:val="21"/>
          <w:highlight w:val="none"/>
        </w:rPr>
        <w:t>2023年上半年</w:t>
      </w:r>
    </w:p>
    <w:p>
      <w:pPr>
        <w:spacing w:line="460" w:lineRule="exact"/>
        <w:ind w:left="-2" w:leftChars="-1" w:right="-802"/>
        <w:rPr>
          <w:rFonts w:ascii="宋体" w:hAnsi="宋体"/>
          <w:color w:val="auto"/>
          <w:szCs w:val="21"/>
          <w:highlight w:val="none"/>
        </w:rPr>
      </w:pPr>
      <w:r>
        <w:rPr>
          <w:rFonts w:hint="eastAsia" w:ascii="宋体" w:hAnsi="宋体" w:cs="宋体"/>
          <w:color w:val="auto"/>
          <w:kern w:val="0"/>
          <w:szCs w:val="21"/>
          <w:highlight w:val="none"/>
        </w:rPr>
        <w:t>编制单位：江苏吴中医药发展股份有限公司</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单位：人民币万元</w:t>
      </w:r>
    </w:p>
    <w:tbl>
      <w:tblPr>
        <w:tblStyle w:val="4"/>
        <w:tblW w:w="14060" w:type="dxa"/>
        <w:jc w:val="center"/>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autofit"/>
        <w:tblCellMar>
          <w:top w:w="0" w:type="dxa"/>
          <w:left w:w="108" w:type="dxa"/>
          <w:bottom w:w="0" w:type="dxa"/>
          <w:right w:w="108" w:type="dxa"/>
        </w:tblCellMar>
      </w:tblPr>
      <w:tblGrid>
        <w:gridCol w:w="1527"/>
        <w:gridCol w:w="1528"/>
        <w:gridCol w:w="1285"/>
        <w:gridCol w:w="1440"/>
        <w:gridCol w:w="1260"/>
        <w:gridCol w:w="1080"/>
        <w:gridCol w:w="1260"/>
        <w:gridCol w:w="1272"/>
        <w:gridCol w:w="1260"/>
        <w:gridCol w:w="900"/>
        <w:gridCol w:w="1248"/>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200" w:hRule="atLeast"/>
          <w:jc w:val="center"/>
        </w:trPr>
        <w:tc>
          <w:tcPr>
            <w:tcW w:w="1527" w:type="dxa"/>
            <w:shd w:val="clear" w:color="auto" w:fill="auto"/>
            <w:vAlign w:val="center"/>
          </w:tcPr>
          <w:p>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 xml:space="preserve"> </w:t>
            </w:r>
            <w:r>
              <w:rPr>
                <w:rFonts w:hint="eastAsia" w:ascii="宋体" w:hAnsi="宋体" w:cs="宋体"/>
                <w:color w:val="auto"/>
                <w:kern w:val="0"/>
                <w:sz w:val="18"/>
                <w:szCs w:val="18"/>
                <w:highlight w:val="none"/>
              </w:rPr>
              <w:t>变更后的项目</w:t>
            </w:r>
          </w:p>
        </w:tc>
        <w:tc>
          <w:tcPr>
            <w:tcW w:w="1528" w:type="dxa"/>
            <w:shd w:val="clear" w:color="auto" w:fill="auto"/>
            <w:vAlign w:val="center"/>
          </w:tcPr>
          <w:p>
            <w:pPr>
              <w:widowControl/>
              <w:spacing w:line="4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对应的原项目</w:t>
            </w:r>
          </w:p>
        </w:tc>
        <w:tc>
          <w:tcPr>
            <w:tcW w:w="1285"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变更后项目拟投入募集资金总额</w:t>
            </w:r>
          </w:p>
        </w:tc>
        <w:tc>
          <w:tcPr>
            <w:tcW w:w="1440"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截至期末计划累计投资金额</w:t>
            </w:r>
          </w:p>
          <w:p>
            <w:pPr>
              <w:jc w:val="right"/>
              <w:rPr>
                <w:rFonts w:ascii="宋体" w:hAnsi="宋体"/>
                <w:color w:val="auto"/>
                <w:kern w:val="0"/>
                <w:sz w:val="18"/>
                <w:szCs w:val="18"/>
                <w:highlight w:val="none"/>
              </w:rPr>
            </w:pPr>
            <w:r>
              <w:rPr>
                <w:rFonts w:hint="eastAsia" w:ascii="宋体" w:hAnsi="宋体"/>
                <w:color w:val="auto"/>
                <w:kern w:val="0"/>
                <w:sz w:val="18"/>
                <w:szCs w:val="18"/>
                <w:highlight w:val="none"/>
              </w:rPr>
              <w:t>(1)</w:t>
            </w:r>
          </w:p>
        </w:tc>
        <w:tc>
          <w:tcPr>
            <w:tcW w:w="1260"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本年度实际投入金额</w:t>
            </w:r>
          </w:p>
        </w:tc>
        <w:tc>
          <w:tcPr>
            <w:tcW w:w="1080"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实际累计投入金额</w:t>
            </w:r>
          </w:p>
          <w:p>
            <w:pPr>
              <w:jc w:val="right"/>
              <w:rPr>
                <w:rFonts w:ascii="宋体" w:hAnsi="宋体"/>
                <w:color w:val="auto"/>
                <w:kern w:val="0"/>
                <w:sz w:val="18"/>
                <w:szCs w:val="18"/>
                <w:highlight w:val="none"/>
              </w:rPr>
            </w:pPr>
            <w:r>
              <w:rPr>
                <w:rFonts w:hint="eastAsia" w:ascii="宋体" w:hAnsi="宋体"/>
                <w:color w:val="auto"/>
                <w:kern w:val="0"/>
                <w:sz w:val="18"/>
                <w:szCs w:val="18"/>
                <w:highlight w:val="none"/>
              </w:rPr>
              <w:t>(2)</w:t>
            </w:r>
          </w:p>
        </w:tc>
        <w:tc>
          <w:tcPr>
            <w:tcW w:w="1260"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投资进度(%)</w:t>
            </w:r>
          </w:p>
          <w:p>
            <w:pPr>
              <w:jc w:val="right"/>
              <w:rPr>
                <w:rFonts w:ascii="宋体" w:hAnsi="宋体"/>
                <w:color w:val="auto"/>
                <w:kern w:val="0"/>
                <w:sz w:val="18"/>
                <w:szCs w:val="18"/>
                <w:highlight w:val="none"/>
              </w:rPr>
            </w:pPr>
            <w:r>
              <w:rPr>
                <w:rFonts w:hint="eastAsia" w:ascii="宋体" w:hAnsi="宋体"/>
                <w:color w:val="auto"/>
                <w:kern w:val="0"/>
                <w:sz w:val="18"/>
                <w:szCs w:val="18"/>
                <w:highlight w:val="none"/>
              </w:rPr>
              <w:t>(3)=(2)/(1)</w:t>
            </w:r>
          </w:p>
        </w:tc>
        <w:tc>
          <w:tcPr>
            <w:tcW w:w="1272" w:type="dxa"/>
            <w:shd w:val="clear" w:color="auto" w:fill="auto"/>
            <w:vAlign w:val="center"/>
          </w:tcPr>
          <w:p>
            <w:pPr>
              <w:ind w:left="-107" w:leftChars="-51" w:right="-107" w:rightChars="-51"/>
              <w:jc w:val="left"/>
              <w:rPr>
                <w:rFonts w:ascii="宋体" w:hAnsi="宋体"/>
                <w:color w:val="auto"/>
                <w:kern w:val="0"/>
                <w:sz w:val="18"/>
                <w:szCs w:val="18"/>
                <w:highlight w:val="none"/>
              </w:rPr>
            </w:pPr>
            <w:r>
              <w:rPr>
                <w:rFonts w:hint="eastAsia" w:ascii="宋体" w:hAnsi="宋体"/>
                <w:color w:val="auto"/>
                <w:kern w:val="0"/>
                <w:sz w:val="18"/>
                <w:szCs w:val="18"/>
                <w:highlight w:val="none"/>
              </w:rPr>
              <w:t>项目达到预定可使用状态日期</w:t>
            </w:r>
          </w:p>
        </w:tc>
        <w:tc>
          <w:tcPr>
            <w:tcW w:w="1260" w:type="dxa"/>
            <w:shd w:val="clear" w:color="auto" w:fill="auto"/>
            <w:vAlign w:val="center"/>
          </w:tcPr>
          <w:p>
            <w:pPr>
              <w:jc w:val="right"/>
              <w:rPr>
                <w:rFonts w:ascii="宋体" w:hAnsi="宋体"/>
                <w:color w:val="auto"/>
                <w:kern w:val="0"/>
                <w:sz w:val="18"/>
                <w:szCs w:val="18"/>
                <w:highlight w:val="none"/>
              </w:rPr>
            </w:pPr>
            <w:r>
              <w:rPr>
                <w:rFonts w:hint="eastAsia" w:ascii="宋体" w:hAnsi="宋体"/>
                <w:color w:val="auto"/>
                <w:kern w:val="0"/>
                <w:sz w:val="18"/>
                <w:szCs w:val="18"/>
                <w:highlight w:val="none"/>
              </w:rPr>
              <w:t>本年度实现的效益</w:t>
            </w:r>
          </w:p>
        </w:tc>
        <w:tc>
          <w:tcPr>
            <w:tcW w:w="900" w:type="dxa"/>
            <w:shd w:val="clear" w:color="auto" w:fill="auto"/>
            <w:vAlign w:val="center"/>
          </w:tcPr>
          <w:p>
            <w:pPr>
              <w:jc w:val="left"/>
              <w:rPr>
                <w:rFonts w:ascii="宋体" w:hAnsi="宋体"/>
                <w:color w:val="auto"/>
                <w:kern w:val="0"/>
                <w:sz w:val="18"/>
                <w:szCs w:val="18"/>
                <w:highlight w:val="none"/>
              </w:rPr>
            </w:pPr>
            <w:r>
              <w:rPr>
                <w:rFonts w:hint="eastAsia" w:ascii="宋体" w:hAnsi="宋体"/>
                <w:color w:val="auto"/>
                <w:kern w:val="0"/>
                <w:sz w:val="18"/>
                <w:szCs w:val="18"/>
                <w:highlight w:val="none"/>
              </w:rPr>
              <w:t>是否达到预计效益</w:t>
            </w:r>
          </w:p>
        </w:tc>
        <w:tc>
          <w:tcPr>
            <w:tcW w:w="1248" w:type="dxa"/>
            <w:shd w:val="clear" w:color="auto" w:fill="auto"/>
            <w:vAlign w:val="center"/>
          </w:tcPr>
          <w:p>
            <w:pPr>
              <w:jc w:val="left"/>
              <w:rPr>
                <w:rFonts w:ascii="宋体" w:hAnsi="宋体"/>
                <w:color w:val="auto"/>
                <w:kern w:val="0"/>
                <w:sz w:val="18"/>
                <w:szCs w:val="18"/>
                <w:highlight w:val="none"/>
              </w:rPr>
            </w:pPr>
            <w:r>
              <w:rPr>
                <w:rFonts w:hint="eastAsia" w:ascii="宋体" w:hAnsi="宋体"/>
                <w:color w:val="auto"/>
                <w:kern w:val="0"/>
                <w:sz w:val="18"/>
                <w:szCs w:val="18"/>
                <w:highlight w:val="none"/>
              </w:rPr>
              <w:t>变更后的项目可行性是否发生重大变化</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jc w:val="center"/>
        </w:trPr>
        <w:tc>
          <w:tcPr>
            <w:tcW w:w="1527" w:type="dxa"/>
            <w:shd w:val="clear" w:color="auto" w:fill="auto"/>
            <w:vAlign w:val="center"/>
          </w:tcPr>
          <w:p>
            <w:pPr>
              <w:widowControl/>
              <w:rPr>
                <w:rFonts w:ascii="宋体" w:hAnsi="宋体" w:cs="宋体"/>
                <w:color w:val="auto"/>
                <w:kern w:val="0"/>
                <w:sz w:val="18"/>
                <w:szCs w:val="18"/>
                <w:highlight w:val="none"/>
              </w:rPr>
            </w:pPr>
            <w:r>
              <w:rPr>
                <w:rFonts w:hint="eastAsia"/>
                <w:color w:val="auto"/>
                <w:sz w:val="18"/>
                <w:szCs w:val="18"/>
                <w:highlight w:val="none"/>
              </w:rPr>
              <w:t>原料药二期</w:t>
            </w:r>
          </w:p>
        </w:tc>
        <w:tc>
          <w:tcPr>
            <w:tcW w:w="152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药品自动化立体仓库项目（注1）</w:t>
            </w:r>
          </w:p>
        </w:tc>
        <w:tc>
          <w:tcPr>
            <w:tcW w:w="1285"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 xml:space="preserve">2,867.45 </w:t>
            </w:r>
          </w:p>
        </w:tc>
        <w:tc>
          <w:tcPr>
            <w:tcW w:w="144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0</w:t>
            </w:r>
          </w:p>
        </w:tc>
        <w:tc>
          <w:tcPr>
            <w:tcW w:w="108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2,627.7</w:t>
            </w:r>
            <w:r>
              <w:rPr>
                <w:rFonts w:hint="eastAsia" w:ascii="宋体" w:hAnsi="宋体" w:cs="宋体"/>
                <w:color w:val="auto"/>
                <w:kern w:val="0"/>
                <w:sz w:val="18"/>
                <w:szCs w:val="18"/>
                <w:highlight w:val="none"/>
              </w:rPr>
              <w:t>1</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Arial Narrow" w:hAnsi="Arial Narrow" w:cs="Arial"/>
                <w:color w:val="auto"/>
                <w:sz w:val="18"/>
                <w:szCs w:val="18"/>
                <w:highlight w:val="none"/>
              </w:rPr>
              <w:t>不适用</w:t>
            </w:r>
          </w:p>
        </w:tc>
        <w:tc>
          <w:tcPr>
            <w:tcW w:w="1272"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2023.09</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900" w:type="dxa"/>
            <w:shd w:val="clear" w:color="auto" w:fill="auto"/>
            <w:vAlign w:val="center"/>
          </w:tcPr>
          <w:p>
            <w:pPr>
              <w:widowControl/>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4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jc w:val="center"/>
        </w:trPr>
        <w:tc>
          <w:tcPr>
            <w:tcW w:w="1527" w:type="dxa"/>
            <w:shd w:val="clear" w:color="auto" w:fill="auto"/>
            <w:vAlign w:val="center"/>
          </w:tcPr>
          <w:p>
            <w:pPr>
              <w:widowControl/>
              <w:rPr>
                <w:rFonts w:ascii="宋体" w:hAnsi="宋体" w:cs="宋体"/>
                <w:color w:val="auto"/>
                <w:kern w:val="0"/>
                <w:sz w:val="18"/>
                <w:szCs w:val="18"/>
                <w:highlight w:val="none"/>
              </w:rPr>
            </w:pPr>
            <w:r>
              <w:rPr>
                <w:rFonts w:hint="eastAsia"/>
                <w:color w:val="auto"/>
                <w:sz w:val="18"/>
                <w:szCs w:val="18"/>
                <w:highlight w:val="none"/>
              </w:rPr>
              <w:t>抗肿瘤 1 类 新药YS001的研发项目</w:t>
            </w:r>
          </w:p>
        </w:tc>
        <w:tc>
          <w:tcPr>
            <w:tcW w:w="152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国家一类生物抗癌新药重组人血管内皮抑素注射液研发项目（注2）</w:t>
            </w:r>
          </w:p>
        </w:tc>
        <w:tc>
          <w:tcPr>
            <w:tcW w:w="1285"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 xml:space="preserve">3,500.00 </w:t>
            </w:r>
          </w:p>
        </w:tc>
        <w:tc>
          <w:tcPr>
            <w:tcW w:w="144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78.15</w:t>
            </w:r>
          </w:p>
        </w:tc>
        <w:tc>
          <w:tcPr>
            <w:tcW w:w="108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2,431.91</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Arial Narrow" w:hAnsi="Arial Narrow" w:cs="Arial"/>
                <w:color w:val="auto"/>
                <w:sz w:val="18"/>
                <w:szCs w:val="18"/>
                <w:highlight w:val="none"/>
              </w:rPr>
              <w:t>不适用</w:t>
            </w:r>
          </w:p>
        </w:tc>
        <w:tc>
          <w:tcPr>
            <w:tcW w:w="1272"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2022.06</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900" w:type="dxa"/>
            <w:shd w:val="clear" w:color="auto" w:fill="auto"/>
            <w:vAlign w:val="center"/>
          </w:tcPr>
          <w:p>
            <w:pPr>
              <w:widowControl/>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4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jc w:val="center"/>
        </w:trPr>
        <w:tc>
          <w:tcPr>
            <w:tcW w:w="1527" w:type="dxa"/>
            <w:shd w:val="clear" w:color="auto" w:fill="auto"/>
            <w:vAlign w:val="center"/>
          </w:tcPr>
          <w:p>
            <w:pPr>
              <w:widowControl/>
              <w:rPr>
                <w:rFonts w:ascii="宋体" w:hAnsi="宋体" w:cs="宋体"/>
                <w:color w:val="auto"/>
                <w:kern w:val="0"/>
                <w:sz w:val="18"/>
                <w:szCs w:val="18"/>
                <w:highlight w:val="none"/>
              </w:rPr>
            </w:pPr>
            <w:r>
              <w:rPr>
                <w:rFonts w:hint="eastAsia"/>
                <w:color w:val="auto"/>
                <w:sz w:val="18"/>
                <w:szCs w:val="18"/>
                <w:highlight w:val="none"/>
              </w:rPr>
              <w:t xml:space="preserve">西洛他唑等 上市化学仿 制药的一致 性评价项目 </w:t>
            </w:r>
          </w:p>
        </w:tc>
        <w:tc>
          <w:tcPr>
            <w:tcW w:w="152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国家一类生物抗癌新药重组人血管内皮抑素注射液研发项目</w:t>
            </w:r>
          </w:p>
        </w:tc>
        <w:tc>
          <w:tcPr>
            <w:tcW w:w="1285"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 xml:space="preserve">1,534.00  </w:t>
            </w:r>
          </w:p>
        </w:tc>
        <w:tc>
          <w:tcPr>
            <w:tcW w:w="144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130.27</w:t>
            </w:r>
          </w:p>
        </w:tc>
        <w:tc>
          <w:tcPr>
            <w:tcW w:w="108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911.63</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Arial Narrow" w:hAnsi="Arial Narrow" w:cs="Arial"/>
                <w:color w:val="auto"/>
                <w:sz w:val="18"/>
                <w:szCs w:val="18"/>
                <w:highlight w:val="none"/>
              </w:rPr>
              <w:t>不适用</w:t>
            </w:r>
          </w:p>
        </w:tc>
        <w:tc>
          <w:tcPr>
            <w:tcW w:w="1272"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2023.12</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900" w:type="dxa"/>
            <w:shd w:val="clear" w:color="auto" w:fill="auto"/>
            <w:vAlign w:val="center"/>
          </w:tcPr>
          <w:p>
            <w:pPr>
              <w:widowControl/>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48" w:type="dxa"/>
            <w:shd w:val="clear" w:color="auto" w:fill="auto"/>
            <w:vAlign w:val="center"/>
          </w:tcPr>
          <w:p>
            <w:pPr>
              <w:widowControl/>
              <w:rPr>
                <w:rFonts w:cs="Arial"/>
                <w:color w:val="auto"/>
                <w:sz w:val="18"/>
                <w:szCs w:val="18"/>
                <w:highlight w:val="none"/>
              </w:rPr>
            </w:pPr>
            <w:r>
              <w:rPr>
                <w:rFonts w:hint="eastAsia" w:cs="Arial"/>
                <w:color w:val="auto"/>
                <w:sz w:val="18"/>
                <w:szCs w:val="18"/>
                <w:highlight w:val="none"/>
              </w:rPr>
              <w:t>是</w:t>
            </w:r>
          </w:p>
          <w:p>
            <w:pPr>
              <w:widowControl/>
              <w:rPr>
                <w:rFonts w:ascii="宋体" w:hAnsi="宋体" w:cs="宋体"/>
                <w:color w:val="auto"/>
                <w:kern w:val="0"/>
                <w:sz w:val="18"/>
                <w:szCs w:val="18"/>
                <w:highlight w:val="none"/>
              </w:rPr>
            </w:pPr>
            <w:r>
              <w:rPr>
                <w:rFonts w:hint="eastAsia" w:ascii="宋体" w:hAnsi="宋体" w:cs="宋体"/>
                <w:color w:val="auto"/>
                <w:sz w:val="18"/>
                <w:szCs w:val="18"/>
                <w:highlight w:val="none"/>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jc w:val="center"/>
        </w:trPr>
        <w:tc>
          <w:tcPr>
            <w:tcW w:w="1527" w:type="dxa"/>
            <w:shd w:val="clear" w:color="auto" w:fill="auto"/>
            <w:vAlign w:val="center"/>
          </w:tcPr>
          <w:p>
            <w:pPr>
              <w:widowControl/>
              <w:rPr>
                <w:rFonts w:ascii="宋体" w:hAnsi="宋体" w:cs="宋体"/>
                <w:color w:val="auto"/>
                <w:kern w:val="0"/>
                <w:sz w:val="18"/>
                <w:szCs w:val="18"/>
                <w:highlight w:val="none"/>
              </w:rPr>
            </w:pPr>
            <w:r>
              <w:rPr>
                <w:rFonts w:hint="eastAsia"/>
                <w:color w:val="auto"/>
                <w:sz w:val="18"/>
                <w:szCs w:val="18"/>
                <w:highlight w:val="none"/>
              </w:rPr>
              <w:t xml:space="preserve">利奈唑胺与 沃诺拉赞的 仿制项目 </w:t>
            </w:r>
          </w:p>
        </w:tc>
        <w:tc>
          <w:tcPr>
            <w:tcW w:w="1528" w:type="dxa"/>
            <w:shd w:val="clear" w:color="auto" w:fill="auto"/>
            <w:vAlign w:val="center"/>
          </w:tcPr>
          <w:p>
            <w:pPr>
              <w:widowControl/>
              <w:rPr>
                <w:rFonts w:ascii="宋体" w:hAnsi="宋体" w:cs="宋体"/>
                <w:color w:val="auto"/>
                <w:kern w:val="0"/>
                <w:sz w:val="18"/>
                <w:szCs w:val="18"/>
                <w:highlight w:val="none"/>
              </w:rPr>
            </w:pPr>
            <w:r>
              <w:rPr>
                <w:rFonts w:hint="eastAsia" w:cs="Arial"/>
                <w:color w:val="auto"/>
                <w:sz w:val="18"/>
                <w:szCs w:val="18"/>
                <w:highlight w:val="none"/>
              </w:rPr>
              <w:t>国家一类生物抗癌新药重组人血管内皮抑素注射液研发项目</w:t>
            </w:r>
          </w:p>
        </w:tc>
        <w:tc>
          <w:tcPr>
            <w:tcW w:w="1285"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 xml:space="preserve">1,480.37  </w:t>
            </w:r>
          </w:p>
        </w:tc>
        <w:tc>
          <w:tcPr>
            <w:tcW w:w="144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43.40</w:t>
            </w:r>
          </w:p>
        </w:tc>
        <w:tc>
          <w:tcPr>
            <w:tcW w:w="108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623.51</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Arial Narrow" w:hAnsi="Arial Narrow" w:cs="Arial"/>
                <w:color w:val="auto"/>
                <w:sz w:val="18"/>
                <w:szCs w:val="18"/>
                <w:highlight w:val="none"/>
              </w:rPr>
              <w:t>不适用</w:t>
            </w:r>
          </w:p>
        </w:tc>
        <w:tc>
          <w:tcPr>
            <w:tcW w:w="1272"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2026.09</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900" w:type="dxa"/>
            <w:shd w:val="clear" w:color="auto" w:fill="auto"/>
            <w:vAlign w:val="center"/>
          </w:tcPr>
          <w:p>
            <w:pPr>
              <w:widowControl/>
              <w:rPr>
                <w:rFonts w:ascii="宋体" w:hAnsi="宋体" w:cs="宋体"/>
                <w:color w:val="auto"/>
                <w:kern w:val="0"/>
                <w:sz w:val="18"/>
                <w:szCs w:val="18"/>
                <w:highlight w:val="none"/>
              </w:rPr>
            </w:pPr>
            <w:r>
              <w:rPr>
                <w:rFonts w:hint="eastAsia" w:ascii="宋体" w:hAnsi="宋体"/>
                <w:color w:val="auto"/>
                <w:kern w:val="0"/>
                <w:sz w:val="18"/>
                <w:szCs w:val="18"/>
                <w:highlight w:val="none"/>
              </w:rPr>
              <w:t>——</w:t>
            </w:r>
          </w:p>
        </w:tc>
        <w:tc>
          <w:tcPr>
            <w:tcW w:w="1248" w:type="dxa"/>
            <w:shd w:val="clear" w:color="auto" w:fill="auto"/>
            <w:vAlign w:val="center"/>
          </w:tcPr>
          <w:p>
            <w:pPr>
              <w:widowControl/>
              <w:rPr>
                <w:rFonts w:cs="Arial"/>
                <w:color w:val="auto"/>
                <w:sz w:val="18"/>
                <w:szCs w:val="18"/>
                <w:highlight w:val="none"/>
              </w:rPr>
            </w:pPr>
            <w:r>
              <w:rPr>
                <w:rFonts w:hint="eastAsia" w:cs="Arial"/>
                <w:color w:val="auto"/>
                <w:sz w:val="18"/>
                <w:szCs w:val="18"/>
                <w:highlight w:val="none"/>
              </w:rPr>
              <w:t>是</w:t>
            </w:r>
          </w:p>
          <w:p>
            <w:pPr>
              <w:widowControl/>
              <w:rPr>
                <w:rFonts w:ascii="宋体" w:hAnsi="宋体" w:cs="宋体"/>
                <w:color w:val="auto"/>
                <w:kern w:val="0"/>
                <w:sz w:val="18"/>
                <w:szCs w:val="18"/>
                <w:highlight w:val="none"/>
              </w:rPr>
            </w:pPr>
            <w:r>
              <w:rPr>
                <w:rFonts w:hint="eastAsia" w:ascii="宋体" w:hAnsi="宋体" w:cs="宋体"/>
                <w:color w:val="auto"/>
                <w:sz w:val="18"/>
                <w:szCs w:val="18"/>
                <w:highlight w:val="none"/>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jc w:val="center"/>
        </w:trPr>
        <w:tc>
          <w:tcPr>
            <w:tcW w:w="1527" w:type="dxa"/>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  计</w:t>
            </w:r>
          </w:p>
        </w:tc>
        <w:tc>
          <w:tcPr>
            <w:tcW w:w="1528" w:type="dxa"/>
            <w:shd w:val="clear" w:color="auto" w:fill="auto"/>
            <w:vAlign w:val="center"/>
          </w:tcPr>
          <w:p>
            <w:pPr>
              <w:widowControl/>
              <w:rPr>
                <w:rFonts w:ascii="宋体" w:hAnsi="宋体" w:cs="宋体"/>
                <w:color w:val="auto"/>
                <w:kern w:val="0"/>
                <w:sz w:val="18"/>
                <w:szCs w:val="18"/>
                <w:highlight w:val="none"/>
              </w:rPr>
            </w:pPr>
          </w:p>
        </w:tc>
        <w:tc>
          <w:tcPr>
            <w:tcW w:w="1285"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9</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381.82</w:t>
            </w:r>
          </w:p>
        </w:tc>
        <w:tc>
          <w:tcPr>
            <w:tcW w:w="144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251.82</w:t>
            </w:r>
          </w:p>
        </w:tc>
        <w:tc>
          <w:tcPr>
            <w:tcW w:w="1080" w:type="dxa"/>
            <w:shd w:val="clear" w:color="auto" w:fill="auto"/>
            <w:vAlign w:val="center"/>
          </w:tcPr>
          <w:p>
            <w:pPr>
              <w:widowControl/>
              <w:jc w:val="right"/>
              <w:rPr>
                <w:rFonts w:ascii="宋体" w:hAnsi="宋体" w:cs="宋体"/>
                <w:color w:val="auto"/>
                <w:kern w:val="0"/>
                <w:sz w:val="18"/>
                <w:szCs w:val="18"/>
                <w:highlight w:val="none"/>
              </w:rPr>
            </w:pPr>
            <w:r>
              <w:rPr>
                <w:rFonts w:ascii="宋体" w:hAnsi="宋体" w:cs="宋体"/>
                <w:color w:val="auto"/>
                <w:kern w:val="0"/>
                <w:sz w:val="18"/>
                <w:szCs w:val="18"/>
                <w:highlight w:val="none"/>
              </w:rPr>
              <w:t>6594.75</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ascii="Arial Narrow" w:hAnsi="Arial Narrow" w:cs="Arial"/>
                <w:color w:val="auto"/>
                <w:sz w:val="18"/>
                <w:szCs w:val="18"/>
                <w:highlight w:val="none"/>
              </w:rPr>
              <w:t>-</w:t>
            </w:r>
          </w:p>
        </w:tc>
        <w:tc>
          <w:tcPr>
            <w:tcW w:w="1272" w:type="dxa"/>
            <w:shd w:val="clear" w:color="auto" w:fill="auto"/>
            <w:vAlign w:val="center"/>
          </w:tcPr>
          <w:p>
            <w:pPr>
              <w:widowControl/>
              <w:jc w:val="right"/>
              <w:rPr>
                <w:rFonts w:ascii="宋体" w:hAnsi="宋体" w:cs="宋体"/>
                <w:color w:val="auto"/>
                <w:kern w:val="0"/>
                <w:sz w:val="18"/>
                <w:szCs w:val="18"/>
                <w:highlight w:val="none"/>
              </w:rPr>
            </w:pPr>
            <w:r>
              <w:rPr>
                <w:rFonts w:ascii="Arial Narrow" w:hAnsi="Arial Narrow" w:cs="Arial"/>
                <w:color w:val="auto"/>
                <w:sz w:val="18"/>
                <w:szCs w:val="18"/>
                <w:highlight w:val="none"/>
              </w:rPr>
              <w:t>-</w:t>
            </w:r>
          </w:p>
        </w:tc>
        <w:tc>
          <w:tcPr>
            <w:tcW w:w="1260" w:type="dxa"/>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0" w:type="dxa"/>
            <w:shd w:val="clear" w:color="auto" w:fill="auto"/>
            <w:vAlign w:val="center"/>
          </w:tcPr>
          <w:p>
            <w:pPr>
              <w:widowControl/>
              <w:jc w:val="right"/>
              <w:rPr>
                <w:rFonts w:ascii="宋体" w:hAnsi="宋体" w:cs="宋体"/>
                <w:color w:val="auto"/>
                <w:kern w:val="0"/>
                <w:sz w:val="18"/>
                <w:szCs w:val="18"/>
                <w:highlight w:val="none"/>
              </w:rPr>
            </w:pPr>
            <w:r>
              <w:rPr>
                <w:rFonts w:ascii="Arial Narrow" w:hAnsi="Arial Narrow" w:cs="Arial"/>
                <w:color w:val="auto"/>
                <w:sz w:val="18"/>
                <w:szCs w:val="18"/>
                <w:highlight w:val="none"/>
              </w:rPr>
              <w:t>-</w:t>
            </w:r>
          </w:p>
        </w:tc>
        <w:tc>
          <w:tcPr>
            <w:tcW w:w="1248" w:type="dxa"/>
            <w:shd w:val="clear" w:color="auto" w:fill="auto"/>
            <w:vAlign w:val="center"/>
          </w:tcPr>
          <w:p>
            <w:pPr>
              <w:widowControl/>
              <w:jc w:val="right"/>
              <w:rPr>
                <w:rFonts w:ascii="宋体" w:hAnsi="宋体" w:cs="宋体"/>
                <w:color w:val="auto"/>
                <w:kern w:val="0"/>
                <w:sz w:val="18"/>
                <w:szCs w:val="18"/>
                <w:highlight w:val="none"/>
              </w:rPr>
            </w:pPr>
            <w:r>
              <w:rPr>
                <w:rFonts w:ascii="Arial Narrow" w:hAnsi="Arial Narrow" w:cs="Arial"/>
                <w:color w:val="auto"/>
                <w:sz w:val="18"/>
                <w:szCs w:val="18"/>
                <w:highlight w:val="none"/>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jc w:val="center"/>
        </w:trPr>
        <w:tc>
          <w:tcPr>
            <w:tcW w:w="5780" w:type="dxa"/>
            <w:gridSpan w:val="4"/>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变更原因、决策程序及信息披露情况说明(分具体募投项目)</w:t>
            </w:r>
          </w:p>
        </w:tc>
        <w:tc>
          <w:tcPr>
            <w:tcW w:w="8280" w:type="dxa"/>
            <w:gridSpan w:val="7"/>
            <w:shd w:val="clear" w:color="auto" w:fill="auto"/>
            <w:vAlign w:val="center"/>
          </w:tcPr>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注1：药品自动化立体仓库项目</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注2：国家一类生物抗癌新药重组人血管内皮抑素注射液研发项目</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综合上述因素，为降低投资风险，提高募集资金使用效率，充分保证公司及全体股东的利益，公司拟对原募投项目“国家一类生物抗癌新药重组人血管内皮抑素注射液研发项目”进行变更。</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jc w:val="center"/>
        </w:trPr>
        <w:tc>
          <w:tcPr>
            <w:tcW w:w="5780" w:type="dxa"/>
            <w:gridSpan w:val="4"/>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未达到计划进度的情况和原因(分具体募投项目)</w:t>
            </w:r>
          </w:p>
        </w:tc>
        <w:tc>
          <w:tcPr>
            <w:tcW w:w="8280" w:type="dxa"/>
            <w:gridSpan w:val="7"/>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jc w:val="center"/>
        </w:trPr>
        <w:tc>
          <w:tcPr>
            <w:tcW w:w="5780" w:type="dxa"/>
            <w:gridSpan w:val="4"/>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变更后的项目可行性发生重大变化的情况说明</w:t>
            </w:r>
          </w:p>
        </w:tc>
        <w:tc>
          <w:tcPr>
            <w:tcW w:w="8280" w:type="dxa"/>
            <w:gridSpan w:val="7"/>
            <w:shd w:val="clear" w:color="auto" w:fill="auto"/>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注3：“西洛他唑等上市化学仿制药的一致性评价项目”中的西洛他唑片、利奈唑胺葡萄糖注射液、注射用艾司奥美拉唑钠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万元及利息收入永久补充流动资金， 用于公司日常经营活动，本次变更用途的募集资金金额占公司募集资金净额的 11.15%。 （具体公告详见公司于2021年4月28日在《中国证券报》、《上海证券报》及上海证券交易所网站上披露的相关公告。）</w:t>
            </w:r>
          </w:p>
          <w:p>
            <w:pPr>
              <w:widowControl/>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bl>
    <w:p>
      <w:pPr>
        <w:spacing w:line="360" w:lineRule="auto"/>
        <w:rPr>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A71BE1"/>
    <w:rsid w:val="0000038C"/>
    <w:rsid w:val="000026E6"/>
    <w:rsid w:val="000052DC"/>
    <w:rsid w:val="0001153F"/>
    <w:rsid w:val="00015559"/>
    <w:rsid w:val="0003171D"/>
    <w:rsid w:val="00034EAF"/>
    <w:rsid w:val="000377FA"/>
    <w:rsid w:val="00037B42"/>
    <w:rsid w:val="000514F9"/>
    <w:rsid w:val="00055DC4"/>
    <w:rsid w:val="0006039B"/>
    <w:rsid w:val="0007113B"/>
    <w:rsid w:val="00077985"/>
    <w:rsid w:val="00095701"/>
    <w:rsid w:val="000972A4"/>
    <w:rsid w:val="000B0F9D"/>
    <w:rsid w:val="000B3BC8"/>
    <w:rsid w:val="000C1EBF"/>
    <w:rsid w:val="000C5038"/>
    <w:rsid w:val="000D2DCA"/>
    <w:rsid w:val="000D5160"/>
    <w:rsid w:val="000D59A8"/>
    <w:rsid w:val="000E2525"/>
    <w:rsid w:val="000E2D25"/>
    <w:rsid w:val="000E39CC"/>
    <w:rsid w:val="000E5928"/>
    <w:rsid w:val="000E7F53"/>
    <w:rsid w:val="000F3A78"/>
    <w:rsid w:val="001044FC"/>
    <w:rsid w:val="00115DE0"/>
    <w:rsid w:val="00125BE8"/>
    <w:rsid w:val="00125EB5"/>
    <w:rsid w:val="00127ECC"/>
    <w:rsid w:val="001302DF"/>
    <w:rsid w:val="00141A30"/>
    <w:rsid w:val="0014235B"/>
    <w:rsid w:val="001433F4"/>
    <w:rsid w:val="001449C0"/>
    <w:rsid w:val="00151157"/>
    <w:rsid w:val="001625DA"/>
    <w:rsid w:val="00163205"/>
    <w:rsid w:val="00164FAA"/>
    <w:rsid w:val="00167B35"/>
    <w:rsid w:val="00173650"/>
    <w:rsid w:val="001741A0"/>
    <w:rsid w:val="00177C3B"/>
    <w:rsid w:val="00184711"/>
    <w:rsid w:val="00190F6C"/>
    <w:rsid w:val="00193FC5"/>
    <w:rsid w:val="00194544"/>
    <w:rsid w:val="001947CB"/>
    <w:rsid w:val="001A6F91"/>
    <w:rsid w:val="001B2A0E"/>
    <w:rsid w:val="001C16DA"/>
    <w:rsid w:val="001C73AC"/>
    <w:rsid w:val="001D0721"/>
    <w:rsid w:val="001D198B"/>
    <w:rsid w:val="001E0DDC"/>
    <w:rsid w:val="001E1918"/>
    <w:rsid w:val="001E39C4"/>
    <w:rsid w:val="001E49FF"/>
    <w:rsid w:val="001E57CA"/>
    <w:rsid w:val="001F698F"/>
    <w:rsid w:val="00201E57"/>
    <w:rsid w:val="00204DB0"/>
    <w:rsid w:val="002101B8"/>
    <w:rsid w:val="002127B8"/>
    <w:rsid w:val="00216C8B"/>
    <w:rsid w:val="00217521"/>
    <w:rsid w:val="00227A64"/>
    <w:rsid w:val="002343EA"/>
    <w:rsid w:val="00235325"/>
    <w:rsid w:val="002442A3"/>
    <w:rsid w:val="00251C73"/>
    <w:rsid w:val="00252380"/>
    <w:rsid w:val="002554B0"/>
    <w:rsid w:val="00256018"/>
    <w:rsid w:val="002561CC"/>
    <w:rsid w:val="0025726D"/>
    <w:rsid w:val="0025795B"/>
    <w:rsid w:val="00266464"/>
    <w:rsid w:val="00270486"/>
    <w:rsid w:val="0027220C"/>
    <w:rsid w:val="0027295C"/>
    <w:rsid w:val="00276B63"/>
    <w:rsid w:val="002808AB"/>
    <w:rsid w:val="00284CD2"/>
    <w:rsid w:val="00285AE5"/>
    <w:rsid w:val="00297F43"/>
    <w:rsid w:val="002A1B60"/>
    <w:rsid w:val="002B5713"/>
    <w:rsid w:val="002B7CCB"/>
    <w:rsid w:val="002C2A1E"/>
    <w:rsid w:val="002C43B8"/>
    <w:rsid w:val="002C71E7"/>
    <w:rsid w:val="002D2369"/>
    <w:rsid w:val="002D348C"/>
    <w:rsid w:val="002D4C8C"/>
    <w:rsid w:val="002F4242"/>
    <w:rsid w:val="002F64AF"/>
    <w:rsid w:val="002F74DC"/>
    <w:rsid w:val="00310502"/>
    <w:rsid w:val="00322CB8"/>
    <w:rsid w:val="00324EB8"/>
    <w:rsid w:val="003307ED"/>
    <w:rsid w:val="003334F6"/>
    <w:rsid w:val="0033444E"/>
    <w:rsid w:val="003402E8"/>
    <w:rsid w:val="00342CB6"/>
    <w:rsid w:val="0035286E"/>
    <w:rsid w:val="00353BA1"/>
    <w:rsid w:val="0035576C"/>
    <w:rsid w:val="00360937"/>
    <w:rsid w:val="00361463"/>
    <w:rsid w:val="00363847"/>
    <w:rsid w:val="003702AD"/>
    <w:rsid w:val="0037324C"/>
    <w:rsid w:val="00373349"/>
    <w:rsid w:val="0038210C"/>
    <w:rsid w:val="003870CC"/>
    <w:rsid w:val="0038716A"/>
    <w:rsid w:val="003A1590"/>
    <w:rsid w:val="003A63F8"/>
    <w:rsid w:val="003B1D84"/>
    <w:rsid w:val="003B5345"/>
    <w:rsid w:val="003C607D"/>
    <w:rsid w:val="003C7A7E"/>
    <w:rsid w:val="003D0C3B"/>
    <w:rsid w:val="003D1CB6"/>
    <w:rsid w:val="003D3FFF"/>
    <w:rsid w:val="003D6B86"/>
    <w:rsid w:val="003D798A"/>
    <w:rsid w:val="003E2FD2"/>
    <w:rsid w:val="003E355B"/>
    <w:rsid w:val="003E6992"/>
    <w:rsid w:val="003F13AA"/>
    <w:rsid w:val="003F4088"/>
    <w:rsid w:val="003F5DA1"/>
    <w:rsid w:val="00417107"/>
    <w:rsid w:val="0041720E"/>
    <w:rsid w:val="00423495"/>
    <w:rsid w:val="0042410C"/>
    <w:rsid w:val="00425125"/>
    <w:rsid w:val="00425611"/>
    <w:rsid w:val="0042644B"/>
    <w:rsid w:val="004374BE"/>
    <w:rsid w:val="00444265"/>
    <w:rsid w:val="004502F4"/>
    <w:rsid w:val="004667F2"/>
    <w:rsid w:val="00475AC0"/>
    <w:rsid w:val="00493831"/>
    <w:rsid w:val="004958E0"/>
    <w:rsid w:val="00496E8A"/>
    <w:rsid w:val="004A41EF"/>
    <w:rsid w:val="004A44DF"/>
    <w:rsid w:val="004A700E"/>
    <w:rsid w:val="004B68A5"/>
    <w:rsid w:val="004B70B1"/>
    <w:rsid w:val="004B7E3E"/>
    <w:rsid w:val="004C0C76"/>
    <w:rsid w:val="004C27B9"/>
    <w:rsid w:val="004C3A3E"/>
    <w:rsid w:val="004C3DB4"/>
    <w:rsid w:val="004D2BA0"/>
    <w:rsid w:val="004D3489"/>
    <w:rsid w:val="004E363D"/>
    <w:rsid w:val="004F1ED6"/>
    <w:rsid w:val="004F1F15"/>
    <w:rsid w:val="004F65E5"/>
    <w:rsid w:val="005008E5"/>
    <w:rsid w:val="005014D1"/>
    <w:rsid w:val="00511CC2"/>
    <w:rsid w:val="00517C61"/>
    <w:rsid w:val="005216F4"/>
    <w:rsid w:val="00533D0F"/>
    <w:rsid w:val="0054211F"/>
    <w:rsid w:val="00542DA0"/>
    <w:rsid w:val="0054311D"/>
    <w:rsid w:val="00543C62"/>
    <w:rsid w:val="00543E11"/>
    <w:rsid w:val="005477DA"/>
    <w:rsid w:val="005526B0"/>
    <w:rsid w:val="00552DF1"/>
    <w:rsid w:val="005542A7"/>
    <w:rsid w:val="00555131"/>
    <w:rsid w:val="00557690"/>
    <w:rsid w:val="0056668D"/>
    <w:rsid w:val="005709EB"/>
    <w:rsid w:val="005712CB"/>
    <w:rsid w:val="005737FA"/>
    <w:rsid w:val="00577CBB"/>
    <w:rsid w:val="00580E39"/>
    <w:rsid w:val="00582889"/>
    <w:rsid w:val="00591636"/>
    <w:rsid w:val="00591C2B"/>
    <w:rsid w:val="005B31BE"/>
    <w:rsid w:val="005B442C"/>
    <w:rsid w:val="005B4F18"/>
    <w:rsid w:val="005C183C"/>
    <w:rsid w:val="005C21F0"/>
    <w:rsid w:val="005C3668"/>
    <w:rsid w:val="005D417A"/>
    <w:rsid w:val="005D4ACB"/>
    <w:rsid w:val="005D5EDA"/>
    <w:rsid w:val="005E3C2E"/>
    <w:rsid w:val="005E4AFF"/>
    <w:rsid w:val="005F0AEF"/>
    <w:rsid w:val="00606509"/>
    <w:rsid w:val="00615D49"/>
    <w:rsid w:val="006216B9"/>
    <w:rsid w:val="00623CA7"/>
    <w:rsid w:val="006412D7"/>
    <w:rsid w:val="006446F0"/>
    <w:rsid w:val="00645C77"/>
    <w:rsid w:val="00647683"/>
    <w:rsid w:val="00647A28"/>
    <w:rsid w:val="006530C7"/>
    <w:rsid w:val="00654C80"/>
    <w:rsid w:val="00662769"/>
    <w:rsid w:val="00663516"/>
    <w:rsid w:val="0067327D"/>
    <w:rsid w:val="00682D83"/>
    <w:rsid w:val="00683AED"/>
    <w:rsid w:val="0069424B"/>
    <w:rsid w:val="00695D72"/>
    <w:rsid w:val="00697F78"/>
    <w:rsid w:val="006A4EA1"/>
    <w:rsid w:val="006B29CA"/>
    <w:rsid w:val="006B2B65"/>
    <w:rsid w:val="006B7491"/>
    <w:rsid w:val="006C1D25"/>
    <w:rsid w:val="006E12CC"/>
    <w:rsid w:val="006E1873"/>
    <w:rsid w:val="0070006A"/>
    <w:rsid w:val="007001F0"/>
    <w:rsid w:val="007014FC"/>
    <w:rsid w:val="00712B2A"/>
    <w:rsid w:val="00715B00"/>
    <w:rsid w:val="007230C3"/>
    <w:rsid w:val="0075060C"/>
    <w:rsid w:val="007564B5"/>
    <w:rsid w:val="00761D5B"/>
    <w:rsid w:val="0076676A"/>
    <w:rsid w:val="00766EEB"/>
    <w:rsid w:val="00772515"/>
    <w:rsid w:val="00772A33"/>
    <w:rsid w:val="00772E4B"/>
    <w:rsid w:val="0078609E"/>
    <w:rsid w:val="007906CC"/>
    <w:rsid w:val="007918EE"/>
    <w:rsid w:val="007A1575"/>
    <w:rsid w:val="007A343E"/>
    <w:rsid w:val="007B73C3"/>
    <w:rsid w:val="007C2598"/>
    <w:rsid w:val="007C79A9"/>
    <w:rsid w:val="007C7BAF"/>
    <w:rsid w:val="007E27D9"/>
    <w:rsid w:val="007E3476"/>
    <w:rsid w:val="007F596F"/>
    <w:rsid w:val="00802A0A"/>
    <w:rsid w:val="00822766"/>
    <w:rsid w:val="00824AB0"/>
    <w:rsid w:val="008270A7"/>
    <w:rsid w:val="008378DC"/>
    <w:rsid w:val="00837AFB"/>
    <w:rsid w:val="008412C9"/>
    <w:rsid w:val="00841584"/>
    <w:rsid w:val="008448FE"/>
    <w:rsid w:val="00875B0A"/>
    <w:rsid w:val="008839ED"/>
    <w:rsid w:val="00887DA0"/>
    <w:rsid w:val="008921C2"/>
    <w:rsid w:val="008931B1"/>
    <w:rsid w:val="00893296"/>
    <w:rsid w:val="008935D4"/>
    <w:rsid w:val="00895E43"/>
    <w:rsid w:val="008A72B1"/>
    <w:rsid w:val="008B3703"/>
    <w:rsid w:val="008B3DD4"/>
    <w:rsid w:val="008B43ED"/>
    <w:rsid w:val="008B4735"/>
    <w:rsid w:val="008C0E07"/>
    <w:rsid w:val="008C4A5A"/>
    <w:rsid w:val="008E325B"/>
    <w:rsid w:val="008E57CC"/>
    <w:rsid w:val="008F5155"/>
    <w:rsid w:val="008F6AB5"/>
    <w:rsid w:val="0090039B"/>
    <w:rsid w:val="009005B2"/>
    <w:rsid w:val="00907163"/>
    <w:rsid w:val="00933FA5"/>
    <w:rsid w:val="00934104"/>
    <w:rsid w:val="00935F0C"/>
    <w:rsid w:val="0094672C"/>
    <w:rsid w:val="00953697"/>
    <w:rsid w:val="00955A3F"/>
    <w:rsid w:val="00960430"/>
    <w:rsid w:val="00963B12"/>
    <w:rsid w:val="00967AA4"/>
    <w:rsid w:val="00972218"/>
    <w:rsid w:val="009841CB"/>
    <w:rsid w:val="009901EB"/>
    <w:rsid w:val="00995DC5"/>
    <w:rsid w:val="009A34AB"/>
    <w:rsid w:val="009D06B6"/>
    <w:rsid w:val="009D55F1"/>
    <w:rsid w:val="009E1FA0"/>
    <w:rsid w:val="009E3014"/>
    <w:rsid w:val="009F0BB3"/>
    <w:rsid w:val="00A0516D"/>
    <w:rsid w:val="00A05A16"/>
    <w:rsid w:val="00A06832"/>
    <w:rsid w:val="00A1341B"/>
    <w:rsid w:val="00A13AC5"/>
    <w:rsid w:val="00A1423D"/>
    <w:rsid w:val="00A169FD"/>
    <w:rsid w:val="00A204FB"/>
    <w:rsid w:val="00A205C1"/>
    <w:rsid w:val="00A206E4"/>
    <w:rsid w:val="00A267F9"/>
    <w:rsid w:val="00A30E76"/>
    <w:rsid w:val="00A31603"/>
    <w:rsid w:val="00A34683"/>
    <w:rsid w:val="00A36051"/>
    <w:rsid w:val="00A37C3C"/>
    <w:rsid w:val="00A40E7B"/>
    <w:rsid w:val="00A42891"/>
    <w:rsid w:val="00A45EDB"/>
    <w:rsid w:val="00A47CDA"/>
    <w:rsid w:val="00A51FF0"/>
    <w:rsid w:val="00A71BE1"/>
    <w:rsid w:val="00A72475"/>
    <w:rsid w:val="00A842DF"/>
    <w:rsid w:val="00A950B9"/>
    <w:rsid w:val="00A973BC"/>
    <w:rsid w:val="00A97968"/>
    <w:rsid w:val="00AA10D4"/>
    <w:rsid w:val="00AA706B"/>
    <w:rsid w:val="00AB0CFB"/>
    <w:rsid w:val="00AB15F8"/>
    <w:rsid w:val="00AB2664"/>
    <w:rsid w:val="00AB53AC"/>
    <w:rsid w:val="00AB6C97"/>
    <w:rsid w:val="00AC11D0"/>
    <w:rsid w:val="00AC4D4F"/>
    <w:rsid w:val="00AC7ABF"/>
    <w:rsid w:val="00AD0003"/>
    <w:rsid w:val="00AD18D6"/>
    <w:rsid w:val="00AD7DEB"/>
    <w:rsid w:val="00AF3E20"/>
    <w:rsid w:val="00AF45BF"/>
    <w:rsid w:val="00AF476E"/>
    <w:rsid w:val="00B03668"/>
    <w:rsid w:val="00B07E79"/>
    <w:rsid w:val="00B10FF0"/>
    <w:rsid w:val="00B129EF"/>
    <w:rsid w:val="00B17AF8"/>
    <w:rsid w:val="00B243EA"/>
    <w:rsid w:val="00B27494"/>
    <w:rsid w:val="00B30195"/>
    <w:rsid w:val="00B31A8D"/>
    <w:rsid w:val="00B356DC"/>
    <w:rsid w:val="00B369BE"/>
    <w:rsid w:val="00B37311"/>
    <w:rsid w:val="00B40795"/>
    <w:rsid w:val="00B40E4D"/>
    <w:rsid w:val="00B52013"/>
    <w:rsid w:val="00B57C2F"/>
    <w:rsid w:val="00B70134"/>
    <w:rsid w:val="00B801C3"/>
    <w:rsid w:val="00B83EF8"/>
    <w:rsid w:val="00B87AB6"/>
    <w:rsid w:val="00B929E0"/>
    <w:rsid w:val="00BA1EF6"/>
    <w:rsid w:val="00BA46C7"/>
    <w:rsid w:val="00BB3DF2"/>
    <w:rsid w:val="00BB5C59"/>
    <w:rsid w:val="00BB5E17"/>
    <w:rsid w:val="00BB5F62"/>
    <w:rsid w:val="00BC7D27"/>
    <w:rsid w:val="00BD58E6"/>
    <w:rsid w:val="00BE0A0A"/>
    <w:rsid w:val="00BE0DD8"/>
    <w:rsid w:val="00BE33D6"/>
    <w:rsid w:val="00BE7989"/>
    <w:rsid w:val="00BF0DC1"/>
    <w:rsid w:val="00BF5380"/>
    <w:rsid w:val="00BF68F7"/>
    <w:rsid w:val="00C00261"/>
    <w:rsid w:val="00C01D90"/>
    <w:rsid w:val="00C1036D"/>
    <w:rsid w:val="00C14435"/>
    <w:rsid w:val="00C23E6D"/>
    <w:rsid w:val="00C24361"/>
    <w:rsid w:val="00C37A71"/>
    <w:rsid w:val="00C442D1"/>
    <w:rsid w:val="00C51C5F"/>
    <w:rsid w:val="00C51E1F"/>
    <w:rsid w:val="00C56DCF"/>
    <w:rsid w:val="00C62BAA"/>
    <w:rsid w:val="00C65924"/>
    <w:rsid w:val="00C66833"/>
    <w:rsid w:val="00C6792D"/>
    <w:rsid w:val="00C71DAA"/>
    <w:rsid w:val="00C71E6E"/>
    <w:rsid w:val="00C745A9"/>
    <w:rsid w:val="00C76B43"/>
    <w:rsid w:val="00C770B6"/>
    <w:rsid w:val="00C77455"/>
    <w:rsid w:val="00C77936"/>
    <w:rsid w:val="00C77C63"/>
    <w:rsid w:val="00C8490D"/>
    <w:rsid w:val="00C84E9B"/>
    <w:rsid w:val="00C875F5"/>
    <w:rsid w:val="00CA1004"/>
    <w:rsid w:val="00CA49A9"/>
    <w:rsid w:val="00CB2DCE"/>
    <w:rsid w:val="00CB2EF4"/>
    <w:rsid w:val="00CB42C2"/>
    <w:rsid w:val="00CC65AD"/>
    <w:rsid w:val="00CC7C0B"/>
    <w:rsid w:val="00CD2A4D"/>
    <w:rsid w:val="00CD5891"/>
    <w:rsid w:val="00CD607E"/>
    <w:rsid w:val="00CD6EAB"/>
    <w:rsid w:val="00CD7F62"/>
    <w:rsid w:val="00CE3B3D"/>
    <w:rsid w:val="00CE4D8A"/>
    <w:rsid w:val="00CF2676"/>
    <w:rsid w:val="00CF3A66"/>
    <w:rsid w:val="00CF42BE"/>
    <w:rsid w:val="00CF7E7A"/>
    <w:rsid w:val="00D0156B"/>
    <w:rsid w:val="00D01A7C"/>
    <w:rsid w:val="00D04CBB"/>
    <w:rsid w:val="00D05E2F"/>
    <w:rsid w:val="00D141A5"/>
    <w:rsid w:val="00D21B8D"/>
    <w:rsid w:val="00D24824"/>
    <w:rsid w:val="00D25042"/>
    <w:rsid w:val="00D26654"/>
    <w:rsid w:val="00D26D15"/>
    <w:rsid w:val="00D27E79"/>
    <w:rsid w:val="00D3212E"/>
    <w:rsid w:val="00D431AD"/>
    <w:rsid w:val="00D45281"/>
    <w:rsid w:val="00D53DC4"/>
    <w:rsid w:val="00D57603"/>
    <w:rsid w:val="00D601FE"/>
    <w:rsid w:val="00D6753A"/>
    <w:rsid w:val="00D7040A"/>
    <w:rsid w:val="00D71559"/>
    <w:rsid w:val="00D7374F"/>
    <w:rsid w:val="00D73864"/>
    <w:rsid w:val="00D77523"/>
    <w:rsid w:val="00D819D3"/>
    <w:rsid w:val="00D86A2F"/>
    <w:rsid w:val="00D909E7"/>
    <w:rsid w:val="00D90BC6"/>
    <w:rsid w:val="00D92B06"/>
    <w:rsid w:val="00D9452A"/>
    <w:rsid w:val="00DC0757"/>
    <w:rsid w:val="00DD1757"/>
    <w:rsid w:val="00DD409A"/>
    <w:rsid w:val="00DD4D91"/>
    <w:rsid w:val="00DD7281"/>
    <w:rsid w:val="00DE24B3"/>
    <w:rsid w:val="00DE3893"/>
    <w:rsid w:val="00DF08C9"/>
    <w:rsid w:val="00DF5EF9"/>
    <w:rsid w:val="00E003D0"/>
    <w:rsid w:val="00E004EE"/>
    <w:rsid w:val="00E025CD"/>
    <w:rsid w:val="00E05034"/>
    <w:rsid w:val="00E069F9"/>
    <w:rsid w:val="00E13F46"/>
    <w:rsid w:val="00E14AD6"/>
    <w:rsid w:val="00E15E53"/>
    <w:rsid w:val="00E16D3F"/>
    <w:rsid w:val="00E220DE"/>
    <w:rsid w:val="00E26F68"/>
    <w:rsid w:val="00E30EA1"/>
    <w:rsid w:val="00E31233"/>
    <w:rsid w:val="00E36B14"/>
    <w:rsid w:val="00E373CB"/>
    <w:rsid w:val="00E70852"/>
    <w:rsid w:val="00E74755"/>
    <w:rsid w:val="00E74E4D"/>
    <w:rsid w:val="00E77D37"/>
    <w:rsid w:val="00E81D6C"/>
    <w:rsid w:val="00E821A0"/>
    <w:rsid w:val="00E90C0B"/>
    <w:rsid w:val="00E915EA"/>
    <w:rsid w:val="00E9529E"/>
    <w:rsid w:val="00E96761"/>
    <w:rsid w:val="00E97E93"/>
    <w:rsid w:val="00EA2313"/>
    <w:rsid w:val="00EA6444"/>
    <w:rsid w:val="00EB0FB2"/>
    <w:rsid w:val="00EB67A2"/>
    <w:rsid w:val="00EB7FBA"/>
    <w:rsid w:val="00EC1465"/>
    <w:rsid w:val="00ED4169"/>
    <w:rsid w:val="00ED4428"/>
    <w:rsid w:val="00ED6800"/>
    <w:rsid w:val="00EE1038"/>
    <w:rsid w:val="00EE1637"/>
    <w:rsid w:val="00EE2FF9"/>
    <w:rsid w:val="00EF2FAC"/>
    <w:rsid w:val="00EF67AA"/>
    <w:rsid w:val="00F01F07"/>
    <w:rsid w:val="00F03FA2"/>
    <w:rsid w:val="00F07A0E"/>
    <w:rsid w:val="00F10224"/>
    <w:rsid w:val="00F11687"/>
    <w:rsid w:val="00F13C59"/>
    <w:rsid w:val="00F161EE"/>
    <w:rsid w:val="00F168FB"/>
    <w:rsid w:val="00F1784C"/>
    <w:rsid w:val="00F21312"/>
    <w:rsid w:val="00F21C82"/>
    <w:rsid w:val="00F22E15"/>
    <w:rsid w:val="00F23D77"/>
    <w:rsid w:val="00F25681"/>
    <w:rsid w:val="00F3504C"/>
    <w:rsid w:val="00F41A60"/>
    <w:rsid w:val="00F41B3B"/>
    <w:rsid w:val="00F43502"/>
    <w:rsid w:val="00F63357"/>
    <w:rsid w:val="00F642E6"/>
    <w:rsid w:val="00F648FB"/>
    <w:rsid w:val="00F75621"/>
    <w:rsid w:val="00F75B8D"/>
    <w:rsid w:val="00F7601B"/>
    <w:rsid w:val="00F81130"/>
    <w:rsid w:val="00F82AEB"/>
    <w:rsid w:val="00F84401"/>
    <w:rsid w:val="00F92A30"/>
    <w:rsid w:val="00FA5496"/>
    <w:rsid w:val="00FA7E3D"/>
    <w:rsid w:val="00FB07CC"/>
    <w:rsid w:val="00FB3375"/>
    <w:rsid w:val="00FB56C5"/>
    <w:rsid w:val="00FB79DD"/>
    <w:rsid w:val="00FC49C6"/>
    <w:rsid w:val="00FC55F2"/>
    <w:rsid w:val="00FD17D4"/>
    <w:rsid w:val="00FD212D"/>
    <w:rsid w:val="00FE4FBE"/>
    <w:rsid w:val="00FE57F0"/>
    <w:rsid w:val="00FE5ACA"/>
    <w:rsid w:val="00FF4417"/>
    <w:rsid w:val="011E1FE4"/>
    <w:rsid w:val="075A7AEE"/>
    <w:rsid w:val="0B334F0B"/>
    <w:rsid w:val="1064185B"/>
    <w:rsid w:val="162C1CD4"/>
    <w:rsid w:val="23231726"/>
    <w:rsid w:val="23A203FB"/>
    <w:rsid w:val="26CC7C68"/>
    <w:rsid w:val="30226798"/>
    <w:rsid w:val="33AB50A9"/>
    <w:rsid w:val="377E7503"/>
    <w:rsid w:val="3A4F1346"/>
    <w:rsid w:val="3C8A7F52"/>
    <w:rsid w:val="3E7C1B1C"/>
    <w:rsid w:val="3F163D1F"/>
    <w:rsid w:val="43D9356D"/>
    <w:rsid w:val="44CE4996"/>
    <w:rsid w:val="46F35349"/>
    <w:rsid w:val="4A421E6C"/>
    <w:rsid w:val="4B5A5386"/>
    <w:rsid w:val="4D7739B8"/>
    <w:rsid w:val="513C13D7"/>
    <w:rsid w:val="554043F2"/>
    <w:rsid w:val="6712451C"/>
    <w:rsid w:val="69D97BC4"/>
    <w:rsid w:val="702D2D59"/>
    <w:rsid w:val="73A40BF2"/>
    <w:rsid w:val="74F17E67"/>
    <w:rsid w:val="75C630A2"/>
    <w:rsid w:val="75F23B02"/>
    <w:rsid w:val="782D7408"/>
    <w:rsid w:val="7C77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10798</Words>
  <Characters>12505</Characters>
  <Lines>95</Lines>
  <Paragraphs>26</Paragraphs>
  <TotalTime>235</TotalTime>
  <ScaleCrop>false</ScaleCrop>
  <LinksUpToDate>false</LinksUpToDate>
  <CharactersWithSpaces>12899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2023-08-15T01:28:00Z</dcterms:created>
  <dc:creator>李锐</dc:creator>
  <cp:lastModifiedBy>王雅杰</cp:lastModifiedBy>
  <cp:lastPrinted>2023-08-28T05:15:00Z</cp:lastPrinted>
  <dcterms:modified xsi:type="dcterms:W3CDTF">2023-08-28T05:58:48Z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4750FE94F88041E883D3F9D0AC2C67DB</vt:lpwstr>
  </property>
</Properties>
</file>