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755" w:rsidRDefault="00E36F60">
      <w:pPr>
        <w:spacing w:line="360" w:lineRule="auto"/>
        <w:ind w:rightChars="-73" w:right="-153"/>
        <w:rPr>
          <w:rFonts w:ascii="黑体" w:hAnsi="宋体"/>
          <w:b/>
          <w:bCs/>
          <w:color w:val="FF0000"/>
          <w:sz w:val="32"/>
        </w:rPr>
      </w:pPr>
      <w:r>
        <w:rPr>
          <w:rFonts w:ascii="宋体" w:hAnsi="宋体" w:cs="宋体" w:hint="eastAsia"/>
          <w:color w:val="000000"/>
          <w:kern w:val="0"/>
          <w:sz w:val="24"/>
        </w:rPr>
        <w:t>证券代码：600200         证券简称：江苏吴中      公告编号：临2023-003</w:t>
      </w:r>
    </w:p>
    <w:p w:rsidR="00FF7755" w:rsidRDefault="00FF7755">
      <w:pPr>
        <w:spacing w:line="360" w:lineRule="auto"/>
        <w:ind w:rightChars="-73" w:right="-153"/>
        <w:jc w:val="center"/>
        <w:rPr>
          <w:rFonts w:ascii="黑体" w:eastAsia="黑体" w:hAnsi="宋体"/>
          <w:b/>
          <w:bCs/>
          <w:color w:val="FF0000"/>
          <w:sz w:val="32"/>
        </w:rPr>
      </w:pPr>
    </w:p>
    <w:p w:rsidR="00FF7755" w:rsidRDefault="00E36F60">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FF7755" w:rsidRDefault="00E36F60">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关于注销部分回购股份的实施公告</w:t>
      </w:r>
    </w:p>
    <w:p w:rsidR="00FF7755" w:rsidRDefault="00FF7755">
      <w:pPr>
        <w:spacing w:line="360" w:lineRule="auto"/>
        <w:ind w:rightChars="-73" w:right="-153"/>
        <w:jc w:val="center"/>
        <w:rPr>
          <w:rFonts w:ascii="黑体" w:eastAsia="黑体" w:hAnsi="宋体"/>
          <w:b/>
          <w:bCs/>
          <w:color w:val="FF0000"/>
          <w:sz w:val="32"/>
        </w:rPr>
      </w:pPr>
    </w:p>
    <w:p w:rsidR="00FF7755" w:rsidRDefault="00E36F60">
      <w:pPr>
        <w:autoSpaceDE w:val="0"/>
        <w:autoSpaceDN w:val="0"/>
        <w:adjustRightInd w:val="0"/>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本公司董事会及董事会全体成员保证公告内容不存在虚假记载、误导性陈述或者重大遗漏，并对其内容的真实、准确和完整承担法律责任。</w:t>
      </w:r>
    </w:p>
    <w:p w:rsidR="00FF7755" w:rsidRDefault="00FF7755">
      <w:pPr>
        <w:spacing w:line="360" w:lineRule="auto"/>
        <w:rPr>
          <w:rFonts w:asciiTheme="minorEastAsia" w:eastAsiaTheme="minorEastAsia" w:hAnsiTheme="minorEastAsia" w:cstheme="minorEastAsia"/>
          <w:sz w:val="24"/>
        </w:rPr>
      </w:pPr>
    </w:p>
    <w:p w:rsidR="00FF7755" w:rsidRDefault="00E36F60">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重要内容提示：</w:t>
      </w:r>
    </w:p>
    <w:p w:rsidR="00FF7755" w:rsidRDefault="00E36F60" w:rsidP="00E36F60">
      <w:pPr>
        <w:numPr>
          <w:ilvl w:val="0"/>
          <w:numId w:val="1"/>
        </w:numPr>
        <w:spacing w:line="360" w:lineRule="auto"/>
        <w:ind w:firstLine="6"/>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江苏吴中医药发展股份有限公司（以下简称“公司”）将注销已回购股份15,000股，占注销前公司总股本的0.0021%。注销完成后，公司总股本将由712,388,832股变更为</w:t>
      </w:r>
      <w:r w:rsidRPr="00E36F60">
        <w:rPr>
          <w:rFonts w:asciiTheme="minorEastAsia" w:eastAsiaTheme="minorEastAsia" w:hAnsiTheme="minorEastAsia" w:cstheme="minorEastAsia"/>
          <w:sz w:val="24"/>
        </w:rPr>
        <w:t>712,373,832</w:t>
      </w:r>
      <w:r>
        <w:rPr>
          <w:rFonts w:asciiTheme="minorEastAsia" w:eastAsiaTheme="minorEastAsia" w:hAnsiTheme="minorEastAsia" w:cstheme="minorEastAsia" w:hint="eastAsia"/>
          <w:sz w:val="24"/>
        </w:rPr>
        <w:t>股。</w:t>
      </w:r>
    </w:p>
    <w:p w:rsidR="00FF7755" w:rsidRDefault="00E36F60">
      <w:pPr>
        <w:numPr>
          <w:ilvl w:val="0"/>
          <w:numId w:val="1"/>
        </w:numPr>
        <w:spacing w:line="360" w:lineRule="auto"/>
        <w:ind w:left="0"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回购股份注销日：2023年1月10日</w:t>
      </w:r>
    </w:p>
    <w:p w:rsidR="00FF7755" w:rsidRDefault="00FF7755">
      <w:pPr>
        <w:spacing w:line="360" w:lineRule="auto"/>
        <w:ind w:left="420"/>
        <w:rPr>
          <w:rFonts w:asciiTheme="minorEastAsia" w:eastAsiaTheme="minorEastAsia" w:hAnsiTheme="minorEastAsia" w:cstheme="minorEastAsia"/>
          <w:sz w:val="24"/>
        </w:rPr>
      </w:pPr>
    </w:p>
    <w:p w:rsidR="00FF7755" w:rsidRDefault="00E36F6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一、</w:t>
      </w:r>
      <w:proofErr w:type="gramStart"/>
      <w:r>
        <w:rPr>
          <w:rFonts w:asciiTheme="minorEastAsia" w:eastAsiaTheme="minorEastAsia" w:hAnsiTheme="minorEastAsia" w:cstheme="minorEastAsia" w:hint="eastAsia"/>
          <w:b/>
          <w:bCs/>
          <w:sz w:val="24"/>
        </w:rPr>
        <w:t>注销回</w:t>
      </w:r>
      <w:proofErr w:type="gramEnd"/>
      <w:r>
        <w:rPr>
          <w:rFonts w:asciiTheme="minorEastAsia" w:eastAsiaTheme="minorEastAsia" w:hAnsiTheme="minorEastAsia" w:cstheme="minorEastAsia" w:hint="eastAsia"/>
          <w:b/>
          <w:bCs/>
          <w:sz w:val="24"/>
        </w:rPr>
        <w:t>购股份的决策程序及信息披露</w:t>
      </w:r>
    </w:p>
    <w:p w:rsidR="00FF7755" w:rsidRDefault="00E36F6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(一)回购股</w:t>
      </w:r>
      <w:proofErr w:type="gramStart"/>
      <w:r>
        <w:rPr>
          <w:rFonts w:asciiTheme="minorEastAsia" w:eastAsiaTheme="minorEastAsia" w:hAnsiTheme="minorEastAsia" w:cstheme="minorEastAsia" w:hint="eastAsia"/>
          <w:sz w:val="24"/>
        </w:rPr>
        <w:t>份方案</w:t>
      </w:r>
      <w:proofErr w:type="gramEnd"/>
      <w:r>
        <w:rPr>
          <w:rFonts w:asciiTheme="minorEastAsia" w:eastAsiaTheme="minorEastAsia" w:hAnsiTheme="minorEastAsia" w:cstheme="minorEastAsia" w:hint="eastAsia"/>
          <w:sz w:val="24"/>
        </w:rPr>
        <w:t>的审议情况</w:t>
      </w:r>
    </w:p>
    <w:p w:rsidR="00FF7755" w:rsidRDefault="00E36F6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公司于2018年12月25日召开第九届董事会2018年第二次临时会议（通讯表决）、2019年1月16日召开2019年第一次临时股东大会审议通过了《江苏吴中医药发展股份有限公司关于以集中竞价交易方式回购股份预案的议案》，于2019年1月28日召开第九届董事会2019年第一次临时会议（通讯表决），审议通过了《江苏吴中医药发展股份有限公司关于调整回购股份方案部分内容的议案》，于2019年1月29日披露了《江苏吴中医药发展股份有限公司关于以集中竞价交易方式回购股份的回购报告书》，于2021年12月16日召开第十届董事会2021年第四次临时会议（通讯表决），审议通过了《关于调整2019年回购股份用途的议案》。</w:t>
      </w:r>
    </w:p>
    <w:p w:rsidR="00FF7755" w:rsidRDefault="00E36F6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2022年10月28日及2</w:t>
      </w:r>
      <w:r>
        <w:rPr>
          <w:rFonts w:asciiTheme="minorEastAsia" w:eastAsiaTheme="minorEastAsia" w:hAnsiTheme="minorEastAsia" w:cstheme="minorEastAsia"/>
          <w:sz w:val="24"/>
        </w:rPr>
        <w:t>022</w:t>
      </w:r>
      <w:r>
        <w:rPr>
          <w:rFonts w:asciiTheme="minorEastAsia" w:eastAsiaTheme="minorEastAsia" w:hAnsiTheme="minorEastAsia" w:cstheme="minorEastAsia" w:hint="eastAsia"/>
          <w:sz w:val="24"/>
        </w:rPr>
        <w:t>年1</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月1</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日召开了</w:t>
      </w:r>
      <w:r>
        <w:rPr>
          <w:rFonts w:ascii="宋体" w:hAnsi="宋体" w:hint="eastAsia"/>
          <w:sz w:val="24"/>
        </w:rPr>
        <w:t>第十届董事会第六次会议（通讯表决）</w:t>
      </w:r>
      <w:r>
        <w:rPr>
          <w:rFonts w:asciiTheme="minorEastAsia" w:eastAsiaTheme="minorEastAsia" w:hAnsiTheme="minorEastAsia" w:cstheme="minorEastAsia" w:hint="eastAsia"/>
          <w:sz w:val="24"/>
        </w:rPr>
        <w:t>、</w:t>
      </w:r>
      <w:r>
        <w:rPr>
          <w:rFonts w:ascii="宋体" w:hAnsi="宋体" w:hint="eastAsia"/>
          <w:sz w:val="24"/>
        </w:rPr>
        <w:t>第十届监事会第六次会议（通讯表决）和2022年第四次临时股东大会</w:t>
      </w: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审议通过了《关于注销部分回购股份的议案》。根据《公司法》《证券法》</w:t>
      </w:r>
      <w:r>
        <w:rPr>
          <w:rFonts w:asciiTheme="minorEastAsia" w:eastAsiaTheme="minorEastAsia" w:hAnsiTheme="minorEastAsia" w:cstheme="minorEastAsia"/>
          <w:sz w:val="24"/>
        </w:rPr>
        <w:lastRenderedPageBreak/>
        <w:t>《上海证券交易所上市公司自律监管指引第7号——回购股份》等有关规定，公司拟注销回购专用证券账户中三年持有期限届满的15,000股公司股份。具体内容详见公司于2022年10月</w:t>
      </w:r>
      <w:r>
        <w:rPr>
          <w:rFonts w:asciiTheme="minorEastAsia" w:eastAsiaTheme="minorEastAsia" w:hAnsiTheme="minorEastAsia" w:cstheme="minorEastAsia" w:hint="eastAsia"/>
          <w:sz w:val="24"/>
        </w:rPr>
        <w:t>29</w:t>
      </w:r>
      <w:r>
        <w:rPr>
          <w:rFonts w:asciiTheme="minorEastAsia" w:eastAsiaTheme="minorEastAsia" w:hAnsiTheme="minorEastAsia" w:cstheme="minorEastAsia"/>
          <w:sz w:val="24"/>
        </w:rPr>
        <w:t>日在上海证券交易所网站发布《江苏吴中医药发展股份有限公司关于注销部分回购股份的公告》（公告编号：2022-0</w:t>
      </w:r>
      <w:r>
        <w:rPr>
          <w:rFonts w:asciiTheme="minorEastAsia" w:eastAsiaTheme="minorEastAsia" w:hAnsiTheme="minorEastAsia" w:cstheme="minorEastAsia" w:hint="eastAsia"/>
          <w:sz w:val="24"/>
        </w:rPr>
        <w:t>59</w:t>
      </w:r>
      <w:r>
        <w:rPr>
          <w:rFonts w:asciiTheme="minorEastAsia" w:eastAsiaTheme="minorEastAsia" w:hAnsiTheme="minorEastAsia" w:cstheme="minorEastAsia"/>
          <w:sz w:val="24"/>
        </w:rPr>
        <w:t>）。</w:t>
      </w:r>
    </w:p>
    <w:p w:rsidR="00FF7755" w:rsidRDefault="00E36F6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公司已根据法律规定就本次已回购股份注销事项履行通知债权人程序，于2022年1</w:t>
      </w: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月1</w:t>
      </w:r>
      <w:r>
        <w:rPr>
          <w:rFonts w:asciiTheme="minorEastAsia" w:eastAsiaTheme="minorEastAsia" w:hAnsiTheme="minorEastAsia" w:cstheme="minorEastAsia" w:hint="eastAsia"/>
          <w:sz w:val="24"/>
        </w:rPr>
        <w:t>5</w:t>
      </w:r>
      <w:r>
        <w:rPr>
          <w:rFonts w:asciiTheme="minorEastAsia" w:eastAsiaTheme="minorEastAsia" w:hAnsiTheme="minorEastAsia" w:cstheme="minorEastAsia"/>
          <w:sz w:val="24"/>
        </w:rPr>
        <w:t>日在上海证券交易所网站发布《江苏吴中医药发展股份有限公司关于注销股票通知债权人的公告》（公告编号：2022-06</w:t>
      </w:r>
      <w:r>
        <w:rPr>
          <w:rFonts w:asciiTheme="minorEastAsia" w:eastAsiaTheme="minorEastAsia" w:hAnsiTheme="minorEastAsia" w:cstheme="minorEastAsia" w:hint="eastAsia"/>
          <w:sz w:val="24"/>
        </w:rPr>
        <w:t>6</w:t>
      </w:r>
      <w:r>
        <w:rPr>
          <w:rFonts w:asciiTheme="minorEastAsia" w:eastAsiaTheme="minorEastAsia" w:hAnsiTheme="minorEastAsia" w:cstheme="minorEastAsia"/>
          <w:sz w:val="24"/>
        </w:rPr>
        <w:t>）。截至本公告披露日，前述公告所述债权申报期限已届满，债权申报期限内，公司未收到相关债权人要求公司提前清偿债务或者提供相应担保的书面文件，公司将按照相关规定实施回购股份注销。</w:t>
      </w:r>
    </w:p>
    <w:p w:rsidR="000F79EC" w:rsidRDefault="000F79EC">
      <w:pPr>
        <w:spacing w:line="360" w:lineRule="auto"/>
        <w:ind w:firstLineChars="200" w:firstLine="480"/>
        <w:rPr>
          <w:rFonts w:asciiTheme="minorEastAsia" w:eastAsiaTheme="minorEastAsia" w:hAnsiTheme="minorEastAsia" w:cstheme="minorEastAsia"/>
          <w:sz w:val="24"/>
        </w:rPr>
      </w:pPr>
    </w:p>
    <w:p w:rsidR="00FF7755" w:rsidRDefault="00E36F60">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二、</w:t>
      </w:r>
      <w:proofErr w:type="gramStart"/>
      <w:r>
        <w:rPr>
          <w:rFonts w:asciiTheme="minorEastAsia" w:eastAsiaTheme="minorEastAsia" w:hAnsiTheme="minorEastAsia" w:cstheme="minorEastAsia" w:hint="eastAsia"/>
          <w:b/>
          <w:bCs/>
          <w:sz w:val="24"/>
        </w:rPr>
        <w:t>注销回</w:t>
      </w:r>
      <w:proofErr w:type="gramEnd"/>
      <w:r>
        <w:rPr>
          <w:rFonts w:asciiTheme="minorEastAsia" w:eastAsiaTheme="minorEastAsia" w:hAnsiTheme="minorEastAsia" w:cstheme="minorEastAsia" w:hint="eastAsia"/>
          <w:b/>
          <w:bCs/>
          <w:sz w:val="24"/>
        </w:rPr>
        <w:t>购股份的实施情况</w:t>
      </w:r>
      <w:r>
        <w:rPr>
          <w:rFonts w:asciiTheme="minorEastAsia" w:eastAsiaTheme="minorEastAsia" w:hAnsiTheme="minorEastAsia" w:cstheme="minorEastAsia" w:hint="eastAsia"/>
          <w:sz w:val="24"/>
        </w:rPr>
        <w:t xml:space="preserve"> </w:t>
      </w:r>
    </w:p>
    <w:p w:rsidR="00FF7755" w:rsidRDefault="00E36F6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w:t>
      </w:r>
      <w:r>
        <w:rPr>
          <w:rFonts w:ascii="sans-serif" w:eastAsia="sans-serif" w:hAnsi="sans-serif" w:cs="sans-serif"/>
          <w:sz w:val="23"/>
          <w:szCs w:val="23"/>
          <w:shd w:val="clear" w:color="auto" w:fill="FFFFFF"/>
        </w:rPr>
        <w:t>本次已回购股份注销的原因及依据</w:t>
      </w:r>
    </w:p>
    <w:p w:rsidR="00FF7755" w:rsidRDefault="00E36F6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根据《中华人民共和国公司法》（以下简称“《公司法》”）《中华人民共和国证券法》（以下简称“《证券法》”）《上海证券交易所上市公司自律监管指引第 7 号——回购股份》的有关规定，公司回购计划未予以实施的股份应当在发布回购结果公告后三年内依法予以注销。鉴于回购期限即将届满，且公司尚无使用回购专用证券账户股份的具体计划，公司拟注销回购专用证券账户中三年持有期限即将届满的公司股份。</w:t>
      </w:r>
    </w:p>
    <w:p w:rsidR="00FF7755" w:rsidRDefault="00E36F60">
      <w:pPr>
        <w:numPr>
          <w:ilvl w:val="0"/>
          <w:numId w:val="2"/>
        </w:num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本次注销的数量</w:t>
      </w:r>
    </w:p>
    <w:p w:rsidR="00FF7755" w:rsidRDefault="00E36F6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本次拟注销股份15,000股。</w:t>
      </w:r>
    </w:p>
    <w:p w:rsidR="00FF7755" w:rsidRDefault="00E36F60">
      <w:pPr>
        <w:numPr>
          <w:ilvl w:val="0"/>
          <w:numId w:val="2"/>
        </w:num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本次注销安排</w:t>
      </w:r>
    </w:p>
    <w:p w:rsidR="00FF7755" w:rsidRDefault="00E36F6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公司已在中国证券登记结算有限责任公司上海分公司开立了股份回购专用证券账户（账户号码：B882399852），该证券账户中存放的回购股份数量为15,000股。经公司申请，公司将于</w:t>
      </w:r>
      <w:r>
        <w:rPr>
          <w:rFonts w:asciiTheme="minorEastAsia" w:eastAsiaTheme="minorEastAsia" w:hAnsiTheme="minorEastAsia" w:cstheme="minorEastAsia"/>
          <w:sz w:val="24"/>
        </w:rPr>
        <w:t>2023</w:t>
      </w:r>
      <w:r>
        <w:rPr>
          <w:rFonts w:asciiTheme="minorEastAsia" w:eastAsiaTheme="minorEastAsia" w:hAnsiTheme="minorEastAsia" w:cstheme="minorEastAsia" w:hint="eastAsia"/>
          <w:sz w:val="24"/>
        </w:rPr>
        <w:t>年1月10日在中国证券登记结算有限责任公司上海分公司注销本次所回购的股份15,000股，并及时办理变更登记手续等相关事宜。</w:t>
      </w:r>
    </w:p>
    <w:p w:rsidR="000F79EC" w:rsidRDefault="000F79EC">
      <w:pPr>
        <w:spacing w:line="360" w:lineRule="auto"/>
        <w:ind w:firstLineChars="200" w:firstLine="480"/>
        <w:rPr>
          <w:rFonts w:asciiTheme="minorEastAsia" w:eastAsiaTheme="minorEastAsia" w:hAnsiTheme="minorEastAsia" w:cstheme="minorEastAsia"/>
          <w:sz w:val="24"/>
        </w:rPr>
      </w:pPr>
      <w:bookmarkStart w:id="0" w:name="_GoBack"/>
      <w:bookmarkEnd w:id="0"/>
    </w:p>
    <w:p w:rsidR="00FF7755" w:rsidRDefault="00E36F60">
      <w:pPr>
        <w:numPr>
          <w:ilvl w:val="0"/>
          <w:numId w:val="3"/>
        </w:numPr>
        <w:spacing w:line="360" w:lineRule="auto"/>
        <w:ind w:firstLineChars="200" w:firstLine="482"/>
        <w:rPr>
          <w:rFonts w:asciiTheme="minorEastAsia" w:eastAsiaTheme="minorEastAsia" w:hAnsiTheme="minorEastAsia" w:cstheme="minorEastAsia"/>
          <w:b/>
          <w:bCs/>
          <w:sz w:val="24"/>
        </w:rPr>
      </w:pPr>
      <w:proofErr w:type="gramStart"/>
      <w:r>
        <w:rPr>
          <w:rFonts w:asciiTheme="minorEastAsia" w:eastAsiaTheme="minorEastAsia" w:hAnsiTheme="minorEastAsia" w:cstheme="minorEastAsia"/>
          <w:b/>
          <w:bCs/>
          <w:sz w:val="24"/>
        </w:rPr>
        <w:t>注销回</w:t>
      </w:r>
      <w:proofErr w:type="gramEnd"/>
      <w:r>
        <w:rPr>
          <w:rFonts w:asciiTheme="minorEastAsia" w:eastAsiaTheme="minorEastAsia" w:hAnsiTheme="minorEastAsia" w:cstheme="minorEastAsia"/>
          <w:b/>
          <w:bCs/>
          <w:sz w:val="24"/>
        </w:rPr>
        <w:t>购股份后公司股本结构变动情况</w:t>
      </w:r>
    </w:p>
    <w:p w:rsidR="00FF7755" w:rsidRDefault="00E36F6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lastRenderedPageBreak/>
        <w:t>本次回购股份注销完成后，公司股本结构变动情况如下：</w:t>
      </w:r>
      <w:r>
        <w:rPr>
          <w:rFonts w:asciiTheme="minorEastAsia" w:eastAsiaTheme="minorEastAsia" w:hAnsiTheme="minorEastAsia" w:cstheme="minorEastAsia" w:hint="eastAsia"/>
          <w:sz w:val="24"/>
        </w:rPr>
        <w:t xml:space="preserve"> </w:t>
      </w:r>
    </w:p>
    <w:tbl>
      <w:tblPr>
        <w:tblStyle w:val="aa"/>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80"/>
        <w:gridCol w:w="1849"/>
        <w:gridCol w:w="2432"/>
        <w:gridCol w:w="2061"/>
      </w:tblGrid>
      <w:tr w:rsidR="00E36F60" w:rsidTr="00E36F60">
        <w:trPr>
          <w:trHeight w:val="454"/>
          <w:jc w:val="center"/>
        </w:trPr>
        <w:tc>
          <w:tcPr>
            <w:tcW w:w="1279" w:type="pct"/>
            <w:vAlign w:val="center"/>
          </w:tcPr>
          <w:p w:rsidR="00E36F60" w:rsidRDefault="00E36F60">
            <w:pPr>
              <w:jc w:val="center"/>
              <w:rPr>
                <w:b/>
                <w:szCs w:val="21"/>
              </w:rPr>
            </w:pPr>
            <w:r>
              <w:rPr>
                <w:rFonts w:hint="eastAsia"/>
                <w:b/>
                <w:szCs w:val="21"/>
              </w:rPr>
              <w:t>股份类别</w:t>
            </w:r>
          </w:p>
        </w:tc>
        <w:tc>
          <w:tcPr>
            <w:tcW w:w="1085" w:type="pct"/>
            <w:vAlign w:val="center"/>
          </w:tcPr>
          <w:p w:rsidR="00E36F60" w:rsidRDefault="00E36F60">
            <w:pPr>
              <w:jc w:val="center"/>
              <w:rPr>
                <w:b/>
                <w:szCs w:val="21"/>
              </w:rPr>
            </w:pPr>
            <w:r>
              <w:rPr>
                <w:rFonts w:hint="eastAsia"/>
                <w:b/>
                <w:szCs w:val="21"/>
              </w:rPr>
              <w:t>变动前（股）</w:t>
            </w:r>
          </w:p>
        </w:tc>
        <w:tc>
          <w:tcPr>
            <w:tcW w:w="1427" w:type="pct"/>
            <w:vAlign w:val="center"/>
          </w:tcPr>
          <w:p w:rsidR="00E36F60" w:rsidRDefault="00E36F60">
            <w:pPr>
              <w:jc w:val="center"/>
              <w:rPr>
                <w:b/>
                <w:szCs w:val="21"/>
              </w:rPr>
            </w:pPr>
            <w:r>
              <w:rPr>
                <w:rFonts w:hint="eastAsia"/>
                <w:b/>
                <w:szCs w:val="21"/>
              </w:rPr>
              <w:t>变动数（股）</w:t>
            </w:r>
          </w:p>
        </w:tc>
        <w:tc>
          <w:tcPr>
            <w:tcW w:w="1210" w:type="pct"/>
            <w:vAlign w:val="center"/>
          </w:tcPr>
          <w:p w:rsidR="00E36F60" w:rsidRDefault="00E36F60">
            <w:pPr>
              <w:jc w:val="center"/>
              <w:rPr>
                <w:b/>
                <w:szCs w:val="21"/>
              </w:rPr>
            </w:pPr>
            <w:r>
              <w:rPr>
                <w:rFonts w:hint="eastAsia"/>
                <w:b/>
                <w:szCs w:val="21"/>
              </w:rPr>
              <w:t>变动后（股）</w:t>
            </w:r>
          </w:p>
        </w:tc>
      </w:tr>
      <w:tr w:rsidR="00E36F60" w:rsidTr="00E36F60">
        <w:trPr>
          <w:trHeight w:val="454"/>
          <w:jc w:val="center"/>
        </w:trPr>
        <w:tc>
          <w:tcPr>
            <w:tcW w:w="1279" w:type="pct"/>
            <w:vAlign w:val="center"/>
          </w:tcPr>
          <w:p w:rsidR="00E36F60" w:rsidRDefault="00E36F60">
            <w:pPr>
              <w:jc w:val="center"/>
              <w:rPr>
                <w:b/>
                <w:szCs w:val="21"/>
              </w:rPr>
            </w:pPr>
            <w:r>
              <w:rPr>
                <w:b/>
                <w:szCs w:val="21"/>
              </w:rPr>
              <w:t>有限</w:t>
            </w:r>
            <w:proofErr w:type="gramStart"/>
            <w:r>
              <w:rPr>
                <w:b/>
                <w:szCs w:val="21"/>
              </w:rPr>
              <w:t>售条件</w:t>
            </w:r>
            <w:proofErr w:type="gramEnd"/>
            <w:r>
              <w:rPr>
                <w:b/>
                <w:szCs w:val="21"/>
              </w:rPr>
              <w:t>股份</w:t>
            </w:r>
          </w:p>
        </w:tc>
        <w:tc>
          <w:tcPr>
            <w:tcW w:w="1085" w:type="pct"/>
            <w:vAlign w:val="center"/>
          </w:tcPr>
          <w:p w:rsidR="00E36F60" w:rsidRDefault="00E36F60">
            <w:pPr>
              <w:spacing w:line="360" w:lineRule="auto"/>
              <w:jc w:val="right"/>
              <w:rPr>
                <w:szCs w:val="21"/>
              </w:rPr>
            </w:pPr>
            <w:r>
              <w:rPr>
                <w:rFonts w:hint="eastAsia"/>
                <w:szCs w:val="21"/>
              </w:rPr>
              <w:t>4,109,303</w:t>
            </w:r>
          </w:p>
        </w:tc>
        <w:tc>
          <w:tcPr>
            <w:tcW w:w="1427" w:type="pct"/>
            <w:vAlign w:val="center"/>
          </w:tcPr>
          <w:p w:rsidR="00E36F60" w:rsidRDefault="00E36F60">
            <w:pPr>
              <w:spacing w:line="360" w:lineRule="auto"/>
              <w:jc w:val="right"/>
              <w:rPr>
                <w:szCs w:val="21"/>
              </w:rPr>
            </w:pPr>
            <w:r>
              <w:rPr>
                <w:rFonts w:hint="eastAsia"/>
                <w:szCs w:val="21"/>
              </w:rPr>
              <w:t>0</w:t>
            </w:r>
          </w:p>
        </w:tc>
        <w:tc>
          <w:tcPr>
            <w:tcW w:w="1210" w:type="pct"/>
            <w:vAlign w:val="center"/>
          </w:tcPr>
          <w:p w:rsidR="00E36F60" w:rsidRDefault="00E36F60">
            <w:pPr>
              <w:spacing w:line="360" w:lineRule="auto"/>
              <w:jc w:val="right"/>
              <w:rPr>
                <w:szCs w:val="21"/>
              </w:rPr>
            </w:pPr>
            <w:r w:rsidRPr="00E36F60">
              <w:rPr>
                <w:szCs w:val="21"/>
              </w:rPr>
              <w:t>4,109,303</w:t>
            </w:r>
          </w:p>
        </w:tc>
      </w:tr>
      <w:tr w:rsidR="00E36F60" w:rsidTr="00E36F60">
        <w:trPr>
          <w:trHeight w:val="454"/>
          <w:jc w:val="center"/>
        </w:trPr>
        <w:tc>
          <w:tcPr>
            <w:tcW w:w="1279" w:type="pct"/>
            <w:vAlign w:val="center"/>
          </w:tcPr>
          <w:p w:rsidR="00E36F60" w:rsidRDefault="00E36F60">
            <w:pPr>
              <w:jc w:val="center"/>
              <w:rPr>
                <w:b/>
                <w:szCs w:val="21"/>
              </w:rPr>
            </w:pPr>
            <w:r>
              <w:rPr>
                <w:b/>
                <w:szCs w:val="21"/>
              </w:rPr>
              <w:t>无限</w:t>
            </w:r>
            <w:proofErr w:type="gramStart"/>
            <w:r>
              <w:rPr>
                <w:b/>
                <w:szCs w:val="21"/>
              </w:rPr>
              <w:t>售条件</w:t>
            </w:r>
            <w:proofErr w:type="gramEnd"/>
            <w:r>
              <w:rPr>
                <w:b/>
                <w:szCs w:val="21"/>
              </w:rPr>
              <w:t>股份</w:t>
            </w:r>
          </w:p>
        </w:tc>
        <w:tc>
          <w:tcPr>
            <w:tcW w:w="1085" w:type="pct"/>
            <w:vAlign w:val="center"/>
          </w:tcPr>
          <w:p w:rsidR="00E36F60" w:rsidRDefault="00E36F60">
            <w:pPr>
              <w:spacing w:line="360" w:lineRule="auto"/>
              <w:jc w:val="right"/>
              <w:rPr>
                <w:szCs w:val="21"/>
              </w:rPr>
            </w:pPr>
            <w:r>
              <w:rPr>
                <w:rFonts w:hint="eastAsia"/>
                <w:szCs w:val="21"/>
              </w:rPr>
              <w:t>708,279,529</w:t>
            </w:r>
          </w:p>
        </w:tc>
        <w:tc>
          <w:tcPr>
            <w:tcW w:w="1427" w:type="pct"/>
            <w:vAlign w:val="center"/>
          </w:tcPr>
          <w:p w:rsidR="00E36F60" w:rsidRDefault="00E36F60">
            <w:pPr>
              <w:spacing w:line="360" w:lineRule="auto"/>
              <w:jc w:val="right"/>
              <w:rPr>
                <w:szCs w:val="21"/>
              </w:rPr>
            </w:pPr>
            <w:r>
              <w:rPr>
                <w:rFonts w:hint="eastAsia"/>
                <w:szCs w:val="21"/>
              </w:rPr>
              <w:t>-15,000</w:t>
            </w:r>
          </w:p>
        </w:tc>
        <w:tc>
          <w:tcPr>
            <w:tcW w:w="1210" w:type="pct"/>
            <w:vAlign w:val="center"/>
          </w:tcPr>
          <w:p w:rsidR="00E36F60" w:rsidRDefault="00E36F60">
            <w:pPr>
              <w:spacing w:line="360" w:lineRule="auto"/>
              <w:jc w:val="right"/>
              <w:rPr>
                <w:szCs w:val="21"/>
              </w:rPr>
            </w:pPr>
            <w:r w:rsidRPr="00E36F60">
              <w:rPr>
                <w:szCs w:val="21"/>
              </w:rPr>
              <w:t>708,264,529</w:t>
            </w:r>
          </w:p>
        </w:tc>
      </w:tr>
      <w:tr w:rsidR="00E36F60" w:rsidTr="00E36F60">
        <w:trPr>
          <w:trHeight w:val="454"/>
          <w:jc w:val="center"/>
        </w:trPr>
        <w:tc>
          <w:tcPr>
            <w:tcW w:w="1279" w:type="pct"/>
            <w:vAlign w:val="center"/>
          </w:tcPr>
          <w:p w:rsidR="00E36F60" w:rsidRDefault="00E36F60">
            <w:pPr>
              <w:jc w:val="center"/>
              <w:rPr>
                <w:b/>
                <w:szCs w:val="21"/>
              </w:rPr>
            </w:pPr>
            <w:r>
              <w:rPr>
                <w:b/>
                <w:szCs w:val="21"/>
              </w:rPr>
              <w:t>股份总数</w:t>
            </w:r>
          </w:p>
        </w:tc>
        <w:tc>
          <w:tcPr>
            <w:tcW w:w="1085" w:type="pct"/>
            <w:vAlign w:val="center"/>
          </w:tcPr>
          <w:p w:rsidR="00E36F60" w:rsidRDefault="00E36F60">
            <w:pPr>
              <w:spacing w:line="360" w:lineRule="auto"/>
              <w:jc w:val="right"/>
              <w:rPr>
                <w:szCs w:val="21"/>
              </w:rPr>
            </w:pPr>
            <w:r>
              <w:rPr>
                <w:rFonts w:hint="eastAsia"/>
                <w:szCs w:val="21"/>
              </w:rPr>
              <w:t>712,388,832</w:t>
            </w:r>
          </w:p>
        </w:tc>
        <w:tc>
          <w:tcPr>
            <w:tcW w:w="1427" w:type="pct"/>
            <w:vAlign w:val="center"/>
          </w:tcPr>
          <w:p w:rsidR="00E36F60" w:rsidRDefault="00E36F60">
            <w:pPr>
              <w:spacing w:line="360" w:lineRule="auto"/>
              <w:jc w:val="right"/>
              <w:rPr>
                <w:szCs w:val="21"/>
              </w:rPr>
            </w:pPr>
            <w:r>
              <w:rPr>
                <w:rFonts w:hint="eastAsia"/>
                <w:szCs w:val="21"/>
              </w:rPr>
              <w:t>-15,000</w:t>
            </w:r>
          </w:p>
        </w:tc>
        <w:tc>
          <w:tcPr>
            <w:tcW w:w="1210" w:type="pct"/>
            <w:vAlign w:val="center"/>
          </w:tcPr>
          <w:p w:rsidR="00E36F60" w:rsidRDefault="00E36F60">
            <w:pPr>
              <w:spacing w:line="360" w:lineRule="auto"/>
              <w:jc w:val="right"/>
              <w:rPr>
                <w:szCs w:val="21"/>
              </w:rPr>
            </w:pPr>
            <w:r w:rsidRPr="00E36F60">
              <w:rPr>
                <w:szCs w:val="21"/>
              </w:rPr>
              <w:t>712,373,832</w:t>
            </w:r>
          </w:p>
        </w:tc>
      </w:tr>
    </w:tbl>
    <w:p w:rsidR="00FF7755" w:rsidRDefault="00E36F6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rsidR="00FF7755" w:rsidRDefault="00E36F6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特此公告。</w:t>
      </w:r>
    </w:p>
    <w:p w:rsidR="00FF7755" w:rsidRDefault="00FF7755">
      <w:pPr>
        <w:spacing w:line="360" w:lineRule="auto"/>
        <w:ind w:firstLineChars="200" w:firstLine="480"/>
        <w:rPr>
          <w:rFonts w:asciiTheme="minorEastAsia" w:eastAsiaTheme="minorEastAsia" w:hAnsiTheme="minorEastAsia" w:cstheme="minorEastAsia"/>
          <w:sz w:val="24"/>
        </w:rPr>
      </w:pPr>
    </w:p>
    <w:p w:rsidR="00FF7755" w:rsidRDefault="00E36F60">
      <w:pPr>
        <w:pStyle w:val="a8"/>
        <w:adjustRightInd w:val="0"/>
        <w:snapToGrid w:val="0"/>
        <w:spacing w:before="0" w:beforeAutospacing="0" w:after="0" w:afterAutospacing="0" w:line="360" w:lineRule="auto"/>
        <w:ind w:firstLineChars="200" w:firstLine="480"/>
        <w:jc w:val="right"/>
        <w:rPr>
          <w:rFonts w:asciiTheme="minorEastAsia" w:eastAsiaTheme="minorEastAsia" w:hAnsiTheme="minorEastAsia" w:cstheme="minorEastAsia"/>
        </w:rPr>
      </w:pPr>
      <w:r>
        <w:rPr>
          <w:rFonts w:asciiTheme="minorEastAsia" w:eastAsiaTheme="minorEastAsia" w:hAnsiTheme="minorEastAsia" w:cstheme="minorEastAsia" w:hint="eastAsia"/>
        </w:rPr>
        <w:t>江苏吴中医药发展股份有限公司</w:t>
      </w:r>
    </w:p>
    <w:p w:rsidR="00FF7755" w:rsidRDefault="00E36F60">
      <w:pPr>
        <w:pStyle w:val="a8"/>
        <w:wordWrap w:val="0"/>
        <w:adjustRightInd w:val="0"/>
        <w:snapToGrid w:val="0"/>
        <w:spacing w:before="0" w:beforeAutospacing="0" w:after="0" w:afterAutospacing="0" w:line="360" w:lineRule="auto"/>
        <w:ind w:firstLineChars="200" w:firstLine="480"/>
        <w:jc w:val="right"/>
        <w:rPr>
          <w:rFonts w:asciiTheme="minorEastAsia" w:eastAsiaTheme="minorEastAsia" w:hAnsiTheme="minorEastAsia" w:cstheme="minorEastAsia"/>
        </w:rPr>
      </w:pPr>
      <w:r>
        <w:rPr>
          <w:rFonts w:asciiTheme="minorEastAsia" w:eastAsiaTheme="minorEastAsia" w:hAnsiTheme="minorEastAsia" w:cstheme="minorEastAsia" w:hint="eastAsia"/>
        </w:rPr>
        <w:t xml:space="preserve">董事会      </w:t>
      </w:r>
    </w:p>
    <w:p w:rsidR="00FF7755" w:rsidRDefault="00E36F60">
      <w:pPr>
        <w:pStyle w:val="a8"/>
        <w:adjustRightInd w:val="0"/>
        <w:snapToGrid w:val="0"/>
        <w:spacing w:before="0" w:beforeAutospacing="0" w:after="0" w:afterAutospacing="0" w:line="360" w:lineRule="auto"/>
        <w:ind w:firstLineChars="200" w:firstLine="480"/>
        <w:jc w:val="right"/>
        <w:rPr>
          <w:rFonts w:asciiTheme="minorEastAsia" w:eastAsiaTheme="minorEastAsia" w:hAnsiTheme="minorEastAsia" w:cstheme="minorEastAsia"/>
        </w:rPr>
      </w:pPr>
      <w:r>
        <w:rPr>
          <w:rFonts w:asciiTheme="minorEastAsia" w:eastAsiaTheme="minorEastAsia" w:hAnsiTheme="minorEastAsia" w:cstheme="minorEastAsia"/>
        </w:rPr>
        <w:t>2023</w:t>
      </w:r>
      <w:r>
        <w:rPr>
          <w:rFonts w:asciiTheme="minorEastAsia" w:eastAsiaTheme="minorEastAsia" w:hAnsiTheme="minorEastAsia" w:cstheme="minorEastAsia" w:hint="eastAsia"/>
        </w:rPr>
        <w:t>年1月10日</w:t>
      </w:r>
    </w:p>
    <w:p w:rsidR="00FF7755" w:rsidRDefault="00FF7755">
      <w:pPr>
        <w:spacing w:line="360" w:lineRule="auto"/>
        <w:ind w:firstLineChars="200" w:firstLine="480"/>
        <w:rPr>
          <w:sz w:val="24"/>
        </w:rPr>
      </w:pPr>
    </w:p>
    <w:p w:rsidR="00FF7755" w:rsidRDefault="00FF7755">
      <w:pPr>
        <w:spacing w:line="360" w:lineRule="auto"/>
        <w:rPr>
          <w:rFonts w:asciiTheme="minorEastAsia" w:eastAsiaTheme="minorEastAsia" w:hAnsiTheme="minorEastAsia"/>
        </w:rPr>
      </w:pPr>
    </w:p>
    <w:sectPr w:rsidR="00FF77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68F" w:rsidRDefault="0063468F" w:rsidP="007B5BC2">
      <w:r>
        <w:separator/>
      </w:r>
    </w:p>
  </w:endnote>
  <w:endnote w:type="continuationSeparator" w:id="0">
    <w:p w:rsidR="0063468F" w:rsidRDefault="0063468F" w:rsidP="007B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ans-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68F" w:rsidRDefault="0063468F" w:rsidP="007B5BC2">
      <w:r>
        <w:separator/>
      </w:r>
    </w:p>
  </w:footnote>
  <w:footnote w:type="continuationSeparator" w:id="0">
    <w:p w:rsidR="0063468F" w:rsidRDefault="0063468F" w:rsidP="007B5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AD5D0"/>
    <w:multiLevelType w:val="singleLevel"/>
    <w:tmpl w:val="0E1AD5D0"/>
    <w:lvl w:ilvl="0">
      <w:start w:val="1"/>
      <w:numFmt w:val="bullet"/>
      <w:lvlText w:val=""/>
      <w:lvlJc w:val="left"/>
      <w:pPr>
        <w:ind w:left="420" w:hanging="420"/>
      </w:pPr>
      <w:rPr>
        <w:rFonts w:ascii="Wingdings" w:hAnsi="Wingdings" w:hint="default"/>
      </w:rPr>
    </w:lvl>
  </w:abstractNum>
  <w:abstractNum w:abstractNumId="1">
    <w:nsid w:val="2FD07898"/>
    <w:multiLevelType w:val="singleLevel"/>
    <w:tmpl w:val="2FD07898"/>
    <w:lvl w:ilvl="0">
      <w:start w:val="2"/>
      <w:numFmt w:val="chineseCounting"/>
      <w:suff w:val="nothing"/>
      <w:lvlText w:val="（%1）"/>
      <w:lvlJc w:val="left"/>
      <w:rPr>
        <w:rFonts w:hint="eastAsia"/>
      </w:rPr>
    </w:lvl>
  </w:abstractNum>
  <w:abstractNum w:abstractNumId="2">
    <w:nsid w:val="45DB38E4"/>
    <w:multiLevelType w:val="singleLevel"/>
    <w:tmpl w:val="45DB38E4"/>
    <w:lvl w:ilvl="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BD7B08"/>
    <w:rsid w:val="00004FC6"/>
    <w:rsid w:val="00015559"/>
    <w:rsid w:val="0003171D"/>
    <w:rsid w:val="000377FA"/>
    <w:rsid w:val="000B2D49"/>
    <w:rsid w:val="000C1EBF"/>
    <w:rsid w:val="000D5160"/>
    <w:rsid w:val="000E5928"/>
    <w:rsid w:val="000F79EC"/>
    <w:rsid w:val="001044FC"/>
    <w:rsid w:val="00115DE0"/>
    <w:rsid w:val="00121181"/>
    <w:rsid w:val="00125EB5"/>
    <w:rsid w:val="00141A30"/>
    <w:rsid w:val="0014235B"/>
    <w:rsid w:val="001449C0"/>
    <w:rsid w:val="00167B35"/>
    <w:rsid w:val="00184711"/>
    <w:rsid w:val="001A6F91"/>
    <w:rsid w:val="001F698F"/>
    <w:rsid w:val="002442A3"/>
    <w:rsid w:val="00251C73"/>
    <w:rsid w:val="0025726D"/>
    <w:rsid w:val="0025795B"/>
    <w:rsid w:val="0027220C"/>
    <w:rsid w:val="002808AB"/>
    <w:rsid w:val="00284CD2"/>
    <w:rsid w:val="002B7CCB"/>
    <w:rsid w:val="002C71E7"/>
    <w:rsid w:val="002D2369"/>
    <w:rsid w:val="002F74DC"/>
    <w:rsid w:val="00303A9B"/>
    <w:rsid w:val="00324EB8"/>
    <w:rsid w:val="0037324C"/>
    <w:rsid w:val="003870CC"/>
    <w:rsid w:val="0038727B"/>
    <w:rsid w:val="003B5345"/>
    <w:rsid w:val="003C607D"/>
    <w:rsid w:val="003D0298"/>
    <w:rsid w:val="003D0C3B"/>
    <w:rsid w:val="003D3FFF"/>
    <w:rsid w:val="003E355B"/>
    <w:rsid w:val="003F62B6"/>
    <w:rsid w:val="0041720E"/>
    <w:rsid w:val="004502F4"/>
    <w:rsid w:val="00496E8A"/>
    <w:rsid w:val="004C27B9"/>
    <w:rsid w:val="004C3DB4"/>
    <w:rsid w:val="004D3C41"/>
    <w:rsid w:val="004E363D"/>
    <w:rsid w:val="004F1F15"/>
    <w:rsid w:val="0054311D"/>
    <w:rsid w:val="005712CB"/>
    <w:rsid w:val="00577CBB"/>
    <w:rsid w:val="005B4F18"/>
    <w:rsid w:val="005C3668"/>
    <w:rsid w:val="005D4ACB"/>
    <w:rsid w:val="00615D49"/>
    <w:rsid w:val="00616EED"/>
    <w:rsid w:val="0063468F"/>
    <w:rsid w:val="006412D7"/>
    <w:rsid w:val="00662769"/>
    <w:rsid w:val="00675176"/>
    <w:rsid w:val="00683AED"/>
    <w:rsid w:val="00695D72"/>
    <w:rsid w:val="006B29CA"/>
    <w:rsid w:val="006B2B65"/>
    <w:rsid w:val="006F55EC"/>
    <w:rsid w:val="007001F0"/>
    <w:rsid w:val="007014FC"/>
    <w:rsid w:val="00753084"/>
    <w:rsid w:val="007564B5"/>
    <w:rsid w:val="00766EEB"/>
    <w:rsid w:val="00772A33"/>
    <w:rsid w:val="007B5BC2"/>
    <w:rsid w:val="007C676D"/>
    <w:rsid w:val="007C7BAF"/>
    <w:rsid w:val="00802A0A"/>
    <w:rsid w:val="00887DA0"/>
    <w:rsid w:val="00893296"/>
    <w:rsid w:val="008935D4"/>
    <w:rsid w:val="008A7625"/>
    <w:rsid w:val="008E57CC"/>
    <w:rsid w:val="008F6AB5"/>
    <w:rsid w:val="00933FA5"/>
    <w:rsid w:val="00955A3F"/>
    <w:rsid w:val="00960430"/>
    <w:rsid w:val="00967AA4"/>
    <w:rsid w:val="00A05A16"/>
    <w:rsid w:val="00A267F9"/>
    <w:rsid w:val="00A842DF"/>
    <w:rsid w:val="00AA10D4"/>
    <w:rsid w:val="00AB2664"/>
    <w:rsid w:val="00AC7ABF"/>
    <w:rsid w:val="00B07E79"/>
    <w:rsid w:val="00B31A8D"/>
    <w:rsid w:val="00B87AB6"/>
    <w:rsid w:val="00BB5C59"/>
    <w:rsid w:val="00BB5F62"/>
    <w:rsid w:val="00BC7D27"/>
    <w:rsid w:val="00BD7B08"/>
    <w:rsid w:val="00BF68F7"/>
    <w:rsid w:val="00C01D90"/>
    <w:rsid w:val="00C14435"/>
    <w:rsid w:val="00C71DAA"/>
    <w:rsid w:val="00C77455"/>
    <w:rsid w:val="00C944C3"/>
    <w:rsid w:val="00CC65AD"/>
    <w:rsid w:val="00CD2A4D"/>
    <w:rsid w:val="00CD5891"/>
    <w:rsid w:val="00CD6EAB"/>
    <w:rsid w:val="00CF42BE"/>
    <w:rsid w:val="00D04CBB"/>
    <w:rsid w:val="00D15237"/>
    <w:rsid w:val="00D21B8D"/>
    <w:rsid w:val="00D26D15"/>
    <w:rsid w:val="00D45281"/>
    <w:rsid w:val="00D53DC4"/>
    <w:rsid w:val="00D86A2F"/>
    <w:rsid w:val="00D90BC6"/>
    <w:rsid w:val="00DD25D6"/>
    <w:rsid w:val="00E003D0"/>
    <w:rsid w:val="00E025CD"/>
    <w:rsid w:val="00E05034"/>
    <w:rsid w:val="00E220DE"/>
    <w:rsid w:val="00E36F60"/>
    <w:rsid w:val="00E74755"/>
    <w:rsid w:val="00E76138"/>
    <w:rsid w:val="00E77D37"/>
    <w:rsid w:val="00E9529E"/>
    <w:rsid w:val="00E96761"/>
    <w:rsid w:val="00EA6444"/>
    <w:rsid w:val="00EB60AF"/>
    <w:rsid w:val="00EB7FBA"/>
    <w:rsid w:val="00EF67AA"/>
    <w:rsid w:val="00F03FA2"/>
    <w:rsid w:val="00F168FB"/>
    <w:rsid w:val="00F21312"/>
    <w:rsid w:val="00F23D77"/>
    <w:rsid w:val="00F3649E"/>
    <w:rsid w:val="00F37403"/>
    <w:rsid w:val="00F642E6"/>
    <w:rsid w:val="00FA5496"/>
    <w:rsid w:val="00FB79DD"/>
    <w:rsid w:val="00FE4FBE"/>
    <w:rsid w:val="00FE5ACA"/>
    <w:rsid w:val="00FF7755"/>
    <w:rsid w:val="02A36C44"/>
    <w:rsid w:val="02E334E5"/>
    <w:rsid w:val="04157094"/>
    <w:rsid w:val="064249C6"/>
    <w:rsid w:val="073B641D"/>
    <w:rsid w:val="09CC371C"/>
    <w:rsid w:val="0B6B4077"/>
    <w:rsid w:val="0BB928E3"/>
    <w:rsid w:val="0CFB7C90"/>
    <w:rsid w:val="0E63372C"/>
    <w:rsid w:val="0F3375A2"/>
    <w:rsid w:val="0FAC04DB"/>
    <w:rsid w:val="11160F29"/>
    <w:rsid w:val="13F60B9E"/>
    <w:rsid w:val="17056235"/>
    <w:rsid w:val="17A6044E"/>
    <w:rsid w:val="1821567F"/>
    <w:rsid w:val="182757CA"/>
    <w:rsid w:val="1C545EC7"/>
    <w:rsid w:val="1C640D9B"/>
    <w:rsid w:val="1CBF5CF3"/>
    <w:rsid w:val="1FBE4C66"/>
    <w:rsid w:val="1FC3402A"/>
    <w:rsid w:val="206A6B9C"/>
    <w:rsid w:val="20DA39F2"/>
    <w:rsid w:val="220F79FB"/>
    <w:rsid w:val="23052BAC"/>
    <w:rsid w:val="233C481F"/>
    <w:rsid w:val="238455B9"/>
    <w:rsid w:val="24EA2059"/>
    <w:rsid w:val="27A44741"/>
    <w:rsid w:val="28622D85"/>
    <w:rsid w:val="2AED28A3"/>
    <w:rsid w:val="2BE55328"/>
    <w:rsid w:val="2D834DF9"/>
    <w:rsid w:val="30A6777C"/>
    <w:rsid w:val="313E3F15"/>
    <w:rsid w:val="31746568"/>
    <w:rsid w:val="321150C9"/>
    <w:rsid w:val="33B736BE"/>
    <w:rsid w:val="36541A28"/>
    <w:rsid w:val="37FF59C4"/>
    <w:rsid w:val="390A1FA7"/>
    <w:rsid w:val="399A003C"/>
    <w:rsid w:val="3A443B62"/>
    <w:rsid w:val="3B892174"/>
    <w:rsid w:val="3D330800"/>
    <w:rsid w:val="41F30347"/>
    <w:rsid w:val="421D53C4"/>
    <w:rsid w:val="436A4639"/>
    <w:rsid w:val="44935E12"/>
    <w:rsid w:val="4B29678D"/>
    <w:rsid w:val="4B7342A7"/>
    <w:rsid w:val="4B92297F"/>
    <w:rsid w:val="4CE90CC5"/>
    <w:rsid w:val="4DB50BA7"/>
    <w:rsid w:val="51BA49DE"/>
    <w:rsid w:val="5472439E"/>
    <w:rsid w:val="54EA382C"/>
    <w:rsid w:val="559A5D79"/>
    <w:rsid w:val="56E20B24"/>
    <w:rsid w:val="57E502DB"/>
    <w:rsid w:val="5B0C3235"/>
    <w:rsid w:val="5E5F0DE7"/>
    <w:rsid w:val="60002155"/>
    <w:rsid w:val="614C6C96"/>
    <w:rsid w:val="61E12A5C"/>
    <w:rsid w:val="65C47781"/>
    <w:rsid w:val="66E520A5"/>
    <w:rsid w:val="68C07992"/>
    <w:rsid w:val="6A1A5563"/>
    <w:rsid w:val="6B242FBF"/>
    <w:rsid w:val="6C376EFF"/>
    <w:rsid w:val="6CF05300"/>
    <w:rsid w:val="6F4A3EE1"/>
    <w:rsid w:val="6F4E0A15"/>
    <w:rsid w:val="702459EC"/>
    <w:rsid w:val="71C01745"/>
    <w:rsid w:val="7276664B"/>
    <w:rsid w:val="746F1200"/>
    <w:rsid w:val="751122B7"/>
    <w:rsid w:val="755D54FC"/>
    <w:rsid w:val="77000835"/>
    <w:rsid w:val="79004B1D"/>
    <w:rsid w:val="7A0B5527"/>
    <w:rsid w:val="7A5C3FD5"/>
    <w:rsid w:val="7B2E3BC3"/>
    <w:rsid w:val="7B9C495A"/>
    <w:rsid w:val="7C4E5397"/>
    <w:rsid w:val="7DC47FAB"/>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uiPriority w:val="1"/>
    <w:qFormat/>
    <w:pPr>
      <w:spacing w:before="36"/>
      <w:ind w:left="118"/>
      <w:jc w:val="left"/>
    </w:pPr>
    <w:rPr>
      <w:rFonts w:ascii="宋体" w:hAnsi="宋体" w:cstheme="minorBidi"/>
      <w:kern w:val="0"/>
      <w:sz w:val="24"/>
      <w:lang w:eastAsia="en-US"/>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3"/>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0">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9"/>
    <w:uiPriority w:val="99"/>
    <w:semiHidden/>
    <w:qFormat/>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uiPriority w:val="1"/>
    <w:qFormat/>
    <w:pPr>
      <w:spacing w:before="36"/>
      <w:ind w:left="118"/>
      <w:jc w:val="left"/>
    </w:pPr>
    <w:rPr>
      <w:rFonts w:ascii="宋体" w:hAnsi="宋体" w:cstheme="minorBidi"/>
      <w:kern w:val="0"/>
      <w:sz w:val="24"/>
      <w:lang w:eastAsia="en-US"/>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3"/>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0">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9"/>
    <w:uiPriority w:val="99"/>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8</cp:revision>
  <dcterms:created xsi:type="dcterms:W3CDTF">2023-01-04T06:23:00Z</dcterms:created>
  <dcterms:modified xsi:type="dcterms:W3CDTF">2023-01-09T07:49:00Z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1C3776ED9AC54407B60526A4F6E5A360</vt:lpwstr>
  </property>
</Properties>
</file>