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53" w:rightChars="-73"/>
        <w:jc w:val="center"/>
        <w:rPr>
          <w:rFonts w:hint="default" w:ascii="黑体" w:hAnsi="宋体" w:eastAsia="宋体"/>
          <w:b/>
          <w:bCs/>
          <w:color w:val="FF0000"/>
          <w:sz w:val="32"/>
          <w:lang w:val="en-US" w:eastAsia="zh-CN"/>
        </w:rPr>
      </w:pPr>
      <w:r>
        <w:rPr>
          <w:rFonts w:hint="eastAsia" w:ascii="宋体" w:hAnsi="宋体" w:cs="宋体"/>
          <w:color w:val="000000"/>
          <w:kern w:val="0"/>
          <w:sz w:val="24"/>
        </w:rPr>
        <w:t>证券代码：600200       证券简称：江苏吴中      公告编号：临2024-</w:t>
      </w:r>
      <w:r>
        <w:rPr>
          <w:rFonts w:hint="eastAsia" w:ascii="宋体" w:hAnsi="宋体" w:cs="宋体"/>
          <w:color w:val="000000"/>
          <w:kern w:val="0"/>
          <w:sz w:val="24"/>
          <w:lang w:val="en-US" w:eastAsia="zh-CN"/>
        </w:rPr>
        <w:t>034</w:t>
      </w:r>
    </w:p>
    <w:p>
      <w:pPr>
        <w:spacing w:line="360" w:lineRule="auto"/>
        <w:ind w:right="-153" w:rightChars="-73"/>
        <w:jc w:val="center"/>
        <w:rPr>
          <w:rFonts w:ascii="黑体" w:hAnsi="宋体" w:eastAsia="黑体"/>
          <w:b/>
          <w:bCs/>
          <w:color w:val="FF0000"/>
          <w:sz w:val="32"/>
        </w:rPr>
      </w:pP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江苏吴中医药发展股份有限公司</w:t>
      </w: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关于回购注销部分限制性股票的公告</w:t>
      </w:r>
    </w:p>
    <w:p>
      <w:pPr>
        <w:autoSpaceDE w:val="0"/>
        <w:autoSpaceDN w:val="0"/>
        <w:adjustRightInd w:val="0"/>
        <w:spacing w:line="360" w:lineRule="auto"/>
        <w:ind w:firstLine="482" w:firstLineChars="200"/>
        <w:rPr>
          <w:rFonts w:asciiTheme="minorEastAsia" w:hAnsiTheme="minorEastAsia" w:eastAsiaTheme="minorEastAsia" w:cstheme="minorEastAsia"/>
          <w:b/>
          <w:sz w:val="24"/>
        </w:rPr>
      </w:pPr>
    </w:p>
    <w:p>
      <w:pPr>
        <w:autoSpaceDE w:val="0"/>
        <w:autoSpaceDN w:val="0"/>
        <w:adjustRightInd w:val="0"/>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本公司董事会及董事会全体成员保证公告内容不存在虚假记载、误导性陈述或者重大遗漏，并对其内容的真实、准确和完整承担法律责任。</w:t>
      </w:r>
    </w:p>
    <w:p>
      <w:pPr>
        <w:spacing w:line="360" w:lineRule="auto"/>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江苏吴中医药发展股份有限公司（以下简称“公司”）于2024年4月23日召开了</w:t>
      </w:r>
      <w:r>
        <w:rPr>
          <w:rFonts w:hint="eastAsia" w:ascii="宋体" w:hAnsi="宋体"/>
          <w:sz w:val="24"/>
        </w:rPr>
        <w:t>第十一届董事会第一次会议</w:t>
      </w:r>
      <w:r>
        <w:rPr>
          <w:rFonts w:hint="eastAsia" w:asciiTheme="minorEastAsia" w:hAnsiTheme="minorEastAsia" w:eastAsiaTheme="minorEastAsia" w:cstheme="minorEastAsia"/>
          <w:sz w:val="24"/>
        </w:rPr>
        <w:t>和</w:t>
      </w:r>
      <w:r>
        <w:rPr>
          <w:rFonts w:hint="eastAsia" w:ascii="宋体" w:hAnsi="宋体"/>
          <w:sz w:val="24"/>
        </w:rPr>
        <w:t>第十一届监事会第一次会议</w:t>
      </w:r>
      <w:r>
        <w:rPr>
          <w:rFonts w:hint="eastAsia" w:asciiTheme="minorEastAsia" w:hAnsiTheme="minorEastAsia" w:eastAsiaTheme="minorEastAsia" w:cstheme="minorEastAsia"/>
          <w:sz w:val="24"/>
        </w:rPr>
        <w:t>，审议通过了《公司关于回购注销部分限制性股票的议案》。鉴于公司2021年限制性股票激励计划（以下简称“本次激励计划”“本激励计划”或“《激励计划》”）中3名首次授予激励对象与1名预留授予激励对象因个人原因已离职，已不再具备限制性股票激励对象资格，公司将对以上4名激励对象已获授但尚未解除限售的共计85</w:t>
      </w:r>
      <w:r>
        <w:rPr>
          <w:rFonts w:asciiTheme="minorEastAsia" w:hAnsiTheme="minorEastAsia" w:eastAsiaTheme="minorEastAsia" w:cstheme="minorEastAsia"/>
          <w:sz w:val="24"/>
        </w:rPr>
        <w:t>,000</w:t>
      </w:r>
      <w:r>
        <w:rPr>
          <w:rFonts w:hint="eastAsia" w:asciiTheme="minorEastAsia" w:hAnsiTheme="minorEastAsia" w:eastAsiaTheme="minorEastAsia" w:cstheme="minorEastAsia"/>
          <w:sz w:val="24"/>
        </w:rPr>
        <w:t>股限制性股票予以回购注销。该事项尚需提交公司股东大会审议。具体情况如下：</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一、本次激励计划已履行的相关程序及实施情况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2021年12月16日，公司召开了第十届董事会2021年第四次临时会议（通讯表决），审议通过了《关于&lt;江苏吴中医药发展股份有限公司2021年限制性股票激励计划（草案）&gt;及其摘要的议案》《关于&lt;江苏吴中医药发展股份有限公司2021年限制性股票激励计划实施考核管理办法&gt;的议案》《关于提请股东大会授权董事会办理公司股权激励计划相关事项的议案》等议案。公司独立董事就本激励计划是否有利于公司的持续发展及是否存在损害公司及全体股东利益的情形发表了独立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日，公司召开第十届监事会2021年第三次临时会议（通讯表决），审议通过了《关于&lt;江苏吴中医药发展股份有限公司2021年限制性股票激励计划（草案）&gt;及其摘要的议案》《关于&lt;江苏吴中医药发展股份有限公司2021年限制性股票激励计划实施考核管理办法&gt;的议案》等议案，公司监事会对本次激励计划的相关事项进行核实并出具了相关核查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2021年12月17日至2021年12月27日，公司将本次拟首次授予激励对象的姓名及职务在公司内部予以公示。在公示期内，公司监事会未收到任何对本次拟首次授予激励对象提出的异议。2021年12月28日，公司披露了《江苏吴中医药发展股份有限公司监事会关于公司2021年限制性股票激励计划首次授予激励对象名单的公示情况说明及核查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2022年1月5日，公司召开2022年第一次临时股东大会,审议通过了《关于&lt;江苏吴中医药发展股份有限公司2021年限制性股票激励计划（草案）&gt;及其摘要的议案》《关于&lt;江苏吴中医药发展股份有限公司2021年限制性股票激励计划实施考核管理办法&gt;的议案》《关于提请股东大会授权董事会办理公司股权激励计划相关事项的议案》等议案。2022年1月6日，公司披露了《江苏吴中医药发展股份有限公司关于2021年限制性股票激励计划内幕信息知情人买卖公司股票情况的自查报告》，未发现本次激励计划的内幕信息知情人存在利用本次激励计划相关内幕信息买卖公司股票的行为或泄露本激励计划有关内幕信息导致内幕交易发生的情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2022年2月16日，公司召开第十届董事会2022年第二次临时会议（通讯表决）及第十届监事会2022年第一次临时会议（通讯表决），审议通过了《关于调整公司2021年限制性股票激励计划首次授予激励对象名单及授予数量的议案》《关于向公司2021年限制性股票激励计划激励对象首次授予限制性股票的议案》。同意公司本激励计划拟首次授予的激励对象人数由143人调整为110人，首次授予限制性股票数量由374.0000万股调整为331.9000万股；预留授予限制性股票由38.4303万股调整为80.5303万股，本激励计划拟授予的限制性股票总数不变。公司董事会认为本次激励计划规定的限制性股票的首次授予条件已经成就，同意确定以2022年2月16日为限制性股票首次授予日，向符合条件的110名激励对象授予331.9000万股限制性股票，授予价格为3.68元/股。公司监事会对调整后的激励对象名单再次进行了核实并发表了明确同意的意见。公司独立董事对此发表了同意的独立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2022年3月14日，公司收到中国证券登记结算有限责任公司上海分公司出具的《证券变更登记证明》及《过户登记确认书》，本激励计划首次授予登记完成，限制性股票首次登记日为2022年3月14日。在确定首次授予日后的登记过程中，首次授予激励对象中有1名激励对象自愿放弃拟授予其的全部限制性股票共计15,000股。因此，本激励计划首次实际授予的激励对象为109人，首次实际授予数量为330.4000万股。2022年3月1</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日，公司在上海证券交易所网站披露了《江苏吴中医药发展股份有限公司2021年限制性股票激励计划首次授予结果的公告》。</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2022年10月28日，公司召开第十届董事会第六次会议（通讯表决）和第十届监事会第六次会议（通讯表决），审议通过了《公司关于向激励对象授予2021年限制性股票激励计划预留部分限制性股票的议案》。公司董事会认为本激励计划规定的预留部分限制性股票的授予条件已经成就，同意确定以2022年10月31日为预留部分限制性股票的授予日，向符合条件的17名激励对象授予80.5303万股限制性股票，预留授予价格为</w:t>
      </w:r>
      <w:r>
        <w:rPr>
          <w:rFonts w:asciiTheme="minorEastAsia" w:hAnsiTheme="minorEastAsia" w:eastAsiaTheme="minorEastAsia" w:cstheme="minorEastAsia"/>
          <w:sz w:val="24"/>
        </w:rPr>
        <w:t>3.49</w:t>
      </w:r>
      <w:r>
        <w:rPr>
          <w:rFonts w:hint="eastAsia" w:asciiTheme="minorEastAsia" w:hAnsiTheme="minorEastAsia" w:eastAsiaTheme="minorEastAsia" w:cstheme="minorEastAsia"/>
          <w:sz w:val="24"/>
        </w:rPr>
        <w:t>元/股。公司独立董事对此发表了同意的独立意见。监事会对预留授予日的激励对象名单进行了核实并发表了核查意见。律师出具了相应的法律意见书。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日，公司召开第十届董事会第六次会议（通讯表决）和第十届监事会第六次会议（通讯表决）审议通过了《公司关于回购注销部分限制性股票的议案》，由于4名首次授予激励对象离职，已不符合激励对象资格，根据《激励计划》的规定，公司拟对其已获授但尚未解除限售的50,000股限制性股票</w:t>
      </w:r>
      <w:r>
        <w:rPr>
          <w:rFonts w:asciiTheme="minorEastAsia" w:hAnsiTheme="minorEastAsia" w:eastAsiaTheme="minorEastAsia" w:cstheme="minorEastAsia"/>
          <w:sz w:val="24"/>
        </w:rPr>
        <w:t>予以</w:t>
      </w:r>
      <w:r>
        <w:rPr>
          <w:rFonts w:hint="eastAsia" w:asciiTheme="minorEastAsia" w:hAnsiTheme="minorEastAsia" w:eastAsiaTheme="minorEastAsia" w:cstheme="minorEastAsia"/>
          <w:sz w:val="24"/>
        </w:rPr>
        <w:t>回购注销。公司独立董事和监事会对相关事项发表了同意意见。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w:t>
      </w:r>
      <w:r>
        <w:rPr>
          <w:rFonts w:asciiTheme="minorEastAsia" w:hAnsiTheme="minorEastAsia" w:eastAsiaTheme="minorEastAsia" w:cstheme="minorEastAsia"/>
          <w:sz w:val="24"/>
        </w:rPr>
        <w:t>022</w:t>
      </w:r>
      <w:r>
        <w:rPr>
          <w:rFonts w:hint="eastAsia" w:asciiTheme="minorEastAsia" w:hAnsiTheme="minorEastAsia" w:eastAsiaTheme="minorEastAsia" w:cstheme="minorEastAsia"/>
          <w:sz w:val="24"/>
        </w:rPr>
        <w:t>年1</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月1</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日，公司召开2022年第四次临时股东大会审议通过了《公司关于回购注销部分限制性股票的议案》，本次回购的限制性股票已于2</w:t>
      </w:r>
      <w:r>
        <w:rPr>
          <w:rFonts w:asciiTheme="minorEastAsia" w:hAnsiTheme="minorEastAsia" w:eastAsiaTheme="minorEastAsia" w:cstheme="minorEastAsia"/>
          <w:sz w:val="24"/>
        </w:rPr>
        <w:t>023</w:t>
      </w:r>
      <w:r>
        <w:rPr>
          <w:rFonts w:hint="eastAsia" w:asciiTheme="minorEastAsia" w:hAnsiTheme="minorEastAsia" w:eastAsiaTheme="minorEastAsia" w:cstheme="minorEastAsia"/>
          <w:sz w:val="24"/>
        </w:rPr>
        <w:t>年1月1</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日完成注销。</w:t>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8</w:t>
      </w:r>
      <w:r>
        <w:rPr>
          <w:rFonts w:hint="eastAsia" w:asciiTheme="minorEastAsia" w:hAnsiTheme="minorEastAsia" w:eastAsiaTheme="minorEastAsia" w:cstheme="minorEastAsia"/>
          <w:sz w:val="24"/>
        </w:rPr>
        <w:t>、2023年4月25日，公司召开第十届董事会第七次会议及第十届监事会第七次会议，审议通过《关于2021年限制性股票激励计划首次授予部分第一个解除限售期解除限售条件成就的议案》《关于回购注销部分限制性股票的议案》等议案，公司独立董事对此发表了同意的独立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2024年4月23日，公司召开第十一届董事会第一次会议及第十一届监事会第一次会议，审议通过《公司关于2021年限制性股票激励计划首次授予部分第二期及预留授予部分第一期解除限售条件成就的议案》《公司关于回购注销部分限制性股票的议案》等议案，公司董事会薪酬与考核委员会对此发表了同意意见。</w:t>
      </w:r>
    </w:p>
    <w:p>
      <w:pPr>
        <w:spacing w:line="360" w:lineRule="auto"/>
        <w:ind w:firstLine="482" w:firstLineChars="200"/>
        <w:rPr>
          <w:rFonts w:hint="eastAsia"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二、本次回购注销部分限制性股票的原因、数量、价格、资金来源</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（一）本次回购注销的原因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激励计划》第十四章“公司/激励对象发生异动时本激励计划的处理”的规定：“激励对象合同到期，且不再续约的或主动辞职的，其已解除限售股票不作处理，已获授但尚未解除限售的限制性股票不得解除限售，由公司以授予价格进行回购注销”。</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鉴于3名首次授予激励对象与1名预留授予激励对象因个人原因已离职，公司将对上述4名激励对象已获授但尚未解除限售的共计85</w:t>
      </w:r>
      <w:r>
        <w:rPr>
          <w:rFonts w:asciiTheme="minorEastAsia" w:hAnsiTheme="minorEastAsia" w:eastAsiaTheme="minorEastAsia" w:cstheme="minorEastAsia"/>
          <w:sz w:val="24"/>
        </w:rPr>
        <w:t>,000</w:t>
      </w:r>
      <w:r>
        <w:rPr>
          <w:rFonts w:hint="eastAsia" w:asciiTheme="minorEastAsia" w:hAnsiTheme="minorEastAsia" w:eastAsiaTheme="minorEastAsia" w:cstheme="minorEastAsia"/>
          <w:sz w:val="24"/>
        </w:rPr>
        <w:t>股限制性股票进行回购注销。本次限制性股票回购注销事宜尚需提交股东大会审议。</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（二）回购注销的数量和价格</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激励计划》规定，上述4名离职的激励对象均为主动离职，公司拟回购注销其已获授但尚未解除限售的限制性股票共计85,000股，其中首次授予部分回购注销75,000股限制性股票，预留授予部分回购注销10,000股限制性股票。首次授予部分限制性股票的回购价格为3.68元/股，预留授予部分限制性股票的回购价格为3.</w:t>
      </w:r>
      <w:r>
        <w:rPr>
          <w:rFonts w:asciiTheme="minorEastAsia" w:hAnsiTheme="minorEastAsia" w:eastAsiaTheme="minorEastAsia" w:cstheme="minorEastAsia"/>
          <w:sz w:val="24"/>
        </w:rPr>
        <w:t>49</w:t>
      </w:r>
      <w:r>
        <w:rPr>
          <w:rFonts w:hint="eastAsia" w:asciiTheme="minorEastAsia" w:hAnsiTheme="minorEastAsia" w:eastAsiaTheme="minorEastAsia" w:cstheme="minorEastAsia"/>
          <w:sz w:val="24"/>
        </w:rPr>
        <w:t>元/股。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上述股票回购注销完成前，公司发生资本公积转增股本、派发股票红利、股份拆细、缩股、配股等事宜，则公司将按照《激励计划》相关规定调整回购限制性股票的数量及价格，具体回购注销实施情况以公司在上海证券交易所网站公布的公告为准。</w:t>
      </w:r>
    </w:p>
    <w:p>
      <w:pPr>
        <w:spacing w:line="360" w:lineRule="auto"/>
        <w:ind w:left="420" w:left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（三）回购的资金总额及资金来源</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公司本次限制性股票回购支付款项合计</w:t>
      </w:r>
      <w:r>
        <w:rPr>
          <w:rFonts w:asciiTheme="minorEastAsia" w:hAnsiTheme="minorEastAsia" w:eastAsiaTheme="minorEastAsia" w:cstheme="minorEastAsia"/>
          <w:sz w:val="24"/>
        </w:rPr>
        <w:t>310,900</w:t>
      </w:r>
      <w:r>
        <w:rPr>
          <w:rFonts w:hint="eastAsia" w:asciiTheme="minorEastAsia" w:hAnsiTheme="minorEastAsia" w:eastAsiaTheme="minorEastAsia" w:cstheme="minorEastAsia"/>
          <w:sz w:val="24"/>
        </w:rPr>
        <w:t>元为公司自有资金。</w:t>
      </w:r>
    </w:p>
    <w:p>
      <w:pPr>
        <w:spacing w:line="360" w:lineRule="auto"/>
        <w:ind w:firstLine="482" w:firstLineChars="200"/>
        <w:rPr>
          <w:rFonts w:hint="eastAsia"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三、本次回购注销后公司股本结构变动情况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本次限制性股票回购注销完成后，将导致公司总股本减少85,000股，公司总股本将由712,285,832股变更为712,200,832股。</w:t>
      </w:r>
    </w:p>
    <w:p>
      <w:pPr>
        <w:wordWrap w:val="0"/>
        <w:spacing w:line="360" w:lineRule="auto"/>
        <w:jc w:val="right"/>
        <w:rPr>
          <w:rFonts w:hint="eastAsia" w:asciiTheme="minorEastAsia" w:hAnsiTheme="minorEastAsia" w:eastAsiaTheme="minorEastAsia" w:cstheme="minorEastAsia"/>
          <w:sz w:val="24"/>
        </w:rPr>
      </w:pPr>
    </w:p>
    <w:p>
      <w:pPr>
        <w:wordWrap w:val="0"/>
        <w:spacing w:line="36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单位：股</w:t>
      </w:r>
    </w:p>
    <w:tbl>
      <w:tblPr>
        <w:tblStyle w:val="8"/>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456"/>
        <w:gridCol w:w="185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217" w:type="dxa"/>
            <w:vAlign w:val="center"/>
          </w:tcPr>
          <w:p>
            <w:pPr>
              <w:snapToGrid w:val="0"/>
              <w:jc w:val="center"/>
              <w:rPr>
                <w:rFonts w:ascii="宋体" w:hAnsi="宋体"/>
                <w:b/>
                <w:bCs/>
                <w:kern w:val="0"/>
              </w:rPr>
            </w:pPr>
            <w:r>
              <w:rPr>
                <w:rFonts w:hint="eastAsia" w:ascii="宋体" w:hAnsi="宋体"/>
                <w:b/>
                <w:bCs/>
                <w:kern w:val="0"/>
              </w:rPr>
              <w:t>类别</w:t>
            </w:r>
          </w:p>
        </w:tc>
        <w:tc>
          <w:tcPr>
            <w:tcW w:w="2456" w:type="dxa"/>
            <w:vAlign w:val="center"/>
          </w:tcPr>
          <w:p>
            <w:pPr>
              <w:snapToGrid w:val="0"/>
              <w:jc w:val="center"/>
              <w:rPr>
                <w:rFonts w:ascii="宋体" w:hAnsi="宋体"/>
                <w:b/>
                <w:bCs/>
                <w:kern w:val="0"/>
              </w:rPr>
            </w:pPr>
            <w:r>
              <w:rPr>
                <w:rFonts w:hint="eastAsia" w:ascii="宋体" w:hAnsi="宋体"/>
                <w:b/>
                <w:bCs/>
                <w:kern w:val="0"/>
              </w:rPr>
              <w:t>变动前</w:t>
            </w:r>
          </w:p>
        </w:tc>
        <w:tc>
          <w:tcPr>
            <w:tcW w:w="1856" w:type="dxa"/>
            <w:vAlign w:val="center"/>
          </w:tcPr>
          <w:p>
            <w:pPr>
              <w:snapToGrid w:val="0"/>
              <w:jc w:val="center"/>
              <w:rPr>
                <w:rFonts w:ascii="宋体" w:hAnsi="宋体"/>
                <w:b/>
                <w:bCs/>
                <w:kern w:val="0"/>
              </w:rPr>
            </w:pPr>
            <w:r>
              <w:rPr>
                <w:rFonts w:hint="eastAsia" w:ascii="宋体" w:hAnsi="宋体"/>
                <w:b/>
                <w:bCs/>
                <w:kern w:val="0"/>
              </w:rPr>
              <w:t>本次变动</w:t>
            </w:r>
          </w:p>
        </w:tc>
        <w:tc>
          <w:tcPr>
            <w:tcW w:w="1705" w:type="dxa"/>
            <w:vAlign w:val="center"/>
          </w:tcPr>
          <w:p>
            <w:pPr>
              <w:snapToGrid w:val="0"/>
              <w:jc w:val="center"/>
              <w:rPr>
                <w:rFonts w:ascii="宋体" w:hAnsi="宋体"/>
                <w:b/>
                <w:bCs/>
                <w:kern w:val="0"/>
              </w:rPr>
            </w:pPr>
            <w:r>
              <w:rPr>
                <w:rFonts w:hint="eastAsia" w:ascii="宋体" w:hAnsi="宋体"/>
                <w:b/>
                <w:bCs/>
                <w:kern w:val="0"/>
              </w:rPr>
              <w:t>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217" w:type="dxa"/>
            <w:vAlign w:val="center"/>
          </w:tcPr>
          <w:p>
            <w:pPr>
              <w:jc w:val="center"/>
              <w:rPr>
                <w:rFonts w:ascii="宋体" w:hAnsi="宋体"/>
                <w:kern w:val="0"/>
              </w:rPr>
            </w:pPr>
            <w:r>
              <w:rPr>
                <w:rFonts w:hint="eastAsia"/>
                <w:szCs w:val="21"/>
              </w:rPr>
              <w:t>有限售条件股份</w:t>
            </w:r>
          </w:p>
        </w:tc>
        <w:tc>
          <w:tcPr>
            <w:tcW w:w="2456" w:type="dxa"/>
            <w:vAlign w:val="center"/>
          </w:tcPr>
          <w:p>
            <w:pPr>
              <w:spacing w:line="360" w:lineRule="auto"/>
              <w:jc w:val="center"/>
              <w:rPr>
                <w:szCs w:val="21"/>
              </w:rPr>
            </w:pPr>
            <w:r>
              <w:rPr>
                <w:rFonts w:hint="eastAsia"/>
                <w:szCs w:val="21"/>
              </w:rPr>
              <w:t>2,727,703</w:t>
            </w:r>
          </w:p>
        </w:tc>
        <w:tc>
          <w:tcPr>
            <w:tcW w:w="1856" w:type="dxa"/>
            <w:vAlign w:val="center"/>
          </w:tcPr>
          <w:p>
            <w:pPr>
              <w:spacing w:line="360" w:lineRule="auto"/>
              <w:jc w:val="center"/>
              <w:rPr>
                <w:szCs w:val="21"/>
              </w:rPr>
            </w:pPr>
            <w:r>
              <w:rPr>
                <w:rFonts w:hint="eastAsia"/>
                <w:szCs w:val="21"/>
              </w:rPr>
              <w:t>-85,000</w:t>
            </w:r>
          </w:p>
        </w:tc>
        <w:tc>
          <w:tcPr>
            <w:tcW w:w="1705" w:type="dxa"/>
            <w:vAlign w:val="center"/>
          </w:tcPr>
          <w:p>
            <w:pPr>
              <w:spacing w:line="360" w:lineRule="auto"/>
              <w:jc w:val="center"/>
              <w:rPr>
                <w:szCs w:val="21"/>
              </w:rPr>
            </w:pPr>
            <w:r>
              <w:rPr>
                <w:rFonts w:hint="eastAsia"/>
                <w:szCs w:val="21"/>
              </w:rPr>
              <w:t>2,642,703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7" w:type="dxa"/>
            <w:vAlign w:val="center"/>
          </w:tcPr>
          <w:p>
            <w:pPr>
              <w:snapToGrid w:val="0"/>
              <w:jc w:val="center"/>
              <w:rPr>
                <w:rFonts w:ascii="宋体" w:hAnsi="宋体"/>
                <w:kern w:val="0"/>
              </w:rPr>
            </w:pPr>
            <w:r>
              <w:rPr>
                <w:rFonts w:hint="eastAsia"/>
                <w:szCs w:val="21"/>
              </w:rPr>
              <w:t>无限售条件股份</w:t>
            </w:r>
          </w:p>
        </w:tc>
        <w:tc>
          <w:tcPr>
            <w:tcW w:w="2456" w:type="dxa"/>
            <w:vAlign w:val="center"/>
          </w:tcPr>
          <w:p>
            <w:pPr>
              <w:spacing w:line="360" w:lineRule="auto"/>
              <w:jc w:val="center"/>
              <w:rPr>
                <w:szCs w:val="21"/>
              </w:rPr>
            </w:pPr>
            <w:r>
              <w:rPr>
                <w:rFonts w:hint="eastAsia"/>
                <w:szCs w:val="21"/>
              </w:rPr>
              <w:t>709,558,129</w:t>
            </w:r>
          </w:p>
        </w:tc>
        <w:tc>
          <w:tcPr>
            <w:tcW w:w="1856" w:type="dxa"/>
            <w:vAlign w:val="center"/>
          </w:tcPr>
          <w:p>
            <w:pPr>
              <w:spacing w:line="360" w:lineRule="auto"/>
              <w:jc w:val="center"/>
              <w:rPr>
                <w:szCs w:val="21"/>
              </w:rPr>
            </w:pPr>
            <w:r>
              <w:rPr>
                <w:rFonts w:hint="eastAsia"/>
                <w:szCs w:val="21"/>
              </w:rPr>
              <w:t>0</w:t>
            </w:r>
          </w:p>
        </w:tc>
        <w:tc>
          <w:tcPr>
            <w:tcW w:w="1705" w:type="dxa"/>
            <w:vAlign w:val="center"/>
          </w:tcPr>
          <w:p>
            <w:pPr>
              <w:spacing w:line="360" w:lineRule="auto"/>
              <w:jc w:val="center"/>
              <w:rPr>
                <w:szCs w:val="21"/>
              </w:rPr>
            </w:pPr>
            <w:r>
              <w:rPr>
                <w:rFonts w:hint="eastAsia"/>
                <w:szCs w:val="21"/>
              </w:rPr>
              <w:t>709,558,129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7" w:type="dxa"/>
            <w:vAlign w:val="center"/>
          </w:tcPr>
          <w:p>
            <w:pPr>
              <w:snapToGrid w:val="0"/>
              <w:jc w:val="center"/>
              <w:rPr>
                <w:rFonts w:ascii="宋体" w:hAnsi="宋体"/>
                <w:kern w:val="0"/>
              </w:rPr>
            </w:pPr>
            <w:r>
              <w:rPr>
                <w:rFonts w:hint="eastAsia" w:ascii="宋体" w:hAnsi="宋体"/>
                <w:kern w:val="0"/>
              </w:rPr>
              <w:t>合计</w:t>
            </w:r>
          </w:p>
        </w:tc>
        <w:tc>
          <w:tcPr>
            <w:tcW w:w="2456" w:type="dxa"/>
            <w:vAlign w:val="center"/>
          </w:tcPr>
          <w:p>
            <w:pPr>
              <w:spacing w:line="360" w:lineRule="auto"/>
              <w:jc w:val="center"/>
              <w:rPr>
                <w:rFonts w:ascii="宋体" w:hAnsi="宋体"/>
                <w:kern w:val="0"/>
              </w:rPr>
            </w:pPr>
            <w:r>
              <w:rPr>
                <w:rFonts w:hint="eastAsia"/>
                <w:szCs w:val="21"/>
              </w:rPr>
              <w:t>712,285,832</w:t>
            </w:r>
          </w:p>
        </w:tc>
        <w:tc>
          <w:tcPr>
            <w:tcW w:w="1856" w:type="dxa"/>
            <w:vAlign w:val="center"/>
          </w:tcPr>
          <w:p>
            <w:pPr>
              <w:spacing w:line="360" w:lineRule="auto"/>
              <w:jc w:val="center"/>
              <w:rPr>
                <w:szCs w:val="21"/>
              </w:rPr>
            </w:pPr>
            <w:r>
              <w:rPr>
                <w:rFonts w:hint="eastAsia"/>
                <w:szCs w:val="21"/>
              </w:rPr>
              <w:t>-</w:t>
            </w:r>
            <w:r>
              <w:rPr>
                <w:szCs w:val="21"/>
              </w:rPr>
              <w:t>85</w:t>
            </w:r>
            <w:r>
              <w:rPr>
                <w:rFonts w:hint="eastAsia"/>
                <w:szCs w:val="21"/>
              </w:rPr>
              <w:t>,000</w:t>
            </w:r>
          </w:p>
        </w:tc>
        <w:tc>
          <w:tcPr>
            <w:tcW w:w="1705" w:type="dxa"/>
            <w:vAlign w:val="center"/>
          </w:tcPr>
          <w:p>
            <w:pPr>
              <w:spacing w:line="360" w:lineRule="auto"/>
              <w:jc w:val="center"/>
              <w:rPr>
                <w:szCs w:val="21"/>
              </w:rPr>
            </w:pPr>
            <w:r>
              <w:rPr>
                <w:rFonts w:hint="eastAsia"/>
                <w:szCs w:val="21"/>
              </w:rPr>
              <w:t>712,200,832</w:t>
            </w:r>
          </w:p>
        </w:tc>
      </w:tr>
    </w:tbl>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注：以上股本结构的变动情况以回购注销事项完成后中国证券登记结算有限责任公司上海分公司出具的股本结构表为准。</w:t>
      </w:r>
    </w:p>
    <w:p>
      <w:pPr>
        <w:spacing w:line="360" w:lineRule="auto"/>
        <w:ind w:firstLine="482" w:firstLineChars="200"/>
        <w:rPr>
          <w:rFonts w:hint="eastAsia"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四、本次回购对公司的影响。</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本次回购注销限制性股票事项不会对公司的财务状况和经营成果产生重大影响，不影响本次激励计划的继续实施。</w:t>
      </w:r>
    </w:p>
    <w:p>
      <w:pPr>
        <w:spacing w:line="360" w:lineRule="auto"/>
        <w:ind w:firstLine="482" w:firstLineChars="200"/>
        <w:rPr>
          <w:rFonts w:hint="eastAsia"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五、监事会意见</w:t>
      </w:r>
    </w:p>
    <w:p>
      <w:pPr>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核查，监事会认为：鉴于本次激励计划中3名首次授予激励对象与1名预留授予激励对象因个人原因已离职，已不再具备限制性股票激励对象资格，公司决定对以上4名激励对象已获授但尚未解除限售的共计85,000股限制性股票予以回购注销。公司本次回购注销事项符合《上市公司股权激励管理办法》等相关法律法规的规定。本次回购注销部分限制性股票已履行相应的决策程序，不会对公司的财务状况和经营成果产生实质性影响，也不存在损害公司及股东利益的情形。</w:t>
      </w:r>
    </w:p>
    <w:p>
      <w:pPr>
        <w:spacing w:line="360" w:lineRule="auto"/>
        <w:ind w:firstLine="482" w:firstLineChars="200"/>
        <w:rPr>
          <w:rFonts w:hint="eastAsia"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lang w:val="en-US" w:eastAsia="zh-CN"/>
        </w:rPr>
        <w:t>六</w:t>
      </w:r>
      <w:bookmarkStart w:id="0" w:name="_GoBack"/>
      <w:bookmarkEnd w:id="0"/>
      <w:r>
        <w:rPr>
          <w:rFonts w:hint="eastAsia" w:asciiTheme="minorEastAsia" w:hAnsiTheme="minorEastAsia" w:eastAsiaTheme="minorEastAsia" w:cstheme="minorEastAsia"/>
          <w:b/>
          <w:bCs/>
          <w:sz w:val="24"/>
        </w:rPr>
        <w:t>、法律意见书意见</w:t>
      </w:r>
    </w:p>
    <w:p>
      <w:pPr>
        <w:spacing w:line="360" w:lineRule="auto"/>
        <w:ind w:firstLine="480" w:firstLineChars="200"/>
        <w:rPr>
          <w:rFonts w:asciiTheme="minorEastAsia" w:hAnsiTheme="minorEastAsia" w:eastAsiaTheme="minorEastAsia" w:cstheme="minorEastAsia"/>
          <w:sz w:val="24"/>
          <w:highlight w:val="yellow"/>
        </w:rPr>
      </w:pPr>
      <w:r>
        <w:rPr>
          <w:rFonts w:hint="eastAsia" w:asciiTheme="minorEastAsia" w:hAnsiTheme="minorEastAsia" w:eastAsiaTheme="minorEastAsia" w:cstheme="minorEastAsia"/>
          <w:sz w:val="24"/>
        </w:rPr>
        <w:t>浙江天册律师事务所认为：公司本次激励计划所涉限制性股票回购注销事宜已取得了现阶段必要的批准和授权，符合《证券法》《公司法》《管理办法》《公司章程》和《激励计划》的相关规定；本次回购注销的原因、数量、价格及资金来源符合《管理办法》和《激励计划》的相关规定。公司尚需就本次回购注销事项及时履行信息披露义务，并按照《公司法》《公司章程》等相关规定办理股份回购注销登记、减少注册资本等手续。</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特此公告。</w:t>
      </w:r>
    </w:p>
    <w:p>
      <w:pPr>
        <w:spacing w:line="360" w:lineRule="auto"/>
        <w:rPr>
          <w:rFonts w:asciiTheme="minorEastAsia" w:hAnsiTheme="minorEastAsia" w:eastAsiaTheme="minorEastAsia" w:cstheme="minorEastAsia"/>
          <w:sz w:val="24"/>
        </w:rPr>
      </w:pPr>
    </w:p>
    <w:p>
      <w:pPr>
        <w:spacing w:line="360" w:lineRule="auto"/>
        <w:ind w:firstLine="4320" w:firstLineChars="1800"/>
        <w:jc w:val="right"/>
        <w:rPr>
          <w:rFonts w:ascii="宋体" w:hAnsi="宋体"/>
          <w:sz w:val="24"/>
        </w:rPr>
      </w:pPr>
      <w:r>
        <w:rPr>
          <w:rFonts w:hint="eastAsia" w:ascii="宋体" w:hAnsi="宋体"/>
          <w:sz w:val="24"/>
        </w:rPr>
        <w:t>江苏吴中医药发展股份有限公司</w:t>
      </w:r>
    </w:p>
    <w:p>
      <w:pPr>
        <w:spacing w:line="360" w:lineRule="auto"/>
        <w:ind w:right="1200" w:firstLine="4320" w:firstLineChars="1800"/>
        <w:jc w:val="right"/>
        <w:rPr>
          <w:rFonts w:ascii="宋体" w:hAnsi="宋体"/>
          <w:sz w:val="24"/>
        </w:rPr>
      </w:pPr>
      <w:r>
        <w:rPr>
          <w:rFonts w:hint="eastAsia" w:ascii="宋体" w:hAnsi="宋体"/>
          <w:sz w:val="24"/>
        </w:rPr>
        <w:t xml:space="preserve">董事会      </w:t>
      </w:r>
    </w:p>
    <w:p>
      <w:pPr>
        <w:spacing w:line="360" w:lineRule="auto"/>
        <w:ind w:right="480" w:firstLine="5220" w:firstLineChars="2175"/>
        <w:jc w:val="center"/>
        <w:rPr>
          <w:rFonts w:ascii="宋体" w:hAnsi="宋体"/>
          <w:sz w:val="24"/>
        </w:rPr>
      </w:pPr>
      <w:r>
        <w:rPr>
          <w:rFonts w:hint="eastAsia" w:ascii="宋体" w:hAnsi="宋体"/>
          <w:sz w:val="24"/>
        </w:rPr>
        <w:t xml:space="preserve">    2024年4月25日</w:t>
      </w:r>
    </w:p>
    <w:p>
      <w:pPr>
        <w:pStyle w:val="6"/>
        <w:wordWrap w:val="0"/>
        <w:adjustRightInd w:val="0"/>
        <w:snapToGrid w:val="0"/>
        <w:spacing w:before="0" w:beforeAutospacing="0" w:after="0" w:afterAutospacing="0"/>
        <w:ind w:firstLine="480" w:firstLineChars="200"/>
        <w:jc w:val="right"/>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MDkyNTZjMzMwNGNiNWI4YzBkN2FjZjU1MzgyMDgifQ=="/>
  </w:docVars>
  <w:rsids>
    <w:rsidRoot w:val="00BD7B08"/>
    <w:rsid w:val="00015559"/>
    <w:rsid w:val="00015732"/>
    <w:rsid w:val="0003171D"/>
    <w:rsid w:val="000377FA"/>
    <w:rsid w:val="00051CEF"/>
    <w:rsid w:val="00056BDE"/>
    <w:rsid w:val="000B2D49"/>
    <w:rsid w:val="000C1EBF"/>
    <w:rsid w:val="000C4B87"/>
    <w:rsid w:val="000D5160"/>
    <w:rsid w:val="000E5928"/>
    <w:rsid w:val="001044FC"/>
    <w:rsid w:val="00115DE0"/>
    <w:rsid w:val="00116D06"/>
    <w:rsid w:val="00121181"/>
    <w:rsid w:val="00125EB5"/>
    <w:rsid w:val="0013555B"/>
    <w:rsid w:val="00141A30"/>
    <w:rsid w:val="0014235B"/>
    <w:rsid w:val="001449C0"/>
    <w:rsid w:val="0015292C"/>
    <w:rsid w:val="00167B35"/>
    <w:rsid w:val="00184711"/>
    <w:rsid w:val="001A6F91"/>
    <w:rsid w:val="001A7CE1"/>
    <w:rsid w:val="001C788C"/>
    <w:rsid w:val="001D2C6D"/>
    <w:rsid w:val="001F698F"/>
    <w:rsid w:val="00206725"/>
    <w:rsid w:val="00243C4D"/>
    <w:rsid w:val="002442A3"/>
    <w:rsid w:val="0025027C"/>
    <w:rsid w:val="00251C73"/>
    <w:rsid w:val="0025726D"/>
    <w:rsid w:val="0025795B"/>
    <w:rsid w:val="0027220C"/>
    <w:rsid w:val="002728F0"/>
    <w:rsid w:val="002808AB"/>
    <w:rsid w:val="00283FC4"/>
    <w:rsid w:val="0028425D"/>
    <w:rsid w:val="00284CD2"/>
    <w:rsid w:val="00290083"/>
    <w:rsid w:val="00295C82"/>
    <w:rsid w:val="002A4325"/>
    <w:rsid w:val="002B09CF"/>
    <w:rsid w:val="002B76DC"/>
    <w:rsid w:val="002B7CCB"/>
    <w:rsid w:val="002C71E7"/>
    <w:rsid w:val="002D2369"/>
    <w:rsid w:val="002D2D51"/>
    <w:rsid w:val="002F74DC"/>
    <w:rsid w:val="00324EB8"/>
    <w:rsid w:val="00341243"/>
    <w:rsid w:val="0037324C"/>
    <w:rsid w:val="00377366"/>
    <w:rsid w:val="003870CC"/>
    <w:rsid w:val="0038727B"/>
    <w:rsid w:val="003B5345"/>
    <w:rsid w:val="003C1375"/>
    <w:rsid w:val="003C607D"/>
    <w:rsid w:val="003D0C3B"/>
    <w:rsid w:val="003D3FFF"/>
    <w:rsid w:val="003E355B"/>
    <w:rsid w:val="0041720E"/>
    <w:rsid w:val="00426413"/>
    <w:rsid w:val="00446346"/>
    <w:rsid w:val="004502F4"/>
    <w:rsid w:val="00461EED"/>
    <w:rsid w:val="00496E8A"/>
    <w:rsid w:val="004C1D00"/>
    <w:rsid w:val="004C27B9"/>
    <w:rsid w:val="004C3DB4"/>
    <w:rsid w:val="004D6D88"/>
    <w:rsid w:val="004E363D"/>
    <w:rsid w:val="004F1F15"/>
    <w:rsid w:val="0054311D"/>
    <w:rsid w:val="00564D1A"/>
    <w:rsid w:val="00564DB8"/>
    <w:rsid w:val="005712CB"/>
    <w:rsid w:val="0057316D"/>
    <w:rsid w:val="00577CBB"/>
    <w:rsid w:val="005B4F18"/>
    <w:rsid w:val="005C3668"/>
    <w:rsid w:val="005D4ACB"/>
    <w:rsid w:val="00606861"/>
    <w:rsid w:val="00615D49"/>
    <w:rsid w:val="00616EED"/>
    <w:rsid w:val="006412D7"/>
    <w:rsid w:val="00643149"/>
    <w:rsid w:val="00654A55"/>
    <w:rsid w:val="00662769"/>
    <w:rsid w:val="00667F68"/>
    <w:rsid w:val="006702FC"/>
    <w:rsid w:val="00675176"/>
    <w:rsid w:val="00683AED"/>
    <w:rsid w:val="0069499C"/>
    <w:rsid w:val="00695D72"/>
    <w:rsid w:val="006A4D01"/>
    <w:rsid w:val="006B29CA"/>
    <w:rsid w:val="006B2B65"/>
    <w:rsid w:val="006C7ACE"/>
    <w:rsid w:val="007001F0"/>
    <w:rsid w:val="007014FC"/>
    <w:rsid w:val="00716E87"/>
    <w:rsid w:val="00737DB5"/>
    <w:rsid w:val="00741813"/>
    <w:rsid w:val="007564B5"/>
    <w:rsid w:val="00766EEB"/>
    <w:rsid w:val="00772A33"/>
    <w:rsid w:val="007B2EF5"/>
    <w:rsid w:val="007C7BAF"/>
    <w:rsid w:val="00802A0A"/>
    <w:rsid w:val="00826F25"/>
    <w:rsid w:val="00850FB7"/>
    <w:rsid w:val="00887DA0"/>
    <w:rsid w:val="00893296"/>
    <w:rsid w:val="008935D4"/>
    <w:rsid w:val="00894CD6"/>
    <w:rsid w:val="008A7625"/>
    <w:rsid w:val="008E57CC"/>
    <w:rsid w:val="008F37AC"/>
    <w:rsid w:val="008F6AB5"/>
    <w:rsid w:val="00904AD2"/>
    <w:rsid w:val="0090696C"/>
    <w:rsid w:val="00914E40"/>
    <w:rsid w:val="00933FA5"/>
    <w:rsid w:val="00947130"/>
    <w:rsid w:val="00955A3F"/>
    <w:rsid w:val="00960430"/>
    <w:rsid w:val="00967AA4"/>
    <w:rsid w:val="009804BF"/>
    <w:rsid w:val="009A095F"/>
    <w:rsid w:val="009A17A6"/>
    <w:rsid w:val="009B0520"/>
    <w:rsid w:val="009D08D4"/>
    <w:rsid w:val="009D348A"/>
    <w:rsid w:val="009D5FB4"/>
    <w:rsid w:val="00A05A16"/>
    <w:rsid w:val="00A267F9"/>
    <w:rsid w:val="00A618E3"/>
    <w:rsid w:val="00A842DF"/>
    <w:rsid w:val="00A956AF"/>
    <w:rsid w:val="00AA10D4"/>
    <w:rsid w:val="00AA5F0C"/>
    <w:rsid w:val="00AB2664"/>
    <w:rsid w:val="00AB7AF5"/>
    <w:rsid w:val="00AC7435"/>
    <w:rsid w:val="00AC7ABF"/>
    <w:rsid w:val="00AF42DB"/>
    <w:rsid w:val="00B048FD"/>
    <w:rsid w:val="00B07E79"/>
    <w:rsid w:val="00B31A8D"/>
    <w:rsid w:val="00B55415"/>
    <w:rsid w:val="00B714D9"/>
    <w:rsid w:val="00B87AB6"/>
    <w:rsid w:val="00BB3EDC"/>
    <w:rsid w:val="00BB5C59"/>
    <w:rsid w:val="00BB5F62"/>
    <w:rsid w:val="00BC7D27"/>
    <w:rsid w:val="00BD3AD2"/>
    <w:rsid w:val="00BD7B08"/>
    <w:rsid w:val="00BF68F7"/>
    <w:rsid w:val="00C01D90"/>
    <w:rsid w:val="00C07EF2"/>
    <w:rsid w:val="00C115B2"/>
    <w:rsid w:val="00C14435"/>
    <w:rsid w:val="00C71DAA"/>
    <w:rsid w:val="00C74552"/>
    <w:rsid w:val="00C77455"/>
    <w:rsid w:val="00CC65AD"/>
    <w:rsid w:val="00CD2A4D"/>
    <w:rsid w:val="00CD5891"/>
    <w:rsid w:val="00CD6EAB"/>
    <w:rsid w:val="00CF42BE"/>
    <w:rsid w:val="00D04CBB"/>
    <w:rsid w:val="00D15237"/>
    <w:rsid w:val="00D21B8D"/>
    <w:rsid w:val="00D26D15"/>
    <w:rsid w:val="00D37BFE"/>
    <w:rsid w:val="00D45281"/>
    <w:rsid w:val="00D52D82"/>
    <w:rsid w:val="00D53DC4"/>
    <w:rsid w:val="00D701E0"/>
    <w:rsid w:val="00D86A2F"/>
    <w:rsid w:val="00D90BC6"/>
    <w:rsid w:val="00DD0FB0"/>
    <w:rsid w:val="00DD25D6"/>
    <w:rsid w:val="00E003D0"/>
    <w:rsid w:val="00E025CD"/>
    <w:rsid w:val="00E05034"/>
    <w:rsid w:val="00E137C1"/>
    <w:rsid w:val="00E220DE"/>
    <w:rsid w:val="00E23E59"/>
    <w:rsid w:val="00E456E9"/>
    <w:rsid w:val="00E60B28"/>
    <w:rsid w:val="00E74755"/>
    <w:rsid w:val="00E75184"/>
    <w:rsid w:val="00E76138"/>
    <w:rsid w:val="00E76BB4"/>
    <w:rsid w:val="00E77D37"/>
    <w:rsid w:val="00E940BD"/>
    <w:rsid w:val="00E9529E"/>
    <w:rsid w:val="00E96761"/>
    <w:rsid w:val="00EA6444"/>
    <w:rsid w:val="00EB369C"/>
    <w:rsid w:val="00EB60AF"/>
    <w:rsid w:val="00EB7FBA"/>
    <w:rsid w:val="00EC56B5"/>
    <w:rsid w:val="00ED64E6"/>
    <w:rsid w:val="00EF67AA"/>
    <w:rsid w:val="00EF6F1B"/>
    <w:rsid w:val="00F03FA2"/>
    <w:rsid w:val="00F168FB"/>
    <w:rsid w:val="00F21312"/>
    <w:rsid w:val="00F23D77"/>
    <w:rsid w:val="00F269A2"/>
    <w:rsid w:val="00F270BA"/>
    <w:rsid w:val="00F37403"/>
    <w:rsid w:val="00F42FCD"/>
    <w:rsid w:val="00F433BD"/>
    <w:rsid w:val="00F642E6"/>
    <w:rsid w:val="00F66644"/>
    <w:rsid w:val="00F909A0"/>
    <w:rsid w:val="00FA06C5"/>
    <w:rsid w:val="00FA5496"/>
    <w:rsid w:val="00FB79DD"/>
    <w:rsid w:val="00FE2FD8"/>
    <w:rsid w:val="00FE4AF3"/>
    <w:rsid w:val="00FE4FBE"/>
    <w:rsid w:val="00FE5ACA"/>
    <w:rsid w:val="02E334E5"/>
    <w:rsid w:val="043F619F"/>
    <w:rsid w:val="05B2719F"/>
    <w:rsid w:val="064249C6"/>
    <w:rsid w:val="073F4A62"/>
    <w:rsid w:val="09CC371C"/>
    <w:rsid w:val="0B6B4077"/>
    <w:rsid w:val="0F3205BA"/>
    <w:rsid w:val="0FAC04DB"/>
    <w:rsid w:val="11160F29"/>
    <w:rsid w:val="17A6044E"/>
    <w:rsid w:val="18A8690B"/>
    <w:rsid w:val="198C1102"/>
    <w:rsid w:val="1CBF5CF3"/>
    <w:rsid w:val="1FBE4C66"/>
    <w:rsid w:val="1FC3402A"/>
    <w:rsid w:val="206A6B9C"/>
    <w:rsid w:val="238455B9"/>
    <w:rsid w:val="25A816B0"/>
    <w:rsid w:val="26DB7EAB"/>
    <w:rsid w:val="27A44741"/>
    <w:rsid w:val="282E02C4"/>
    <w:rsid w:val="28622D85"/>
    <w:rsid w:val="2BE55328"/>
    <w:rsid w:val="2D834DF9"/>
    <w:rsid w:val="2DD60586"/>
    <w:rsid w:val="30A6777C"/>
    <w:rsid w:val="311A3CC6"/>
    <w:rsid w:val="31AF440F"/>
    <w:rsid w:val="320E3DD9"/>
    <w:rsid w:val="321150C9"/>
    <w:rsid w:val="35E13004"/>
    <w:rsid w:val="364C1B8D"/>
    <w:rsid w:val="369E159A"/>
    <w:rsid w:val="38DA5BCE"/>
    <w:rsid w:val="390A1FA7"/>
    <w:rsid w:val="3A443B62"/>
    <w:rsid w:val="3C98347F"/>
    <w:rsid w:val="41F30347"/>
    <w:rsid w:val="421D53C4"/>
    <w:rsid w:val="42B21FB1"/>
    <w:rsid w:val="46D02A05"/>
    <w:rsid w:val="471B0268"/>
    <w:rsid w:val="47694C08"/>
    <w:rsid w:val="4B0C6ADE"/>
    <w:rsid w:val="4B29678D"/>
    <w:rsid w:val="4B92297F"/>
    <w:rsid w:val="4C6F4A6E"/>
    <w:rsid w:val="4CE90CC5"/>
    <w:rsid w:val="4DB50BA7"/>
    <w:rsid w:val="4E0C5077"/>
    <w:rsid w:val="51BA49DE"/>
    <w:rsid w:val="58620FD2"/>
    <w:rsid w:val="5980650D"/>
    <w:rsid w:val="5B0C3235"/>
    <w:rsid w:val="5C814D1C"/>
    <w:rsid w:val="64AB336B"/>
    <w:rsid w:val="65C47781"/>
    <w:rsid w:val="66E520A5"/>
    <w:rsid w:val="683F7593"/>
    <w:rsid w:val="68C07992"/>
    <w:rsid w:val="6A1A5563"/>
    <w:rsid w:val="6E4C2A0A"/>
    <w:rsid w:val="6F4A3EE1"/>
    <w:rsid w:val="6F4E0A15"/>
    <w:rsid w:val="70D71396"/>
    <w:rsid w:val="74C937A8"/>
    <w:rsid w:val="74EB0219"/>
    <w:rsid w:val="751122B7"/>
    <w:rsid w:val="79004B1D"/>
    <w:rsid w:val="7A0B5527"/>
    <w:rsid w:val="7A5C3FD5"/>
    <w:rsid w:val="7B2E3BC3"/>
    <w:rsid w:val="7C4E5397"/>
    <w:rsid w:val="7DC47FAB"/>
    <w:rsid w:val="7F81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jc w:val="left"/>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6"/>
    <w:autoRedefine/>
    <w:semiHidden/>
    <w:unhideWhenUsed/>
    <w:qFormat/>
    <w:uiPriority w:val="99"/>
    <w:rPr>
      <w:b/>
      <w:bCs/>
    </w:r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paragraph" w:customStyle="1" w:styleId="1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批注框文本 字符"/>
    <w:basedOn w:val="9"/>
    <w:link w:val="3"/>
    <w:autoRedefine/>
    <w:semiHidden/>
    <w:qFormat/>
    <w:uiPriority w:val="99"/>
    <w:rPr>
      <w:kern w:val="2"/>
      <w:sz w:val="18"/>
      <w:szCs w:val="18"/>
    </w:rPr>
  </w:style>
  <w:style w:type="character" w:customStyle="1" w:styleId="15">
    <w:name w:val="批注文字 字符"/>
    <w:basedOn w:val="9"/>
    <w:link w:val="2"/>
    <w:autoRedefine/>
    <w:semiHidden/>
    <w:qFormat/>
    <w:uiPriority w:val="99"/>
    <w:rPr>
      <w:kern w:val="2"/>
      <w:sz w:val="21"/>
      <w:szCs w:val="24"/>
    </w:rPr>
  </w:style>
  <w:style w:type="character" w:customStyle="1" w:styleId="16">
    <w:name w:val="批注主题 字符"/>
    <w:basedOn w:val="15"/>
    <w:link w:val="7"/>
    <w:autoRedefine/>
    <w:semiHidden/>
    <w:qFormat/>
    <w:uiPriority w:val="99"/>
    <w:rPr>
      <w:b/>
      <w:bCs/>
      <w:kern w:val="2"/>
      <w:sz w:val="21"/>
      <w:szCs w:val="24"/>
    </w:rPr>
  </w:style>
  <w:style w:type="paragraph" w:customStyle="1" w:styleId="17">
    <w:name w:val="修订1"/>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676</Words>
  <Characters>3857</Characters>
  <Lines>32</Lines>
  <Paragraphs>9</Paragraphs>
  <TotalTime>3</TotalTime>
  <ScaleCrop>false</ScaleCrop>
  <LinksUpToDate>false</LinksUpToDate>
  <CharactersWithSpaces>4524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2024-04-11T02:49:00Z</dcterms:created>
  <dc:creator>李锐</dc:creator>
  <cp:lastModifiedBy>王雅杰</cp:lastModifiedBy>
  <dcterms:modified xsi:type="dcterms:W3CDTF">2024-04-24T03:41:53Z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1C3776ED9AC54407B60526A4F6E5A360</vt:lpwstr>
  </property>
</Properties>
</file>